
<file path=[Content_Types].xml><?xml version="1.0" encoding="utf-8"?>
<Types xmlns="http://schemas.openxmlformats.org/package/2006/content-types">
  <Default Extension="jpeg" ContentType="image/jpeg"/>
  <Default Extension="jpg" ContentType="image/jpeg"/>
  <Default Extension="rels" ContentType="application/vnd.openxmlformats-package.relationships+xml"/>
  <Default Extension="ti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B1942EF" w14:textId="77777777" w:rsidR="004C4569" w:rsidRPr="00FF5FBE" w:rsidRDefault="004C4569" w:rsidP="004C4569">
      <w:pPr>
        <w:spacing w:after="200"/>
        <w:ind w:left="0"/>
        <w:jc w:val="center"/>
        <w:rPr>
          <w:rFonts w:asciiTheme="minorHAnsi" w:hAnsiTheme="minorHAnsi"/>
        </w:rPr>
      </w:pPr>
      <w:r w:rsidRPr="00FF5FBE">
        <w:rPr>
          <w:noProof/>
        </w:rPr>
        <w:drawing>
          <wp:anchor distT="0" distB="0" distL="114300" distR="114300" simplePos="0" relativeHeight="251993600" behindDoc="1" locked="0" layoutInCell="1" allowOverlap="1" wp14:anchorId="4DD3479E" wp14:editId="5692C4B2">
            <wp:simplePos x="0" y="0"/>
            <wp:positionH relativeFrom="page">
              <wp:align>right</wp:align>
            </wp:positionH>
            <wp:positionV relativeFrom="paragraph">
              <wp:posOffset>-1291549</wp:posOffset>
            </wp:positionV>
            <wp:extent cx="7592695" cy="10736927"/>
            <wp:effectExtent l="0" t="0" r="8255" b="7620"/>
            <wp:wrapNone/>
            <wp:docPr id="313975104" name="obrázek 18" descr="Obsah obrázku skica, kresba, diagram&#10;&#10;Obsah generovaný pomocí AI může být nesprávn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3975104" name="obrázek 18" descr="Obsah obrázku skica, kresba, diagram&#10;&#10;Obsah generovaný pomocí AI může být nesprávný."/>
                    <pic:cNvPicPr>
                      <a:picLocks noChangeAspect="1" noChangeArrowheads="1"/>
                    </pic:cNvPicPr>
                  </pic:nvPicPr>
                  <pic:blipFill>
                    <a:blip r:embed="rId8" cstate="print">
                      <a:extLst>
                        <a:ext uri="{28A0092B-C50C-407E-A947-70E740481C1C}">
                          <a14:useLocalDpi xmlns:a14="http://schemas.microsoft.com/office/drawing/2010/main" val="0"/>
                        </a:ext>
                      </a:extLst>
                    </a:blip>
                    <a:stretch>
                      <a:fillRect/>
                    </a:stretch>
                  </pic:blipFill>
                  <pic:spPr bwMode="auto">
                    <a:xfrm>
                      <a:off x="0" y="0"/>
                      <a:ext cx="7592695" cy="10736927"/>
                    </a:xfrm>
                    <a:prstGeom prst="rect">
                      <a:avLst/>
                    </a:prstGeom>
                    <a:noFill/>
                  </pic:spPr>
                </pic:pic>
              </a:graphicData>
            </a:graphic>
            <wp14:sizeRelH relativeFrom="page">
              <wp14:pctWidth>0</wp14:pctWidth>
            </wp14:sizeRelH>
            <wp14:sizeRelV relativeFrom="page">
              <wp14:pctHeight>0</wp14:pctHeight>
            </wp14:sizeRelV>
          </wp:anchor>
        </w:drawing>
      </w:r>
      <w:r w:rsidRPr="00FF5FBE">
        <w:rPr>
          <w:rFonts w:asciiTheme="minorHAnsi" w:hAnsiTheme="minorHAnsi"/>
        </w:rPr>
        <w:t xml:space="preserve"> </w:t>
      </w:r>
    </w:p>
    <w:p w14:paraId="4329CBA0" w14:textId="77777777" w:rsidR="004C4569" w:rsidRPr="00FF5FBE" w:rsidRDefault="004C4569" w:rsidP="004C4569">
      <w:pPr>
        <w:spacing w:after="200"/>
        <w:ind w:left="0"/>
        <w:jc w:val="center"/>
        <w:rPr>
          <w:rFonts w:asciiTheme="minorHAnsi" w:hAnsiTheme="minorHAnsi"/>
          <w:b/>
          <w:sz w:val="74"/>
          <w:szCs w:val="74"/>
        </w:rPr>
      </w:pPr>
    </w:p>
    <w:p w14:paraId="35759C42" w14:textId="77777777" w:rsidR="004C4569" w:rsidRPr="00FF5FBE" w:rsidRDefault="004C4569" w:rsidP="004C4569">
      <w:pPr>
        <w:spacing w:after="200"/>
        <w:ind w:left="0"/>
        <w:jc w:val="center"/>
        <w:rPr>
          <w:rFonts w:asciiTheme="minorHAnsi" w:hAnsiTheme="minorHAnsi"/>
          <w:b/>
          <w:sz w:val="74"/>
          <w:szCs w:val="74"/>
        </w:rPr>
      </w:pPr>
    </w:p>
    <w:p w14:paraId="7BF84F5D" w14:textId="77777777" w:rsidR="004C4569" w:rsidRPr="00FF5FBE" w:rsidRDefault="004C4569" w:rsidP="004C4569">
      <w:pPr>
        <w:spacing w:after="200"/>
        <w:ind w:left="0"/>
        <w:jc w:val="center"/>
        <w:rPr>
          <w:rFonts w:asciiTheme="minorHAnsi" w:hAnsiTheme="minorHAnsi"/>
          <w:b/>
          <w:sz w:val="74"/>
          <w:szCs w:val="74"/>
        </w:rPr>
      </w:pPr>
    </w:p>
    <w:p w14:paraId="00099641" w14:textId="77777777" w:rsidR="004C4569" w:rsidRPr="00FF5FBE" w:rsidRDefault="004C4569" w:rsidP="004C4569">
      <w:pPr>
        <w:spacing w:after="200"/>
        <w:ind w:left="0"/>
        <w:jc w:val="center"/>
        <w:rPr>
          <w:rFonts w:asciiTheme="minorHAnsi" w:hAnsiTheme="minorHAnsi"/>
          <w:b/>
          <w:sz w:val="74"/>
          <w:szCs w:val="74"/>
        </w:rPr>
      </w:pPr>
    </w:p>
    <w:p w14:paraId="0AD5EBA5" w14:textId="77777777" w:rsidR="004C4569" w:rsidRPr="00FF5FBE" w:rsidRDefault="004C4569" w:rsidP="004C4569">
      <w:pPr>
        <w:spacing w:after="200"/>
        <w:ind w:left="0"/>
        <w:jc w:val="center"/>
        <w:rPr>
          <w:rFonts w:asciiTheme="minorHAnsi" w:hAnsiTheme="minorHAnsi"/>
          <w:b/>
          <w:sz w:val="74"/>
          <w:szCs w:val="74"/>
        </w:rPr>
      </w:pPr>
    </w:p>
    <w:p w14:paraId="5D87F698" w14:textId="13FC5706" w:rsidR="004C4569" w:rsidRPr="00FF5FBE" w:rsidRDefault="004C4569" w:rsidP="004C4569">
      <w:pPr>
        <w:tabs>
          <w:tab w:val="left" w:pos="7325"/>
        </w:tabs>
        <w:spacing w:after="200"/>
        <w:ind w:left="0"/>
        <w:rPr>
          <w:rFonts w:asciiTheme="minorHAnsi" w:hAnsiTheme="minorHAnsi"/>
          <w:b/>
          <w:sz w:val="74"/>
          <w:szCs w:val="74"/>
        </w:rPr>
      </w:pPr>
      <w:r w:rsidRPr="00FF5FBE">
        <w:rPr>
          <w:rFonts w:asciiTheme="minorHAnsi" w:hAnsiTheme="minorHAnsi"/>
          <w:b/>
          <w:sz w:val="74"/>
          <w:szCs w:val="74"/>
        </w:rPr>
        <w:tab/>
      </w:r>
    </w:p>
    <w:p w14:paraId="440C0726" w14:textId="77777777" w:rsidR="004C4569" w:rsidRDefault="004C4569" w:rsidP="004C4569">
      <w:pPr>
        <w:spacing w:after="200"/>
        <w:ind w:left="0"/>
        <w:jc w:val="center"/>
        <w:rPr>
          <w:rFonts w:asciiTheme="minorHAnsi" w:hAnsiTheme="minorHAnsi"/>
          <w:b/>
          <w:sz w:val="74"/>
          <w:szCs w:val="74"/>
        </w:rPr>
      </w:pPr>
    </w:p>
    <w:p w14:paraId="695D4D86" w14:textId="77777777" w:rsidR="004C4569" w:rsidRDefault="004C4569" w:rsidP="004C4569">
      <w:pPr>
        <w:spacing w:after="200"/>
        <w:ind w:left="0"/>
        <w:jc w:val="center"/>
        <w:rPr>
          <w:rFonts w:asciiTheme="minorHAnsi" w:hAnsiTheme="minorHAnsi"/>
          <w:b/>
          <w:sz w:val="74"/>
          <w:szCs w:val="74"/>
        </w:rPr>
      </w:pPr>
    </w:p>
    <w:p w14:paraId="10E88540" w14:textId="77777777" w:rsidR="004C4569" w:rsidRPr="00FF5FBE" w:rsidRDefault="004C4569" w:rsidP="004C4569">
      <w:pPr>
        <w:spacing w:after="200"/>
        <w:ind w:left="0"/>
        <w:jc w:val="center"/>
        <w:rPr>
          <w:rFonts w:asciiTheme="minorHAnsi" w:hAnsiTheme="minorHAnsi"/>
          <w:b/>
          <w:sz w:val="74"/>
          <w:szCs w:val="74"/>
        </w:rPr>
      </w:pPr>
    </w:p>
    <w:p w14:paraId="1C7B2628" w14:textId="77777777" w:rsidR="004C4569" w:rsidRPr="00FF5FBE" w:rsidRDefault="004C4569" w:rsidP="004C4569">
      <w:pPr>
        <w:spacing w:after="200"/>
        <w:ind w:left="0"/>
        <w:jc w:val="center"/>
        <w:rPr>
          <w:rFonts w:asciiTheme="minorHAnsi" w:hAnsiTheme="minorHAnsi"/>
          <w:b/>
          <w:sz w:val="30"/>
          <w:szCs w:val="30"/>
        </w:rPr>
      </w:pPr>
    </w:p>
    <w:p w14:paraId="3B738ED8" w14:textId="77777777" w:rsidR="004C4569" w:rsidRPr="00FF5FBE" w:rsidRDefault="004C4569" w:rsidP="004C4569">
      <w:pPr>
        <w:spacing w:after="200"/>
        <w:ind w:left="0" w:right="-2"/>
        <w:jc w:val="center"/>
        <w:rPr>
          <w:rFonts w:asciiTheme="minorHAnsi" w:hAnsiTheme="minorHAnsi"/>
          <w:sz w:val="74"/>
          <w:szCs w:val="74"/>
        </w:rPr>
      </w:pPr>
      <w:r w:rsidRPr="00FF5FBE">
        <w:rPr>
          <w:rFonts w:asciiTheme="minorHAnsi" w:hAnsiTheme="minorHAnsi"/>
          <w:sz w:val="74"/>
          <w:szCs w:val="74"/>
        </w:rPr>
        <w:t>Územní plán Hlubočky</w:t>
      </w:r>
    </w:p>
    <w:p w14:paraId="09F0FF5E" w14:textId="4B0128A3" w:rsidR="004C4569" w:rsidRPr="004C4569" w:rsidRDefault="004C4569" w:rsidP="004C4569">
      <w:pPr>
        <w:spacing w:after="200"/>
        <w:ind w:left="0" w:right="-2"/>
        <w:jc w:val="center"/>
        <w:rPr>
          <w:rFonts w:asciiTheme="minorHAnsi" w:hAnsiTheme="minorHAnsi"/>
          <w:sz w:val="32"/>
          <w:szCs w:val="32"/>
        </w:rPr>
      </w:pPr>
      <w:r w:rsidRPr="00FF5FBE">
        <w:rPr>
          <w:rFonts w:asciiTheme="minorHAnsi" w:hAnsiTheme="minorHAnsi"/>
          <w:sz w:val="32"/>
          <w:szCs w:val="32"/>
        </w:rPr>
        <w:t>textová část</w:t>
      </w:r>
      <w:r>
        <w:rPr>
          <w:rFonts w:asciiTheme="minorHAnsi" w:hAnsiTheme="minorHAnsi"/>
          <w:sz w:val="32"/>
          <w:szCs w:val="32"/>
        </w:rPr>
        <w:t xml:space="preserve"> odůvodnění</w:t>
      </w:r>
    </w:p>
    <w:p w14:paraId="10AC2A08" w14:textId="77777777" w:rsidR="006047BA" w:rsidRPr="00040C21" w:rsidRDefault="006047BA" w:rsidP="00242E7B">
      <w:pPr>
        <w:ind w:left="0"/>
        <w:rPr>
          <w:sz w:val="24"/>
        </w:rPr>
      </w:pPr>
      <w:r w:rsidRPr="00040C21">
        <w:rPr>
          <w:sz w:val="24"/>
        </w:rPr>
        <w:br w:type="page"/>
      </w:r>
    </w:p>
    <w:p w14:paraId="37D53BDD" w14:textId="0680DCC5" w:rsidR="006047BA" w:rsidRPr="00040C21" w:rsidRDefault="006047BA" w:rsidP="00242E7B">
      <w:pPr>
        <w:spacing w:after="200"/>
        <w:ind w:left="0" w:right="140"/>
        <w:jc w:val="center"/>
        <w:rPr>
          <w:sz w:val="24"/>
        </w:rPr>
      </w:pPr>
    </w:p>
    <w:p w14:paraId="0A6667A7" w14:textId="40284300" w:rsidR="006047BA" w:rsidRPr="00040C21" w:rsidRDefault="006047BA" w:rsidP="00242E7B">
      <w:pPr>
        <w:spacing w:after="200"/>
        <w:ind w:left="0" w:right="140"/>
        <w:jc w:val="center"/>
        <w:rPr>
          <w:sz w:val="24"/>
        </w:rPr>
      </w:pPr>
    </w:p>
    <w:p w14:paraId="04FB194F" w14:textId="77777777" w:rsidR="00242E7B" w:rsidRPr="00040C21" w:rsidRDefault="00242E7B" w:rsidP="00242E7B">
      <w:pPr>
        <w:spacing w:after="200"/>
        <w:ind w:left="0" w:right="140"/>
        <w:jc w:val="center"/>
        <w:rPr>
          <w:sz w:val="24"/>
        </w:rPr>
      </w:pPr>
    </w:p>
    <w:p w14:paraId="3006A5B2" w14:textId="2B297E73" w:rsidR="00242E7B" w:rsidRPr="00040C21" w:rsidRDefault="00242E7B" w:rsidP="00242E7B">
      <w:pPr>
        <w:spacing w:after="200"/>
        <w:ind w:left="0" w:right="140"/>
        <w:jc w:val="center"/>
        <w:rPr>
          <w:sz w:val="24"/>
        </w:rPr>
      </w:pPr>
    </w:p>
    <w:p w14:paraId="0A0F67C6" w14:textId="77777777" w:rsidR="00242E7B" w:rsidRPr="00040C21" w:rsidRDefault="00242E7B" w:rsidP="00242E7B">
      <w:pPr>
        <w:spacing w:after="200"/>
        <w:ind w:left="0" w:right="140"/>
        <w:jc w:val="center"/>
        <w:rPr>
          <w:sz w:val="24"/>
        </w:rPr>
      </w:pPr>
    </w:p>
    <w:p w14:paraId="0C0CBCB2" w14:textId="77777777" w:rsidR="00242E7B" w:rsidRPr="00040C21" w:rsidRDefault="00242E7B" w:rsidP="00242E7B">
      <w:pPr>
        <w:spacing w:after="200"/>
        <w:ind w:left="0" w:right="140"/>
        <w:jc w:val="center"/>
        <w:rPr>
          <w:sz w:val="24"/>
        </w:rPr>
      </w:pPr>
    </w:p>
    <w:p w14:paraId="5FAFC11E" w14:textId="77777777" w:rsidR="00242E7B" w:rsidRPr="00040C21" w:rsidRDefault="00242E7B" w:rsidP="00242E7B">
      <w:pPr>
        <w:spacing w:after="200"/>
        <w:ind w:left="0" w:right="140"/>
        <w:jc w:val="center"/>
        <w:rPr>
          <w:sz w:val="24"/>
        </w:rPr>
      </w:pPr>
    </w:p>
    <w:p w14:paraId="74908E89" w14:textId="77777777" w:rsidR="00242E7B" w:rsidRPr="00040C21" w:rsidRDefault="00242E7B" w:rsidP="00242E7B">
      <w:pPr>
        <w:spacing w:after="200"/>
        <w:ind w:left="0" w:right="140"/>
        <w:jc w:val="center"/>
        <w:rPr>
          <w:sz w:val="24"/>
        </w:rPr>
      </w:pPr>
    </w:p>
    <w:p w14:paraId="68B91A86" w14:textId="77777777" w:rsidR="00242E7B" w:rsidRPr="00040C21" w:rsidRDefault="00242E7B" w:rsidP="00242E7B">
      <w:pPr>
        <w:spacing w:after="200"/>
        <w:ind w:left="0" w:right="140"/>
        <w:jc w:val="center"/>
        <w:rPr>
          <w:sz w:val="24"/>
        </w:rPr>
      </w:pPr>
    </w:p>
    <w:p w14:paraId="203B7128" w14:textId="77777777" w:rsidR="00242E7B" w:rsidRPr="00040C21" w:rsidRDefault="00242E7B" w:rsidP="00242E7B">
      <w:pPr>
        <w:spacing w:after="200"/>
        <w:ind w:left="0" w:right="140"/>
        <w:jc w:val="center"/>
        <w:rPr>
          <w:sz w:val="24"/>
        </w:rPr>
      </w:pPr>
    </w:p>
    <w:p w14:paraId="2370C348" w14:textId="77777777" w:rsidR="00242E7B" w:rsidRPr="00040C21" w:rsidRDefault="00242E7B" w:rsidP="00242E7B">
      <w:pPr>
        <w:spacing w:after="200"/>
        <w:ind w:left="0" w:right="140"/>
        <w:jc w:val="center"/>
        <w:rPr>
          <w:sz w:val="24"/>
        </w:rPr>
      </w:pPr>
    </w:p>
    <w:p w14:paraId="38005A07" w14:textId="77777777" w:rsidR="00242E7B" w:rsidRPr="00040C21" w:rsidRDefault="00242E7B" w:rsidP="00242E7B">
      <w:pPr>
        <w:spacing w:after="200"/>
        <w:ind w:left="0" w:right="140"/>
        <w:jc w:val="center"/>
        <w:rPr>
          <w:sz w:val="24"/>
        </w:rPr>
      </w:pPr>
    </w:p>
    <w:p w14:paraId="008A9337" w14:textId="77777777" w:rsidR="00242E7B" w:rsidRPr="00040C21" w:rsidRDefault="00242E7B" w:rsidP="00242E7B">
      <w:pPr>
        <w:spacing w:after="200"/>
        <w:ind w:left="0" w:right="140"/>
        <w:jc w:val="center"/>
        <w:rPr>
          <w:sz w:val="24"/>
        </w:rPr>
      </w:pPr>
    </w:p>
    <w:p w14:paraId="4FEA275E" w14:textId="77777777" w:rsidR="006D356F" w:rsidRPr="00040C21" w:rsidRDefault="006D356F" w:rsidP="00242E7B">
      <w:pPr>
        <w:spacing w:after="200"/>
        <w:ind w:left="0" w:right="140"/>
        <w:jc w:val="center"/>
        <w:rPr>
          <w:sz w:val="24"/>
        </w:rPr>
      </w:pPr>
    </w:p>
    <w:p w14:paraId="64F5215B" w14:textId="77777777" w:rsidR="006D356F" w:rsidRPr="00040C21" w:rsidRDefault="006D356F" w:rsidP="00242E7B">
      <w:pPr>
        <w:spacing w:after="200"/>
        <w:ind w:left="0" w:right="140"/>
        <w:jc w:val="center"/>
        <w:rPr>
          <w:sz w:val="24"/>
        </w:rPr>
      </w:pPr>
    </w:p>
    <w:p w14:paraId="2B0D8297" w14:textId="77777777" w:rsidR="006D356F" w:rsidRPr="00040C21" w:rsidRDefault="006D356F" w:rsidP="00242E7B">
      <w:pPr>
        <w:spacing w:after="200"/>
        <w:ind w:left="0" w:right="140"/>
        <w:jc w:val="center"/>
        <w:rPr>
          <w:sz w:val="24"/>
        </w:rPr>
      </w:pPr>
    </w:p>
    <w:p w14:paraId="4057AF3A" w14:textId="77777777" w:rsidR="006D356F" w:rsidRPr="00040C21" w:rsidRDefault="006D356F" w:rsidP="00242E7B">
      <w:pPr>
        <w:spacing w:after="200"/>
        <w:ind w:left="0" w:right="140"/>
        <w:jc w:val="center"/>
        <w:rPr>
          <w:sz w:val="24"/>
        </w:rPr>
      </w:pPr>
    </w:p>
    <w:p w14:paraId="73D2A49C" w14:textId="77777777" w:rsidR="006D356F" w:rsidRPr="00040C21" w:rsidRDefault="006D356F" w:rsidP="00242E7B">
      <w:pPr>
        <w:spacing w:after="200"/>
        <w:ind w:left="0" w:right="140"/>
        <w:jc w:val="center"/>
        <w:rPr>
          <w:sz w:val="24"/>
        </w:rPr>
      </w:pPr>
    </w:p>
    <w:p w14:paraId="16A4EC74" w14:textId="77777777" w:rsidR="006D356F" w:rsidRPr="00040C21" w:rsidRDefault="006D356F" w:rsidP="006D356F">
      <w:pPr>
        <w:spacing w:after="200"/>
        <w:ind w:left="0" w:right="140"/>
        <w:jc w:val="center"/>
        <w:rPr>
          <w:sz w:val="12"/>
          <w:szCs w:val="12"/>
        </w:rPr>
      </w:pPr>
    </w:p>
    <w:p w14:paraId="18A8D821" w14:textId="77777777" w:rsidR="00814455" w:rsidRPr="00040C21" w:rsidRDefault="00814455" w:rsidP="006D356F">
      <w:pPr>
        <w:spacing w:after="200"/>
        <w:ind w:left="0" w:right="140"/>
        <w:jc w:val="center"/>
        <w:rPr>
          <w:sz w:val="12"/>
          <w:szCs w:val="12"/>
        </w:rPr>
      </w:pPr>
    </w:p>
    <w:p w14:paraId="3E060DC3" w14:textId="77777777" w:rsidR="00814455" w:rsidRPr="00040C21" w:rsidRDefault="00814455" w:rsidP="006D356F">
      <w:pPr>
        <w:spacing w:after="200"/>
        <w:ind w:left="0" w:right="140"/>
        <w:jc w:val="center"/>
        <w:rPr>
          <w:sz w:val="12"/>
          <w:szCs w:val="12"/>
        </w:rPr>
      </w:pPr>
    </w:p>
    <w:p w14:paraId="13527C75" w14:textId="77777777" w:rsidR="00814455" w:rsidRPr="00040C21" w:rsidRDefault="00814455" w:rsidP="006D356F">
      <w:pPr>
        <w:spacing w:after="200"/>
        <w:ind w:left="0" w:right="140"/>
        <w:jc w:val="center"/>
        <w:rPr>
          <w:sz w:val="12"/>
          <w:szCs w:val="12"/>
        </w:rPr>
      </w:pPr>
    </w:p>
    <w:p w14:paraId="09899F7A" w14:textId="77777777" w:rsidR="00814455" w:rsidRPr="00040C21" w:rsidRDefault="00814455" w:rsidP="006D356F">
      <w:pPr>
        <w:spacing w:after="200"/>
        <w:ind w:left="0" w:right="140"/>
        <w:jc w:val="center"/>
        <w:rPr>
          <w:sz w:val="12"/>
          <w:szCs w:val="12"/>
        </w:rPr>
      </w:pPr>
    </w:p>
    <w:p w14:paraId="478CA4DE" w14:textId="77777777" w:rsidR="00814455" w:rsidRPr="00040C21" w:rsidRDefault="00814455" w:rsidP="006D356F">
      <w:pPr>
        <w:spacing w:after="200"/>
        <w:ind w:left="0" w:right="140"/>
        <w:jc w:val="center"/>
        <w:rPr>
          <w:sz w:val="12"/>
          <w:szCs w:val="12"/>
        </w:rPr>
      </w:pPr>
    </w:p>
    <w:p w14:paraId="500FEE03" w14:textId="77777777" w:rsidR="006D356F" w:rsidRPr="00040C21" w:rsidRDefault="006D356F" w:rsidP="006D356F">
      <w:pPr>
        <w:spacing w:after="200"/>
        <w:ind w:left="0" w:right="140"/>
        <w:jc w:val="center"/>
        <w:rPr>
          <w:sz w:val="12"/>
          <w:szCs w:val="12"/>
        </w:rPr>
      </w:pPr>
    </w:p>
    <w:p w14:paraId="632A9BE9" w14:textId="77777777" w:rsidR="00060937" w:rsidRPr="00040C21" w:rsidRDefault="00060937" w:rsidP="00242E7B">
      <w:pPr>
        <w:spacing w:after="200"/>
        <w:ind w:left="0" w:right="140"/>
        <w:jc w:val="center"/>
        <w:rPr>
          <w:sz w:val="24"/>
        </w:rPr>
      </w:pPr>
    </w:p>
    <w:p w14:paraId="0C7C3F4B" w14:textId="77777777" w:rsidR="00060937" w:rsidRPr="00040C21" w:rsidRDefault="00060937" w:rsidP="00242E7B">
      <w:pPr>
        <w:spacing w:after="200"/>
        <w:ind w:left="0" w:right="140"/>
        <w:jc w:val="center"/>
        <w:rPr>
          <w:sz w:val="24"/>
        </w:rPr>
        <w:sectPr w:rsidR="00060937" w:rsidRPr="00040C21" w:rsidSect="006E5197">
          <w:headerReference w:type="even" r:id="rId9"/>
          <w:headerReference w:type="default" r:id="rId10"/>
          <w:headerReference w:type="first" r:id="rId11"/>
          <w:pgSz w:w="11906" w:h="16838" w:code="9"/>
          <w:pgMar w:top="1985" w:right="1701" w:bottom="851" w:left="1701" w:header="709" w:footer="709" w:gutter="0"/>
          <w:cols w:space="708"/>
          <w:titlePg/>
          <w:docGrid w:linePitch="360"/>
        </w:sectPr>
      </w:pPr>
    </w:p>
    <w:p w14:paraId="7676C985" w14:textId="77777777" w:rsidR="004C4569" w:rsidRPr="00FF5FBE" w:rsidRDefault="004C4569" w:rsidP="004C4569">
      <w:pPr>
        <w:ind w:left="0"/>
        <w:rPr>
          <w:sz w:val="24"/>
        </w:rPr>
      </w:pPr>
    </w:p>
    <w:p w14:paraId="461DE030" w14:textId="77777777" w:rsidR="004C4569" w:rsidRPr="00FF5FBE" w:rsidRDefault="004C4569" w:rsidP="004C4569">
      <w:pPr>
        <w:ind w:left="0"/>
        <w:rPr>
          <w:sz w:val="24"/>
        </w:rPr>
      </w:pPr>
    </w:p>
    <w:p w14:paraId="032E686F" w14:textId="77777777" w:rsidR="004C4569" w:rsidRPr="00FF5FBE" w:rsidRDefault="004C4569" w:rsidP="004C4569">
      <w:pPr>
        <w:ind w:left="0"/>
        <w:rPr>
          <w:sz w:val="24"/>
        </w:rPr>
      </w:pPr>
    </w:p>
    <w:p w14:paraId="26691962" w14:textId="77777777" w:rsidR="004C4569" w:rsidRPr="00FF5FBE" w:rsidRDefault="004C4569" w:rsidP="004C4569">
      <w:pPr>
        <w:ind w:left="0"/>
        <w:rPr>
          <w:sz w:val="24"/>
        </w:rPr>
      </w:pPr>
      <w:r w:rsidRPr="00FF5FBE">
        <w:rPr>
          <w:sz w:val="24"/>
        </w:rPr>
        <w:t>Objednatel</w:t>
      </w:r>
    </w:p>
    <w:p w14:paraId="28FF7AC7" w14:textId="77777777" w:rsidR="004C4569" w:rsidRPr="00FF5FBE" w:rsidRDefault="004C4569" w:rsidP="004C4569">
      <w:pPr>
        <w:pStyle w:val="Normlnbezmezer"/>
        <w:rPr>
          <w:b/>
          <w:bCs/>
        </w:rPr>
      </w:pPr>
      <w:r w:rsidRPr="00FF5FBE">
        <w:rPr>
          <w:b/>
          <w:bCs/>
        </w:rPr>
        <w:t>Obec Hlubočky</w:t>
      </w:r>
    </w:p>
    <w:p w14:paraId="6C15FB48" w14:textId="77777777" w:rsidR="004C4569" w:rsidRPr="00FF5FBE" w:rsidRDefault="004C4569" w:rsidP="004C4569">
      <w:pPr>
        <w:pStyle w:val="Normlnbezmezer"/>
      </w:pPr>
      <w:r w:rsidRPr="00FF5FBE">
        <w:t>Olomoucká 17</w:t>
      </w:r>
    </w:p>
    <w:p w14:paraId="2255F4F1" w14:textId="77777777" w:rsidR="004C4569" w:rsidRPr="00FF5FBE" w:rsidRDefault="004C4569" w:rsidP="004C4569">
      <w:pPr>
        <w:pStyle w:val="Normlnbezmezer"/>
      </w:pPr>
      <w:r w:rsidRPr="00FF5FBE">
        <w:t>783 61 Hlubočky</w:t>
      </w:r>
    </w:p>
    <w:p w14:paraId="56A277B9" w14:textId="77777777" w:rsidR="004C4569" w:rsidRPr="00FF5FBE" w:rsidRDefault="004C4569" w:rsidP="004C4569">
      <w:pPr>
        <w:ind w:left="0"/>
        <w:rPr>
          <w:sz w:val="24"/>
        </w:rPr>
      </w:pPr>
    </w:p>
    <w:p w14:paraId="31D7DA8F" w14:textId="77777777" w:rsidR="004C4569" w:rsidRPr="00FF5FBE" w:rsidRDefault="004C4569" w:rsidP="004C4569">
      <w:pPr>
        <w:ind w:left="0"/>
        <w:rPr>
          <w:sz w:val="24"/>
        </w:rPr>
      </w:pPr>
    </w:p>
    <w:p w14:paraId="40E87E6F" w14:textId="77777777" w:rsidR="004C4569" w:rsidRPr="00FF5FBE" w:rsidRDefault="004C4569" w:rsidP="004C4569">
      <w:pPr>
        <w:ind w:left="0"/>
        <w:rPr>
          <w:sz w:val="24"/>
        </w:rPr>
      </w:pPr>
      <w:r w:rsidRPr="00FF5FBE">
        <w:rPr>
          <w:sz w:val="24"/>
        </w:rPr>
        <w:t>Pořizovatel</w:t>
      </w:r>
    </w:p>
    <w:p w14:paraId="3247440A" w14:textId="77777777" w:rsidR="004C4569" w:rsidRPr="00FF5FBE" w:rsidRDefault="004C4569" w:rsidP="004C4569">
      <w:pPr>
        <w:pStyle w:val="Normlnbezmezer"/>
        <w:rPr>
          <w:b/>
          <w:bCs/>
        </w:rPr>
      </w:pPr>
      <w:r w:rsidRPr="00FF5FBE">
        <w:rPr>
          <w:b/>
          <w:bCs/>
          <w:noProof/>
        </w:rPr>
        <w:drawing>
          <wp:anchor distT="0" distB="0" distL="114300" distR="114300" simplePos="0" relativeHeight="251995648" behindDoc="1" locked="1" layoutInCell="1" allowOverlap="1" wp14:anchorId="0CBCBC02" wp14:editId="3F854383">
            <wp:simplePos x="0" y="0"/>
            <wp:positionH relativeFrom="column">
              <wp:posOffset>3634740</wp:posOffset>
            </wp:positionH>
            <wp:positionV relativeFrom="page">
              <wp:posOffset>7495540</wp:posOffset>
            </wp:positionV>
            <wp:extent cx="1583690" cy="1572895"/>
            <wp:effectExtent l="0" t="0" r="0" b="0"/>
            <wp:wrapNone/>
            <wp:docPr id="4" name="obrázek 4" descr="identifikatyrazitk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identifikatyrazitko"/>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583690" cy="1572895"/>
                    </a:xfrm>
                    <a:prstGeom prst="rect">
                      <a:avLst/>
                    </a:prstGeom>
                    <a:noFill/>
                  </pic:spPr>
                </pic:pic>
              </a:graphicData>
            </a:graphic>
            <wp14:sizeRelH relativeFrom="margin">
              <wp14:pctWidth>0</wp14:pctWidth>
            </wp14:sizeRelH>
            <wp14:sizeRelV relativeFrom="margin">
              <wp14:pctHeight>0</wp14:pctHeight>
            </wp14:sizeRelV>
          </wp:anchor>
        </w:drawing>
      </w:r>
      <w:r w:rsidRPr="00FF5FBE">
        <w:rPr>
          <w:b/>
          <w:bCs/>
        </w:rPr>
        <w:t>Magistrát města Olomouce</w:t>
      </w:r>
    </w:p>
    <w:p w14:paraId="7309F3B2" w14:textId="77777777" w:rsidR="004C4569" w:rsidRPr="00FF5FBE" w:rsidRDefault="004C4569" w:rsidP="004C4569">
      <w:pPr>
        <w:pStyle w:val="Normlnbezmezer"/>
        <w:rPr>
          <w:b/>
          <w:bCs/>
        </w:rPr>
      </w:pPr>
      <w:r w:rsidRPr="00FF5FBE">
        <w:rPr>
          <w:b/>
          <w:bCs/>
        </w:rPr>
        <w:t>Odbor dopravy a územního plánování</w:t>
      </w:r>
    </w:p>
    <w:p w14:paraId="5FD6D91E" w14:textId="77777777" w:rsidR="004C4569" w:rsidRPr="00FF5FBE" w:rsidRDefault="004C4569" w:rsidP="004C4569">
      <w:pPr>
        <w:pStyle w:val="Normlnbezmezer"/>
        <w:rPr>
          <w:szCs w:val="18"/>
        </w:rPr>
      </w:pPr>
      <w:r w:rsidRPr="00FF5FBE">
        <w:rPr>
          <w:szCs w:val="18"/>
        </w:rPr>
        <w:t>Mgr. Anna Šatníková Ph.D.</w:t>
      </w:r>
    </w:p>
    <w:p w14:paraId="50542BA4" w14:textId="77777777" w:rsidR="004C4569" w:rsidRPr="00FF5FBE" w:rsidRDefault="004C4569" w:rsidP="004C4569">
      <w:pPr>
        <w:pStyle w:val="Normlnbezmezer"/>
        <w:rPr>
          <w:szCs w:val="18"/>
        </w:rPr>
      </w:pPr>
      <w:r w:rsidRPr="00FF5FBE">
        <w:rPr>
          <w:szCs w:val="18"/>
        </w:rPr>
        <w:t>Vedoucí odboru územního plánování</w:t>
      </w:r>
    </w:p>
    <w:p w14:paraId="481B00F4" w14:textId="77777777" w:rsidR="004C4569" w:rsidRPr="00FF5FBE" w:rsidRDefault="004C4569" w:rsidP="004C4569">
      <w:pPr>
        <w:pStyle w:val="Normlnbezmezer"/>
      </w:pPr>
      <w:r w:rsidRPr="00FF5FBE">
        <w:t>Hynaisova 34/10</w:t>
      </w:r>
    </w:p>
    <w:p w14:paraId="4F006A54" w14:textId="77777777" w:rsidR="004C4569" w:rsidRPr="00FF5FBE" w:rsidRDefault="004C4569" w:rsidP="004C4569">
      <w:pPr>
        <w:pStyle w:val="Normlnbezmezer"/>
        <w:rPr>
          <w:sz w:val="24"/>
        </w:rPr>
      </w:pPr>
      <w:r w:rsidRPr="00FF5FBE">
        <w:t>779 00 Olomouc</w:t>
      </w:r>
    </w:p>
    <w:p w14:paraId="5DFC029D" w14:textId="77777777" w:rsidR="004C4569" w:rsidRPr="00FF5FBE" w:rsidRDefault="004C4569" w:rsidP="004C4569">
      <w:pPr>
        <w:pStyle w:val="Normlnbezmezer"/>
        <w:rPr>
          <w:sz w:val="24"/>
        </w:rPr>
      </w:pPr>
    </w:p>
    <w:p w14:paraId="27FD22AB" w14:textId="77777777" w:rsidR="004C4569" w:rsidRPr="00FF5FBE" w:rsidRDefault="004C4569" w:rsidP="004C4569">
      <w:pPr>
        <w:ind w:left="0"/>
        <w:rPr>
          <w:sz w:val="24"/>
        </w:rPr>
      </w:pPr>
    </w:p>
    <w:p w14:paraId="3527C799" w14:textId="77777777" w:rsidR="004C4569" w:rsidRPr="00FF5FBE" w:rsidRDefault="004C4569" w:rsidP="004C4569">
      <w:pPr>
        <w:ind w:left="0"/>
        <w:rPr>
          <w:sz w:val="24"/>
        </w:rPr>
      </w:pPr>
    </w:p>
    <w:p w14:paraId="52210B61" w14:textId="77777777" w:rsidR="004C4569" w:rsidRPr="00FF5FBE" w:rsidRDefault="004C4569" w:rsidP="004C4569">
      <w:pPr>
        <w:ind w:left="0"/>
        <w:rPr>
          <w:sz w:val="24"/>
        </w:rPr>
      </w:pPr>
    </w:p>
    <w:p w14:paraId="58BE5710" w14:textId="77777777" w:rsidR="004C4569" w:rsidRPr="00FF5FBE" w:rsidRDefault="004C4569" w:rsidP="004C4569">
      <w:pPr>
        <w:ind w:left="0"/>
        <w:rPr>
          <w:sz w:val="24"/>
        </w:rPr>
      </w:pPr>
    </w:p>
    <w:p w14:paraId="191EDDF3" w14:textId="77777777" w:rsidR="004C4569" w:rsidRPr="00FF5FBE" w:rsidRDefault="004C4569" w:rsidP="004C4569">
      <w:pPr>
        <w:ind w:left="0"/>
        <w:rPr>
          <w:sz w:val="24"/>
        </w:rPr>
      </w:pPr>
    </w:p>
    <w:p w14:paraId="503584A6" w14:textId="77777777" w:rsidR="004C4569" w:rsidRPr="00FF5FBE" w:rsidRDefault="004C4569" w:rsidP="004C4569">
      <w:pPr>
        <w:ind w:left="0"/>
        <w:rPr>
          <w:sz w:val="24"/>
        </w:rPr>
      </w:pPr>
      <w:r w:rsidRPr="00FF5FBE">
        <w:rPr>
          <w:sz w:val="24"/>
        </w:rPr>
        <w:t>Zhotovitel</w:t>
      </w:r>
    </w:p>
    <w:p w14:paraId="302EB82F" w14:textId="77777777" w:rsidR="004C4569" w:rsidRPr="00FF5FBE" w:rsidRDefault="004C4569" w:rsidP="004C4569">
      <w:pPr>
        <w:pStyle w:val="Normlnbezmezer"/>
        <w:rPr>
          <w:b/>
          <w:bCs/>
        </w:rPr>
      </w:pPr>
      <w:r w:rsidRPr="00FF5FBE">
        <w:rPr>
          <w:b/>
          <w:bCs/>
        </w:rPr>
        <w:t xml:space="preserve">gogolák + grasse, s.r.o. </w:t>
      </w:r>
    </w:p>
    <w:p w14:paraId="0B5CC1CA" w14:textId="77777777" w:rsidR="004C4569" w:rsidRPr="00FF5FBE" w:rsidRDefault="004C4569" w:rsidP="004C4569">
      <w:pPr>
        <w:pStyle w:val="Normlnbezmezer"/>
      </w:pPr>
      <w:r w:rsidRPr="00FF5FBE">
        <w:t>Jaurisova 515/4</w:t>
      </w:r>
    </w:p>
    <w:p w14:paraId="00830647" w14:textId="77777777" w:rsidR="004C4569" w:rsidRPr="00FF5FBE" w:rsidRDefault="004C4569" w:rsidP="004C4569">
      <w:pPr>
        <w:pStyle w:val="Normlnbezmezer"/>
      </w:pPr>
      <w:r w:rsidRPr="00FF5FBE">
        <w:t>140 00 Praha 4</w:t>
      </w:r>
    </w:p>
    <w:p w14:paraId="3D94857E" w14:textId="77777777" w:rsidR="004C4569" w:rsidRPr="00FF5FBE" w:rsidRDefault="004C4569" w:rsidP="004C4569">
      <w:pPr>
        <w:ind w:left="0"/>
      </w:pPr>
    </w:p>
    <w:p w14:paraId="05D2195B" w14:textId="77777777" w:rsidR="004C4569" w:rsidRPr="00FF5FBE" w:rsidRDefault="004C4569" w:rsidP="004C4569">
      <w:pPr>
        <w:pStyle w:val="Normlnbezmezer"/>
        <w:rPr>
          <w:b/>
          <w:bCs/>
        </w:rPr>
      </w:pPr>
      <w:r w:rsidRPr="00FF5FBE">
        <w:rPr>
          <w:b/>
          <w:bCs/>
        </w:rPr>
        <w:t xml:space="preserve">Zodpovědný projektant: </w:t>
      </w:r>
    </w:p>
    <w:p w14:paraId="68236A2F" w14:textId="77777777" w:rsidR="004C4569" w:rsidRPr="00FF5FBE" w:rsidRDefault="004C4569" w:rsidP="004C4569">
      <w:pPr>
        <w:pStyle w:val="Normlnbezmezer"/>
      </w:pPr>
      <w:r w:rsidRPr="00FF5FBE">
        <w:t>Ing. arch. Lukáš Grasse</w:t>
      </w:r>
    </w:p>
    <w:p w14:paraId="31AD7AC5" w14:textId="77777777" w:rsidR="004C4569" w:rsidRPr="00FF5FBE" w:rsidRDefault="004C4569" w:rsidP="004C4569">
      <w:pPr>
        <w:pStyle w:val="Normlnbezmezer"/>
      </w:pPr>
      <w:r w:rsidRPr="00FF5FBE">
        <w:t>autorizovaný architekt ČKA 04642</w:t>
      </w:r>
    </w:p>
    <w:p w14:paraId="674BAE68" w14:textId="77777777" w:rsidR="004C4569" w:rsidRPr="00FF5FBE" w:rsidRDefault="004C4569" w:rsidP="004C4569">
      <w:pPr>
        <w:pStyle w:val="Normlnbezmezer"/>
      </w:pPr>
      <w:r w:rsidRPr="00FF5FBE">
        <w:t>T.: +420 728 555 462</w:t>
      </w:r>
    </w:p>
    <w:p w14:paraId="5D6EB9A0" w14:textId="77777777" w:rsidR="004C4569" w:rsidRPr="00FF5FBE" w:rsidRDefault="004C4569" w:rsidP="004C4569">
      <w:pPr>
        <w:pStyle w:val="Normlnbezmezer"/>
      </w:pPr>
      <w:r w:rsidRPr="00FF5FBE">
        <w:t>E.: office@gogolak-grasse.com</w:t>
      </w:r>
    </w:p>
    <w:p w14:paraId="7BD413E6" w14:textId="77777777" w:rsidR="004C4569" w:rsidRPr="00FF5FBE" w:rsidRDefault="004C4569" w:rsidP="004C4569">
      <w:pPr>
        <w:ind w:left="0"/>
        <w:rPr>
          <w:sz w:val="24"/>
        </w:rPr>
      </w:pPr>
    </w:p>
    <w:p w14:paraId="120C6A86" w14:textId="77777777" w:rsidR="004C4569" w:rsidRPr="00FF5FBE" w:rsidRDefault="004C4569" w:rsidP="004C4569">
      <w:pPr>
        <w:ind w:left="0"/>
        <w:rPr>
          <w:sz w:val="24"/>
        </w:rPr>
      </w:pPr>
      <w:r w:rsidRPr="00FF5FBE">
        <w:rPr>
          <w:sz w:val="24"/>
        </w:rPr>
        <w:t>Autorský kolektiv</w:t>
      </w:r>
    </w:p>
    <w:p w14:paraId="015F55D9" w14:textId="77777777" w:rsidR="004C4569" w:rsidRPr="00FF5FBE" w:rsidRDefault="004C4569" w:rsidP="004C4569">
      <w:pPr>
        <w:pStyle w:val="Normlnbezmezer"/>
      </w:pPr>
      <w:r w:rsidRPr="00FF5FBE">
        <w:t>Ing. arch. Ivan Gogolák, Ph.D.</w:t>
      </w:r>
      <w:r w:rsidRPr="00FF5FBE">
        <w:tab/>
      </w:r>
      <w:r w:rsidRPr="00FF5FBE">
        <w:tab/>
      </w:r>
    </w:p>
    <w:p w14:paraId="416D1E07" w14:textId="77777777" w:rsidR="004C4569" w:rsidRPr="00FF5FBE" w:rsidRDefault="004C4569" w:rsidP="004C4569">
      <w:pPr>
        <w:pStyle w:val="Normlnbezmezer"/>
      </w:pPr>
      <w:r w:rsidRPr="00FF5FBE">
        <w:t xml:space="preserve">Ing. arch. Lukáš Grasse, </w:t>
      </w:r>
    </w:p>
    <w:p w14:paraId="1225D53A" w14:textId="77777777" w:rsidR="004C4569" w:rsidRPr="00FF5FBE" w:rsidRDefault="004C4569" w:rsidP="004C4569">
      <w:pPr>
        <w:pStyle w:val="Normlnbezmezer"/>
        <w:rPr>
          <w:spacing w:val="-1"/>
        </w:rPr>
      </w:pPr>
      <w:r w:rsidRPr="00FF5FBE">
        <w:rPr>
          <w:spacing w:val="-1"/>
        </w:rPr>
        <w:t>Ing. arch. Karolína Řízek Čechová</w:t>
      </w:r>
    </w:p>
    <w:p w14:paraId="5071D97A" w14:textId="77777777" w:rsidR="004C4569" w:rsidRPr="00FF5FBE" w:rsidRDefault="004C4569" w:rsidP="004C4569">
      <w:pPr>
        <w:pStyle w:val="Normlnbezmezer"/>
        <w:rPr>
          <w:spacing w:val="-1"/>
        </w:rPr>
      </w:pPr>
      <w:r w:rsidRPr="00FF5FBE">
        <w:rPr>
          <w:spacing w:val="-1"/>
        </w:rPr>
        <w:t>Ing. arch. Alexandra Nichtová</w:t>
      </w:r>
    </w:p>
    <w:p w14:paraId="3AB0FB22" w14:textId="77777777" w:rsidR="004C4569" w:rsidRDefault="004C4569" w:rsidP="004C4569">
      <w:pPr>
        <w:pStyle w:val="Normlnbezmezer"/>
        <w:rPr>
          <w:spacing w:val="-1"/>
        </w:rPr>
      </w:pPr>
      <w:r w:rsidRPr="00FF5FBE">
        <w:rPr>
          <w:spacing w:val="-1"/>
        </w:rPr>
        <w:t>Sarah Abdel-Malak</w:t>
      </w:r>
    </w:p>
    <w:p w14:paraId="280D9C9B" w14:textId="77777777" w:rsidR="001D1E04" w:rsidRDefault="001D1E04" w:rsidP="001D1E04">
      <w:pPr>
        <w:pStyle w:val="Normlnbezmezer"/>
        <w:rPr>
          <w:spacing w:val="-1"/>
        </w:rPr>
      </w:pPr>
      <w:r>
        <w:rPr>
          <w:spacing w:val="-1"/>
        </w:rPr>
        <w:t>Ing. Michael Girgel – krajina a ÚSES</w:t>
      </w:r>
    </w:p>
    <w:p w14:paraId="2D3DA03B" w14:textId="4D50EF2C" w:rsidR="001D1E04" w:rsidRPr="00FF5FBE" w:rsidRDefault="001D1E04" w:rsidP="001D1E04">
      <w:pPr>
        <w:pStyle w:val="Normlnbezmezer"/>
        <w:rPr>
          <w:spacing w:val="-1"/>
        </w:rPr>
      </w:pPr>
      <w:r>
        <w:rPr>
          <w:spacing w:val="-1"/>
        </w:rPr>
        <w:t>Ing. Petr Staněk – doprava</w:t>
      </w:r>
    </w:p>
    <w:p w14:paraId="1A6ACD46" w14:textId="77777777" w:rsidR="004C4569" w:rsidRPr="00FF5FBE" w:rsidRDefault="004C4569" w:rsidP="004C4569">
      <w:pPr>
        <w:ind w:left="0"/>
        <w:rPr>
          <w:sz w:val="24"/>
        </w:rPr>
      </w:pPr>
    </w:p>
    <w:p w14:paraId="0E51B227" w14:textId="77777777" w:rsidR="004C4569" w:rsidRPr="00FF5FBE" w:rsidRDefault="004C4569" w:rsidP="004C4569">
      <w:pPr>
        <w:ind w:left="0"/>
        <w:rPr>
          <w:sz w:val="24"/>
        </w:rPr>
      </w:pPr>
      <w:r w:rsidRPr="00FF5FBE">
        <w:rPr>
          <w:sz w:val="24"/>
        </w:rPr>
        <w:t>Datum</w:t>
      </w:r>
    </w:p>
    <w:p w14:paraId="623F5702" w14:textId="18AB13B7" w:rsidR="0003612D" w:rsidRPr="00040C21" w:rsidRDefault="009B15CB">
      <w:pPr>
        <w:ind w:left="0"/>
        <w:rPr>
          <w:sz w:val="28"/>
          <w:szCs w:val="28"/>
        </w:rPr>
      </w:pPr>
      <w:r>
        <w:t>0</w:t>
      </w:r>
      <w:r w:rsidR="001D1E04">
        <w:t>6</w:t>
      </w:r>
      <w:r>
        <w:t>/2026</w:t>
      </w:r>
      <w:r w:rsidR="0003612D" w:rsidRPr="00040C21">
        <w:rPr>
          <w:sz w:val="28"/>
          <w:szCs w:val="28"/>
        </w:rPr>
        <w:br w:type="page"/>
      </w:r>
    </w:p>
    <w:p w14:paraId="5EA526E6" w14:textId="34F9B06C" w:rsidR="00625CFC" w:rsidRPr="00040C21" w:rsidRDefault="00B65D86" w:rsidP="00464158">
      <w:pPr>
        <w:ind w:left="0"/>
        <w:rPr>
          <w:sz w:val="28"/>
          <w:szCs w:val="28"/>
        </w:rPr>
      </w:pPr>
      <w:r w:rsidRPr="00040C21">
        <w:rPr>
          <w:sz w:val="28"/>
          <w:szCs w:val="28"/>
        </w:rPr>
        <w:lastRenderedPageBreak/>
        <w:t>Obsah</w:t>
      </w:r>
    </w:p>
    <w:p w14:paraId="7A308464" w14:textId="059B62BA" w:rsidR="00825198" w:rsidRPr="00825198" w:rsidRDefault="00464158">
      <w:pPr>
        <w:pStyle w:val="Obsah1"/>
        <w:rPr>
          <w:rFonts w:eastAsiaTheme="minorEastAsia" w:cstheme="minorBidi"/>
          <w:b w:val="0"/>
          <w:bCs w:val="0"/>
          <w:noProof/>
          <w:kern w:val="2"/>
          <w:sz w:val="16"/>
          <w:szCs w:val="16"/>
          <w14:ligatures w14:val="standardContextual"/>
        </w:rPr>
      </w:pPr>
      <w:r w:rsidRPr="00825198">
        <w:rPr>
          <w:rFonts w:cstheme="minorHAnsi"/>
          <w:sz w:val="16"/>
          <w:szCs w:val="16"/>
        </w:rPr>
        <w:fldChar w:fldCharType="begin"/>
      </w:r>
      <w:r w:rsidRPr="00825198">
        <w:rPr>
          <w:rFonts w:cstheme="minorHAnsi"/>
          <w:sz w:val="16"/>
          <w:szCs w:val="16"/>
        </w:rPr>
        <w:instrText xml:space="preserve"> TOC \o "1-3" \h \z \u </w:instrText>
      </w:r>
      <w:r w:rsidRPr="00825198">
        <w:rPr>
          <w:rFonts w:cstheme="minorHAnsi"/>
          <w:sz w:val="16"/>
          <w:szCs w:val="16"/>
        </w:rPr>
        <w:fldChar w:fldCharType="separate"/>
      </w:r>
      <w:hyperlink w:anchor="_Toc232612579" w:history="1">
        <w:r w:rsidR="00825198" w:rsidRPr="00825198">
          <w:rPr>
            <w:rStyle w:val="Hypertextovodkaz"/>
            <w:noProof/>
            <w:sz w:val="16"/>
            <w:szCs w:val="16"/>
          </w:rPr>
          <w:t>I</w:t>
        </w:r>
        <w:r w:rsidR="00825198" w:rsidRPr="00825198">
          <w:rPr>
            <w:rFonts w:eastAsiaTheme="minorEastAsia" w:cstheme="minorBidi"/>
            <w:b w:val="0"/>
            <w:bCs w:val="0"/>
            <w:noProof/>
            <w:kern w:val="2"/>
            <w:sz w:val="16"/>
            <w:szCs w:val="16"/>
            <w14:ligatures w14:val="standardContextual"/>
          </w:rPr>
          <w:tab/>
        </w:r>
        <w:r w:rsidR="00825198" w:rsidRPr="00825198">
          <w:rPr>
            <w:rStyle w:val="Hypertextovodkaz"/>
            <w:noProof/>
            <w:sz w:val="16"/>
            <w:szCs w:val="16"/>
          </w:rPr>
          <w:t>Postup pořízení územního plánu</w:t>
        </w:r>
        <w:r w:rsidR="00825198" w:rsidRPr="00825198">
          <w:rPr>
            <w:noProof/>
            <w:webHidden/>
            <w:sz w:val="16"/>
            <w:szCs w:val="16"/>
          </w:rPr>
          <w:tab/>
        </w:r>
        <w:r w:rsidR="00825198" w:rsidRPr="00825198">
          <w:rPr>
            <w:noProof/>
            <w:webHidden/>
            <w:sz w:val="16"/>
            <w:szCs w:val="16"/>
          </w:rPr>
          <w:fldChar w:fldCharType="begin"/>
        </w:r>
        <w:r w:rsidR="00825198" w:rsidRPr="00825198">
          <w:rPr>
            <w:noProof/>
            <w:webHidden/>
            <w:sz w:val="16"/>
            <w:szCs w:val="16"/>
          </w:rPr>
          <w:instrText xml:space="preserve"> PAGEREF _Toc232612579 \h </w:instrText>
        </w:r>
        <w:r w:rsidR="00825198" w:rsidRPr="00825198">
          <w:rPr>
            <w:noProof/>
            <w:webHidden/>
            <w:sz w:val="16"/>
            <w:szCs w:val="16"/>
          </w:rPr>
        </w:r>
        <w:r w:rsidR="00825198" w:rsidRPr="00825198">
          <w:rPr>
            <w:noProof/>
            <w:webHidden/>
            <w:sz w:val="16"/>
            <w:szCs w:val="16"/>
          </w:rPr>
          <w:fldChar w:fldCharType="separate"/>
        </w:r>
        <w:r w:rsidR="00B23DE1">
          <w:rPr>
            <w:noProof/>
            <w:webHidden/>
            <w:sz w:val="16"/>
            <w:szCs w:val="16"/>
          </w:rPr>
          <w:t>6</w:t>
        </w:r>
        <w:r w:rsidR="00825198" w:rsidRPr="00825198">
          <w:rPr>
            <w:noProof/>
            <w:webHidden/>
            <w:sz w:val="16"/>
            <w:szCs w:val="16"/>
          </w:rPr>
          <w:fldChar w:fldCharType="end"/>
        </w:r>
      </w:hyperlink>
    </w:p>
    <w:p w14:paraId="3253EEF5" w14:textId="3A84FC34" w:rsidR="00825198" w:rsidRPr="00825198" w:rsidRDefault="00825198">
      <w:pPr>
        <w:pStyle w:val="Obsah1"/>
        <w:rPr>
          <w:rFonts w:eastAsiaTheme="minorEastAsia" w:cstheme="minorBidi"/>
          <w:b w:val="0"/>
          <w:bCs w:val="0"/>
          <w:noProof/>
          <w:kern w:val="2"/>
          <w:sz w:val="16"/>
          <w:szCs w:val="16"/>
          <w14:ligatures w14:val="standardContextual"/>
        </w:rPr>
      </w:pPr>
      <w:hyperlink w:anchor="_Toc232612580" w:history="1">
        <w:r w:rsidRPr="00825198">
          <w:rPr>
            <w:rStyle w:val="Hypertextovodkaz"/>
            <w:noProof/>
            <w:sz w:val="16"/>
            <w:szCs w:val="16"/>
          </w:rPr>
          <w:t>II</w:t>
        </w:r>
        <w:r w:rsidRPr="00825198">
          <w:rPr>
            <w:rFonts w:eastAsiaTheme="minorEastAsia" w:cstheme="minorBidi"/>
            <w:b w:val="0"/>
            <w:bCs w:val="0"/>
            <w:noProof/>
            <w:kern w:val="2"/>
            <w:sz w:val="16"/>
            <w:szCs w:val="16"/>
            <w14:ligatures w14:val="standardContextual"/>
          </w:rPr>
          <w:tab/>
        </w:r>
        <w:r w:rsidRPr="00825198">
          <w:rPr>
            <w:rStyle w:val="Hypertextovodkaz"/>
            <w:noProof/>
            <w:sz w:val="16"/>
            <w:szCs w:val="16"/>
          </w:rPr>
          <w:t>Vyhodnocení souladu s cíli a úkoly územního plánování a s požadavky stavebního zákona</w:t>
        </w:r>
        <w:r w:rsidRPr="00825198">
          <w:rPr>
            <w:noProof/>
            <w:webHidden/>
            <w:sz w:val="16"/>
            <w:szCs w:val="16"/>
          </w:rPr>
          <w:tab/>
        </w:r>
        <w:r w:rsidRPr="00825198">
          <w:rPr>
            <w:noProof/>
            <w:webHidden/>
            <w:sz w:val="16"/>
            <w:szCs w:val="16"/>
          </w:rPr>
          <w:fldChar w:fldCharType="begin"/>
        </w:r>
        <w:r w:rsidRPr="00825198">
          <w:rPr>
            <w:noProof/>
            <w:webHidden/>
            <w:sz w:val="16"/>
            <w:szCs w:val="16"/>
          </w:rPr>
          <w:instrText xml:space="preserve"> PAGEREF _Toc232612580 \h </w:instrText>
        </w:r>
        <w:r w:rsidRPr="00825198">
          <w:rPr>
            <w:noProof/>
            <w:webHidden/>
            <w:sz w:val="16"/>
            <w:szCs w:val="16"/>
          </w:rPr>
        </w:r>
        <w:r w:rsidRPr="00825198">
          <w:rPr>
            <w:noProof/>
            <w:webHidden/>
            <w:sz w:val="16"/>
            <w:szCs w:val="16"/>
          </w:rPr>
          <w:fldChar w:fldCharType="separate"/>
        </w:r>
        <w:r w:rsidR="00B23DE1">
          <w:rPr>
            <w:noProof/>
            <w:webHidden/>
            <w:sz w:val="16"/>
            <w:szCs w:val="16"/>
          </w:rPr>
          <w:t>6</w:t>
        </w:r>
        <w:r w:rsidRPr="00825198">
          <w:rPr>
            <w:noProof/>
            <w:webHidden/>
            <w:sz w:val="16"/>
            <w:szCs w:val="16"/>
          </w:rPr>
          <w:fldChar w:fldCharType="end"/>
        </w:r>
      </w:hyperlink>
    </w:p>
    <w:p w14:paraId="590305F1" w14:textId="2819F4BA" w:rsidR="00825198" w:rsidRPr="00825198" w:rsidRDefault="00825198">
      <w:pPr>
        <w:pStyle w:val="Obsah2"/>
        <w:rPr>
          <w:rFonts w:eastAsiaTheme="minorEastAsia" w:cstheme="minorBidi"/>
          <w:i w:val="0"/>
          <w:iCs w:val="0"/>
          <w:noProof/>
          <w:kern w:val="2"/>
          <w:sz w:val="16"/>
          <w:szCs w:val="16"/>
          <w14:ligatures w14:val="standardContextual"/>
        </w:rPr>
      </w:pPr>
      <w:hyperlink w:anchor="_Toc232612581" w:history="1">
        <w:r w:rsidRPr="00825198">
          <w:rPr>
            <w:rStyle w:val="Hypertextovodkaz"/>
            <w:noProof/>
            <w:sz w:val="16"/>
            <w:szCs w:val="16"/>
          </w:rPr>
          <w:t>II.a</w:t>
        </w:r>
        <w:r w:rsidRPr="00825198">
          <w:rPr>
            <w:rFonts w:eastAsiaTheme="minorEastAsia" w:cstheme="minorBidi"/>
            <w:i w:val="0"/>
            <w:iCs w:val="0"/>
            <w:noProof/>
            <w:kern w:val="2"/>
            <w:sz w:val="16"/>
            <w:szCs w:val="16"/>
            <w14:ligatures w14:val="standardContextual"/>
          </w:rPr>
          <w:tab/>
        </w:r>
        <w:r w:rsidRPr="00825198">
          <w:rPr>
            <w:rStyle w:val="Hypertextovodkaz"/>
            <w:noProof/>
            <w:sz w:val="16"/>
            <w:szCs w:val="16"/>
          </w:rPr>
          <w:t>Vyhodnocení souladu s cíli a úkoly územního plánování</w:t>
        </w:r>
        <w:r w:rsidRPr="00825198">
          <w:rPr>
            <w:noProof/>
            <w:webHidden/>
            <w:sz w:val="16"/>
            <w:szCs w:val="16"/>
          </w:rPr>
          <w:tab/>
        </w:r>
        <w:r w:rsidRPr="00825198">
          <w:rPr>
            <w:noProof/>
            <w:webHidden/>
            <w:sz w:val="16"/>
            <w:szCs w:val="16"/>
          </w:rPr>
          <w:fldChar w:fldCharType="begin"/>
        </w:r>
        <w:r w:rsidRPr="00825198">
          <w:rPr>
            <w:noProof/>
            <w:webHidden/>
            <w:sz w:val="16"/>
            <w:szCs w:val="16"/>
          </w:rPr>
          <w:instrText xml:space="preserve"> PAGEREF _Toc232612581 \h </w:instrText>
        </w:r>
        <w:r w:rsidRPr="00825198">
          <w:rPr>
            <w:noProof/>
            <w:webHidden/>
            <w:sz w:val="16"/>
            <w:szCs w:val="16"/>
          </w:rPr>
        </w:r>
        <w:r w:rsidRPr="00825198">
          <w:rPr>
            <w:noProof/>
            <w:webHidden/>
            <w:sz w:val="16"/>
            <w:szCs w:val="16"/>
          </w:rPr>
          <w:fldChar w:fldCharType="separate"/>
        </w:r>
        <w:r w:rsidR="00B23DE1">
          <w:rPr>
            <w:noProof/>
            <w:webHidden/>
            <w:sz w:val="16"/>
            <w:szCs w:val="16"/>
          </w:rPr>
          <w:t>6</w:t>
        </w:r>
        <w:r w:rsidRPr="00825198">
          <w:rPr>
            <w:noProof/>
            <w:webHidden/>
            <w:sz w:val="16"/>
            <w:szCs w:val="16"/>
          </w:rPr>
          <w:fldChar w:fldCharType="end"/>
        </w:r>
      </w:hyperlink>
    </w:p>
    <w:p w14:paraId="6407DFB1" w14:textId="31E304DC" w:rsidR="00825198" w:rsidRPr="00825198" w:rsidRDefault="00825198">
      <w:pPr>
        <w:pStyle w:val="Obsah3"/>
        <w:rPr>
          <w:rFonts w:eastAsiaTheme="minorEastAsia" w:cstheme="minorBidi"/>
          <w:noProof/>
          <w:kern w:val="2"/>
          <w:sz w:val="16"/>
          <w:szCs w:val="16"/>
          <w14:ligatures w14:val="standardContextual"/>
        </w:rPr>
      </w:pPr>
      <w:hyperlink w:anchor="_Toc232612582" w:history="1">
        <w:r w:rsidRPr="00825198">
          <w:rPr>
            <w:rStyle w:val="Hypertextovodkaz"/>
            <w:noProof/>
            <w:sz w:val="16"/>
            <w:szCs w:val="16"/>
          </w:rPr>
          <w:t>II.a/1</w:t>
        </w:r>
        <w:r w:rsidRPr="00825198">
          <w:rPr>
            <w:rFonts w:eastAsiaTheme="minorEastAsia" w:cstheme="minorBidi"/>
            <w:noProof/>
            <w:kern w:val="2"/>
            <w:sz w:val="16"/>
            <w:szCs w:val="16"/>
            <w14:ligatures w14:val="standardContextual"/>
          </w:rPr>
          <w:tab/>
        </w:r>
        <w:r w:rsidRPr="00825198">
          <w:rPr>
            <w:rStyle w:val="Hypertextovodkaz"/>
            <w:noProof/>
            <w:sz w:val="16"/>
            <w:szCs w:val="16"/>
          </w:rPr>
          <w:t>Cíle územního plánování</w:t>
        </w:r>
        <w:r w:rsidRPr="00825198">
          <w:rPr>
            <w:noProof/>
            <w:webHidden/>
            <w:sz w:val="16"/>
            <w:szCs w:val="16"/>
          </w:rPr>
          <w:tab/>
        </w:r>
        <w:r w:rsidRPr="00825198">
          <w:rPr>
            <w:noProof/>
            <w:webHidden/>
            <w:sz w:val="16"/>
            <w:szCs w:val="16"/>
          </w:rPr>
          <w:fldChar w:fldCharType="begin"/>
        </w:r>
        <w:r w:rsidRPr="00825198">
          <w:rPr>
            <w:noProof/>
            <w:webHidden/>
            <w:sz w:val="16"/>
            <w:szCs w:val="16"/>
          </w:rPr>
          <w:instrText xml:space="preserve"> PAGEREF _Toc232612582 \h </w:instrText>
        </w:r>
        <w:r w:rsidRPr="00825198">
          <w:rPr>
            <w:noProof/>
            <w:webHidden/>
            <w:sz w:val="16"/>
            <w:szCs w:val="16"/>
          </w:rPr>
        </w:r>
        <w:r w:rsidRPr="00825198">
          <w:rPr>
            <w:noProof/>
            <w:webHidden/>
            <w:sz w:val="16"/>
            <w:szCs w:val="16"/>
          </w:rPr>
          <w:fldChar w:fldCharType="separate"/>
        </w:r>
        <w:r w:rsidR="00B23DE1">
          <w:rPr>
            <w:noProof/>
            <w:webHidden/>
            <w:sz w:val="16"/>
            <w:szCs w:val="16"/>
          </w:rPr>
          <w:t>6</w:t>
        </w:r>
        <w:r w:rsidRPr="00825198">
          <w:rPr>
            <w:noProof/>
            <w:webHidden/>
            <w:sz w:val="16"/>
            <w:szCs w:val="16"/>
          </w:rPr>
          <w:fldChar w:fldCharType="end"/>
        </w:r>
      </w:hyperlink>
    </w:p>
    <w:p w14:paraId="1D1D6DC8" w14:textId="049A8E78" w:rsidR="00825198" w:rsidRPr="00825198" w:rsidRDefault="00825198">
      <w:pPr>
        <w:pStyle w:val="Obsah3"/>
        <w:rPr>
          <w:rFonts w:eastAsiaTheme="minorEastAsia" w:cstheme="minorBidi"/>
          <w:noProof/>
          <w:kern w:val="2"/>
          <w:sz w:val="16"/>
          <w:szCs w:val="16"/>
          <w14:ligatures w14:val="standardContextual"/>
        </w:rPr>
      </w:pPr>
      <w:hyperlink w:anchor="_Toc232612583" w:history="1">
        <w:r w:rsidRPr="00825198">
          <w:rPr>
            <w:rStyle w:val="Hypertextovodkaz"/>
            <w:noProof/>
            <w:sz w:val="16"/>
            <w:szCs w:val="16"/>
          </w:rPr>
          <w:t>II.a/2</w:t>
        </w:r>
        <w:r w:rsidRPr="00825198">
          <w:rPr>
            <w:rFonts w:eastAsiaTheme="minorEastAsia" w:cstheme="minorBidi"/>
            <w:noProof/>
            <w:kern w:val="2"/>
            <w:sz w:val="16"/>
            <w:szCs w:val="16"/>
            <w14:ligatures w14:val="standardContextual"/>
          </w:rPr>
          <w:tab/>
        </w:r>
        <w:r w:rsidRPr="00825198">
          <w:rPr>
            <w:rStyle w:val="Hypertextovodkaz"/>
            <w:noProof/>
            <w:sz w:val="16"/>
            <w:szCs w:val="16"/>
          </w:rPr>
          <w:t>Úkoly územního plánování</w:t>
        </w:r>
        <w:r w:rsidRPr="00825198">
          <w:rPr>
            <w:noProof/>
            <w:webHidden/>
            <w:sz w:val="16"/>
            <w:szCs w:val="16"/>
          </w:rPr>
          <w:tab/>
        </w:r>
        <w:r w:rsidRPr="00825198">
          <w:rPr>
            <w:noProof/>
            <w:webHidden/>
            <w:sz w:val="16"/>
            <w:szCs w:val="16"/>
          </w:rPr>
          <w:fldChar w:fldCharType="begin"/>
        </w:r>
        <w:r w:rsidRPr="00825198">
          <w:rPr>
            <w:noProof/>
            <w:webHidden/>
            <w:sz w:val="16"/>
            <w:szCs w:val="16"/>
          </w:rPr>
          <w:instrText xml:space="preserve"> PAGEREF _Toc232612583 \h </w:instrText>
        </w:r>
        <w:r w:rsidRPr="00825198">
          <w:rPr>
            <w:noProof/>
            <w:webHidden/>
            <w:sz w:val="16"/>
            <w:szCs w:val="16"/>
          </w:rPr>
        </w:r>
        <w:r w:rsidRPr="00825198">
          <w:rPr>
            <w:noProof/>
            <w:webHidden/>
            <w:sz w:val="16"/>
            <w:szCs w:val="16"/>
          </w:rPr>
          <w:fldChar w:fldCharType="separate"/>
        </w:r>
        <w:r w:rsidR="00B23DE1">
          <w:rPr>
            <w:noProof/>
            <w:webHidden/>
            <w:sz w:val="16"/>
            <w:szCs w:val="16"/>
          </w:rPr>
          <w:t>6</w:t>
        </w:r>
        <w:r w:rsidRPr="00825198">
          <w:rPr>
            <w:noProof/>
            <w:webHidden/>
            <w:sz w:val="16"/>
            <w:szCs w:val="16"/>
          </w:rPr>
          <w:fldChar w:fldCharType="end"/>
        </w:r>
      </w:hyperlink>
    </w:p>
    <w:p w14:paraId="0D095B64" w14:textId="2F2A8085" w:rsidR="00825198" w:rsidRPr="00825198" w:rsidRDefault="00825198">
      <w:pPr>
        <w:pStyle w:val="Obsah2"/>
        <w:rPr>
          <w:rFonts w:eastAsiaTheme="minorEastAsia" w:cstheme="minorBidi"/>
          <w:i w:val="0"/>
          <w:iCs w:val="0"/>
          <w:noProof/>
          <w:kern w:val="2"/>
          <w:sz w:val="16"/>
          <w:szCs w:val="16"/>
          <w14:ligatures w14:val="standardContextual"/>
        </w:rPr>
      </w:pPr>
      <w:hyperlink w:anchor="_Toc232612584" w:history="1">
        <w:r w:rsidRPr="00825198">
          <w:rPr>
            <w:rStyle w:val="Hypertextovodkaz"/>
            <w:noProof/>
            <w:sz w:val="16"/>
            <w:szCs w:val="16"/>
          </w:rPr>
          <w:t>II.b</w:t>
        </w:r>
        <w:r w:rsidRPr="00825198">
          <w:rPr>
            <w:rFonts w:eastAsiaTheme="minorEastAsia" w:cstheme="minorBidi"/>
            <w:i w:val="0"/>
            <w:iCs w:val="0"/>
            <w:noProof/>
            <w:kern w:val="2"/>
            <w:sz w:val="16"/>
            <w:szCs w:val="16"/>
            <w14:ligatures w14:val="standardContextual"/>
          </w:rPr>
          <w:tab/>
        </w:r>
        <w:r w:rsidRPr="00825198">
          <w:rPr>
            <w:rStyle w:val="Hypertextovodkaz"/>
            <w:noProof/>
            <w:sz w:val="16"/>
            <w:szCs w:val="16"/>
          </w:rPr>
          <w:t>Vyhodnocení souladu s požadavky stavebního zákona</w:t>
        </w:r>
        <w:r w:rsidRPr="00825198">
          <w:rPr>
            <w:noProof/>
            <w:webHidden/>
            <w:sz w:val="16"/>
            <w:szCs w:val="16"/>
          </w:rPr>
          <w:tab/>
        </w:r>
        <w:r w:rsidRPr="00825198">
          <w:rPr>
            <w:noProof/>
            <w:webHidden/>
            <w:sz w:val="16"/>
            <w:szCs w:val="16"/>
          </w:rPr>
          <w:fldChar w:fldCharType="begin"/>
        </w:r>
        <w:r w:rsidRPr="00825198">
          <w:rPr>
            <w:noProof/>
            <w:webHidden/>
            <w:sz w:val="16"/>
            <w:szCs w:val="16"/>
          </w:rPr>
          <w:instrText xml:space="preserve"> PAGEREF _Toc232612584 \h </w:instrText>
        </w:r>
        <w:r w:rsidRPr="00825198">
          <w:rPr>
            <w:noProof/>
            <w:webHidden/>
            <w:sz w:val="16"/>
            <w:szCs w:val="16"/>
          </w:rPr>
        </w:r>
        <w:r w:rsidRPr="00825198">
          <w:rPr>
            <w:noProof/>
            <w:webHidden/>
            <w:sz w:val="16"/>
            <w:szCs w:val="16"/>
          </w:rPr>
          <w:fldChar w:fldCharType="separate"/>
        </w:r>
        <w:r w:rsidR="00B23DE1">
          <w:rPr>
            <w:noProof/>
            <w:webHidden/>
            <w:sz w:val="16"/>
            <w:szCs w:val="16"/>
          </w:rPr>
          <w:t>8</w:t>
        </w:r>
        <w:r w:rsidRPr="00825198">
          <w:rPr>
            <w:noProof/>
            <w:webHidden/>
            <w:sz w:val="16"/>
            <w:szCs w:val="16"/>
          </w:rPr>
          <w:fldChar w:fldCharType="end"/>
        </w:r>
      </w:hyperlink>
    </w:p>
    <w:p w14:paraId="3B03B49D" w14:textId="3B64C565" w:rsidR="00825198" w:rsidRPr="00825198" w:rsidRDefault="00825198">
      <w:pPr>
        <w:pStyle w:val="Obsah1"/>
        <w:rPr>
          <w:rFonts w:eastAsiaTheme="minorEastAsia" w:cstheme="minorBidi"/>
          <w:b w:val="0"/>
          <w:bCs w:val="0"/>
          <w:noProof/>
          <w:kern w:val="2"/>
          <w:sz w:val="16"/>
          <w:szCs w:val="16"/>
          <w14:ligatures w14:val="standardContextual"/>
        </w:rPr>
      </w:pPr>
      <w:hyperlink w:anchor="_Toc232612585" w:history="1">
        <w:r w:rsidRPr="00825198">
          <w:rPr>
            <w:rStyle w:val="Hypertextovodkaz"/>
            <w:noProof/>
            <w:sz w:val="16"/>
            <w:szCs w:val="16"/>
          </w:rPr>
          <w:t>III</w:t>
        </w:r>
        <w:r w:rsidRPr="00825198">
          <w:rPr>
            <w:rFonts w:eastAsiaTheme="minorEastAsia" w:cstheme="minorBidi"/>
            <w:b w:val="0"/>
            <w:bCs w:val="0"/>
            <w:noProof/>
            <w:kern w:val="2"/>
            <w:sz w:val="16"/>
            <w:szCs w:val="16"/>
            <w14:ligatures w14:val="standardContextual"/>
          </w:rPr>
          <w:tab/>
        </w:r>
        <w:r w:rsidRPr="00825198">
          <w:rPr>
            <w:rStyle w:val="Hypertextovodkaz"/>
            <w:noProof/>
            <w:sz w:val="16"/>
            <w:szCs w:val="16"/>
          </w:rPr>
          <w:t>Vyhodnocení souladu s požadavky jiných právních předpisů a se stanovisky dotčených orgánů, popřípadě s výsledkem řešení rozporů</w:t>
        </w:r>
        <w:r w:rsidRPr="00825198">
          <w:rPr>
            <w:noProof/>
            <w:webHidden/>
            <w:sz w:val="16"/>
            <w:szCs w:val="16"/>
          </w:rPr>
          <w:tab/>
        </w:r>
        <w:r w:rsidRPr="00825198">
          <w:rPr>
            <w:noProof/>
            <w:webHidden/>
            <w:sz w:val="16"/>
            <w:szCs w:val="16"/>
          </w:rPr>
          <w:fldChar w:fldCharType="begin"/>
        </w:r>
        <w:r w:rsidRPr="00825198">
          <w:rPr>
            <w:noProof/>
            <w:webHidden/>
            <w:sz w:val="16"/>
            <w:szCs w:val="16"/>
          </w:rPr>
          <w:instrText xml:space="preserve"> PAGEREF _Toc232612585 \h </w:instrText>
        </w:r>
        <w:r w:rsidRPr="00825198">
          <w:rPr>
            <w:noProof/>
            <w:webHidden/>
            <w:sz w:val="16"/>
            <w:szCs w:val="16"/>
          </w:rPr>
        </w:r>
        <w:r w:rsidRPr="00825198">
          <w:rPr>
            <w:noProof/>
            <w:webHidden/>
            <w:sz w:val="16"/>
            <w:szCs w:val="16"/>
          </w:rPr>
          <w:fldChar w:fldCharType="separate"/>
        </w:r>
        <w:r w:rsidR="00B23DE1">
          <w:rPr>
            <w:noProof/>
            <w:webHidden/>
            <w:sz w:val="16"/>
            <w:szCs w:val="16"/>
          </w:rPr>
          <w:t>8</w:t>
        </w:r>
        <w:r w:rsidRPr="00825198">
          <w:rPr>
            <w:noProof/>
            <w:webHidden/>
            <w:sz w:val="16"/>
            <w:szCs w:val="16"/>
          </w:rPr>
          <w:fldChar w:fldCharType="end"/>
        </w:r>
      </w:hyperlink>
    </w:p>
    <w:p w14:paraId="1834C819" w14:textId="1DF2EFB4" w:rsidR="00825198" w:rsidRPr="00825198" w:rsidRDefault="00825198">
      <w:pPr>
        <w:pStyle w:val="Obsah2"/>
        <w:rPr>
          <w:rFonts w:eastAsiaTheme="minorEastAsia" w:cstheme="minorBidi"/>
          <w:i w:val="0"/>
          <w:iCs w:val="0"/>
          <w:noProof/>
          <w:kern w:val="2"/>
          <w:sz w:val="16"/>
          <w:szCs w:val="16"/>
          <w14:ligatures w14:val="standardContextual"/>
        </w:rPr>
      </w:pPr>
      <w:hyperlink w:anchor="_Toc232612586" w:history="1">
        <w:r w:rsidRPr="00825198">
          <w:rPr>
            <w:rStyle w:val="Hypertextovodkaz"/>
            <w:noProof/>
            <w:sz w:val="16"/>
            <w:szCs w:val="16"/>
          </w:rPr>
          <w:t>III.a</w:t>
        </w:r>
        <w:r w:rsidRPr="00825198">
          <w:rPr>
            <w:rFonts w:eastAsiaTheme="minorEastAsia" w:cstheme="minorBidi"/>
            <w:i w:val="0"/>
            <w:iCs w:val="0"/>
            <w:noProof/>
            <w:kern w:val="2"/>
            <w:sz w:val="16"/>
            <w:szCs w:val="16"/>
            <w14:ligatures w14:val="standardContextual"/>
          </w:rPr>
          <w:tab/>
        </w:r>
        <w:r w:rsidRPr="00825198">
          <w:rPr>
            <w:rStyle w:val="Hypertextovodkaz"/>
            <w:noProof/>
            <w:sz w:val="16"/>
            <w:szCs w:val="16"/>
          </w:rPr>
          <w:t>Krajský úřad Olomouckého kraje, Odbor strategického rozvoje kraje</w:t>
        </w:r>
        <w:r w:rsidRPr="00825198">
          <w:rPr>
            <w:noProof/>
            <w:webHidden/>
            <w:sz w:val="16"/>
            <w:szCs w:val="16"/>
          </w:rPr>
          <w:tab/>
        </w:r>
        <w:r w:rsidRPr="00825198">
          <w:rPr>
            <w:noProof/>
            <w:webHidden/>
            <w:sz w:val="16"/>
            <w:szCs w:val="16"/>
          </w:rPr>
          <w:fldChar w:fldCharType="begin"/>
        </w:r>
        <w:r w:rsidRPr="00825198">
          <w:rPr>
            <w:noProof/>
            <w:webHidden/>
            <w:sz w:val="16"/>
            <w:szCs w:val="16"/>
          </w:rPr>
          <w:instrText xml:space="preserve"> PAGEREF _Toc232612586 \h </w:instrText>
        </w:r>
        <w:r w:rsidRPr="00825198">
          <w:rPr>
            <w:noProof/>
            <w:webHidden/>
            <w:sz w:val="16"/>
            <w:szCs w:val="16"/>
          </w:rPr>
        </w:r>
        <w:r w:rsidRPr="00825198">
          <w:rPr>
            <w:noProof/>
            <w:webHidden/>
            <w:sz w:val="16"/>
            <w:szCs w:val="16"/>
          </w:rPr>
          <w:fldChar w:fldCharType="separate"/>
        </w:r>
        <w:r w:rsidR="00B23DE1">
          <w:rPr>
            <w:noProof/>
            <w:webHidden/>
            <w:sz w:val="16"/>
            <w:szCs w:val="16"/>
          </w:rPr>
          <w:t>8</w:t>
        </w:r>
        <w:r w:rsidRPr="00825198">
          <w:rPr>
            <w:noProof/>
            <w:webHidden/>
            <w:sz w:val="16"/>
            <w:szCs w:val="16"/>
          </w:rPr>
          <w:fldChar w:fldCharType="end"/>
        </w:r>
      </w:hyperlink>
    </w:p>
    <w:p w14:paraId="3BED317D" w14:textId="0B4A7995" w:rsidR="00825198" w:rsidRPr="00825198" w:rsidRDefault="00825198">
      <w:pPr>
        <w:pStyle w:val="Obsah2"/>
        <w:rPr>
          <w:rFonts w:eastAsiaTheme="minorEastAsia" w:cstheme="minorBidi"/>
          <w:i w:val="0"/>
          <w:iCs w:val="0"/>
          <w:noProof/>
          <w:kern w:val="2"/>
          <w:sz w:val="16"/>
          <w:szCs w:val="16"/>
          <w14:ligatures w14:val="standardContextual"/>
        </w:rPr>
      </w:pPr>
      <w:hyperlink w:anchor="_Toc232612587" w:history="1">
        <w:r w:rsidRPr="00825198">
          <w:rPr>
            <w:rStyle w:val="Hypertextovodkaz"/>
            <w:noProof/>
            <w:sz w:val="16"/>
            <w:szCs w:val="16"/>
          </w:rPr>
          <w:t>III.b</w:t>
        </w:r>
        <w:r w:rsidRPr="00825198">
          <w:rPr>
            <w:rFonts w:eastAsiaTheme="minorEastAsia" w:cstheme="minorBidi"/>
            <w:i w:val="0"/>
            <w:iCs w:val="0"/>
            <w:noProof/>
            <w:kern w:val="2"/>
            <w:sz w:val="16"/>
            <w:szCs w:val="16"/>
            <w14:ligatures w14:val="standardContextual"/>
          </w:rPr>
          <w:tab/>
        </w:r>
        <w:r w:rsidRPr="00825198">
          <w:rPr>
            <w:rStyle w:val="Hypertextovodkaz"/>
            <w:noProof/>
            <w:sz w:val="16"/>
            <w:szCs w:val="16"/>
          </w:rPr>
          <w:t>Ochrana zemědělského půdního fondu</w:t>
        </w:r>
        <w:r w:rsidRPr="00825198">
          <w:rPr>
            <w:noProof/>
            <w:webHidden/>
            <w:sz w:val="16"/>
            <w:szCs w:val="16"/>
          </w:rPr>
          <w:tab/>
        </w:r>
        <w:r w:rsidRPr="00825198">
          <w:rPr>
            <w:noProof/>
            <w:webHidden/>
            <w:sz w:val="16"/>
            <w:szCs w:val="16"/>
          </w:rPr>
          <w:fldChar w:fldCharType="begin"/>
        </w:r>
        <w:r w:rsidRPr="00825198">
          <w:rPr>
            <w:noProof/>
            <w:webHidden/>
            <w:sz w:val="16"/>
            <w:szCs w:val="16"/>
          </w:rPr>
          <w:instrText xml:space="preserve"> PAGEREF _Toc232612587 \h </w:instrText>
        </w:r>
        <w:r w:rsidRPr="00825198">
          <w:rPr>
            <w:noProof/>
            <w:webHidden/>
            <w:sz w:val="16"/>
            <w:szCs w:val="16"/>
          </w:rPr>
        </w:r>
        <w:r w:rsidRPr="00825198">
          <w:rPr>
            <w:noProof/>
            <w:webHidden/>
            <w:sz w:val="16"/>
            <w:szCs w:val="16"/>
          </w:rPr>
          <w:fldChar w:fldCharType="separate"/>
        </w:r>
        <w:r w:rsidR="00B23DE1">
          <w:rPr>
            <w:noProof/>
            <w:webHidden/>
            <w:sz w:val="16"/>
            <w:szCs w:val="16"/>
          </w:rPr>
          <w:t>9</w:t>
        </w:r>
        <w:r w:rsidRPr="00825198">
          <w:rPr>
            <w:noProof/>
            <w:webHidden/>
            <w:sz w:val="16"/>
            <w:szCs w:val="16"/>
          </w:rPr>
          <w:fldChar w:fldCharType="end"/>
        </w:r>
      </w:hyperlink>
    </w:p>
    <w:p w14:paraId="15904A0D" w14:textId="4AE08A88" w:rsidR="00825198" w:rsidRPr="00825198" w:rsidRDefault="00825198">
      <w:pPr>
        <w:pStyle w:val="Obsah2"/>
        <w:rPr>
          <w:rFonts w:eastAsiaTheme="minorEastAsia" w:cstheme="minorBidi"/>
          <w:i w:val="0"/>
          <w:iCs w:val="0"/>
          <w:noProof/>
          <w:kern w:val="2"/>
          <w:sz w:val="16"/>
          <w:szCs w:val="16"/>
          <w14:ligatures w14:val="standardContextual"/>
        </w:rPr>
      </w:pPr>
      <w:hyperlink w:anchor="_Toc232612588" w:history="1">
        <w:r w:rsidRPr="00825198">
          <w:rPr>
            <w:rStyle w:val="Hypertextovodkaz"/>
            <w:noProof/>
            <w:sz w:val="16"/>
            <w:szCs w:val="16"/>
          </w:rPr>
          <w:t>III.c</w:t>
        </w:r>
        <w:r w:rsidRPr="00825198">
          <w:rPr>
            <w:rFonts w:eastAsiaTheme="minorEastAsia" w:cstheme="minorBidi"/>
            <w:i w:val="0"/>
            <w:iCs w:val="0"/>
            <w:noProof/>
            <w:kern w:val="2"/>
            <w:sz w:val="16"/>
            <w:szCs w:val="16"/>
            <w14:ligatures w14:val="standardContextual"/>
          </w:rPr>
          <w:tab/>
        </w:r>
        <w:r w:rsidRPr="00825198">
          <w:rPr>
            <w:rStyle w:val="Hypertextovodkaz"/>
            <w:noProof/>
            <w:sz w:val="16"/>
            <w:szCs w:val="16"/>
          </w:rPr>
          <w:t>Ochrana pozemků k určených k plnění funkce lesa</w:t>
        </w:r>
        <w:r w:rsidRPr="00825198">
          <w:rPr>
            <w:noProof/>
            <w:webHidden/>
            <w:sz w:val="16"/>
            <w:szCs w:val="16"/>
          </w:rPr>
          <w:tab/>
        </w:r>
        <w:r w:rsidRPr="00825198">
          <w:rPr>
            <w:noProof/>
            <w:webHidden/>
            <w:sz w:val="16"/>
            <w:szCs w:val="16"/>
          </w:rPr>
          <w:fldChar w:fldCharType="begin"/>
        </w:r>
        <w:r w:rsidRPr="00825198">
          <w:rPr>
            <w:noProof/>
            <w:webHidden/>
            <w:sz w:val="16"/>
            <w:szCs w:val="16"/>
          </w:rPr>
          <w:instrText xml:space="preserve"> PAGEREF _Toc232612588 \h </w:instrText>
        </w:r>
        <w:r w:rsidRPr="00825198">
          <w:rPr>
            <w:noProof/>
            <w:webHidden/>
            <w:sz w:val="16"/>
            <w:szCs w:val="16"/>
          </w:rPr>
        </w:r>
        <w:r w:rsidRPr="00825198">
          <w:rPr>
            <w:noProof/>
            <w:webHidden/>
            <w:sz w:val="16"/>
            <w:szCs w:val="16"/>
          </w:rPr>
          <w:fldChar w:fldCharType="separate"/>
        </w:r>
        <w:r w:rsidR="00B23DE1">
          <w:rPr>
            <w:noProof/>
            <w:webHidden/>
            <w:sz w:val="16"/>
            <w:szCs w:val="16"/>
          </w:rPr>
          <w:t>9</w:t>
        </w:r>
        <w:r w:rsidRPr="00825198">
          <w:rPr>
            <w:noProof/>
            <w:webHidden/>
            <w:sz w:val="16"/>
            <w:szCs w:val="16"/>
          </w:rPr>
          <w:fldChar w:fldCharType="end"/>
        </w:r>
      </w:hyperlink>
    </w:p>
    <w:p w14:paraId="5B758CB1" w14:textId="6A0AD7B7" w:rsidR="00825198" w:rsidRPr="00825198" w:rsidRDefault="00825198">
      <w:pPr>
        <w:pStyle w:val="Obsah2"/>
        <w:rPr>
          <w:rFonts w:eastAsiaTheme="minorEastAsia" w:cstheme="minorBidi"/>
          <w:i w:val="0"/>
          <w:iCs w:val="0"/>
          <w:noProof/>
          <w:kern w:val="2"/>
          <w:sz w:val="16"/>
          <w:szCs w:val="16"/>
          <w14:ligatures w14:val="standardContextual"/>
        </w:rPr>
      </w:pPr>
      <w:hyperlink w:anchor="_Toc232612589" w:history="1">
        <w:r w:rsidRPr="00825198">
          <w:rPr>
            <w:rStyle w:val="Hypertextovodkaz"/>
            <w:noProof/>
            <w:sz w:val="16"/>
            <w:szCs w:val="16"/>
          </w:rPr>
          <w:t>III.d</w:t>
        </w:r>
        <w:r w:rsidRPr="00825198">
          <w:rPr>
            <w:rFonts w:eastAsiaTheme="minorEastAsia" w:cstheme="minorBidi"/>
            <w:i w:val="0"/>
            <w:iCs w:val="0"/>
            <w:noProof/>
            <w:kern w:val="2"/>
            <w:sz w:val="16"/>
            <w:szCs w:val="16"/>
            <w14:ligatures w14:val="standardContextual"/>
          </w:rPr>
          <w:tab/>
        </w:r>
        <w:r w:rsidRPr="00825198">
          <w:rPr>
            <w:rStyle w:val="Hypertextovodkaz"/>
            <w:noProof/>
            <w:sz w:val="16"/>
            <w:szCs w:val="16"/>
          </w:rPr>
          <w:t>Ochrana ovzduší</w:t>
        </w:r>
        <w:r w:rsidRPr="00825198">
          <w:rPr>
            <w:noProof/>
            <w:webHidden/>
            <w:sz w:val="16"/>
            <w:szCs w:val="16"/>
          </w:rPr>
          <w:tab/>
        </w:r>
        <w:r w:rsidRPr="00825198">
          <w:rPr>
            <w:noProof/>
            <w:webHidden/>
            <w:sz w:val="16"/>
            <w:szCs w:val="16"/>
          </w:rPr>
          <w:fldChar w:fldCharType="begin"/>
        </w:r>
        <w:r w:rsidRPr="00825198">
          <w:rPr>
            <w:noProof/>
            <w:webHidden/>
            <w:sz w:val="16"/>
            <w:szCs w:val="16"/>
          </w:rPr>
          <w:instrText xml:space="preserve"> PAGEREF _Toc232612589 \h </w:instrText>
        </w:r>
        <w:r w:rsidRPr="00825198">
          <w:rPr>
            <w:noProof/>
            <w:webHidden/>
            <w:sz w:val="16"/>
            <w:szCs w:val="16"/>
          </w:rPr>
        </w:r>
        <w:r w:rsidRPr="00825198">
          <w:rPr>
            <w:noProof/>
            <w:webHidden/>
            <w:sz w:val="16"/>
            <w:szCs w:val="16"/>
          </w:rPr>
          <w:fldChar w:fldCharType="separate"/>
        </w:r>
        <w:r w:rsidR="00B23DE1">
          <w:rPr>
            <w:noProof/>
            <w:webHidden/>
            <w:sz w:val="16"/>
            <w:szCs w:val="16"/>
          </w:rPr>
          <w:t>9</w:t>
        </w:r>
        <w:r w:rsidRPr="00825198">
          <w:rPr>
            <w:noProof/>
            <w:webHidden/>
            <w:sz w:val="16"/>
            <w:szCs w:val="16"/>
          </w:rPr>
          <w:fldChar w:fldCharType="end"/>
        </w:r>
      </w:hyperlink>
    </w:p>
    <w:p w14:paraId="47A35671" w14:textId="1FDAD2C6" w:rsidR="00825198" w:rsidRPr="00825198" w:rsidRDefault="00825198">
      <w:pPr>
        <w:pStyle w:val="Obsah2"/>
        <w:rPr>
          <w:rFonts w:eastAsiaTheme="minorEastAsia" w:cstheme="minorBidi"/>
          <w:i w:val="0"/>
          <w:iCs w:val="0"/>
          <w:noProof/>
          <w:kern w:val="2"/>
          <w:sz w:val="16"/>
          <w:szCs w:val="16"/>
          <w14:ligatures w14:val="standardContextual"/>
        </w:rPr>
      </w:pPr>
      <w:hyperlink w:anchor="_Toc232612590" w:history="1">
        <w:r w:rsidRPr="00825198">
          <w:rPr>
            <w:rStyle w:val="Hypertextovodkaz"/>
            <w:noProof/>
            <w:sz w:val="16"/>
            <w:szCs w:val="16"/>
          </w:rPr>
          <w:t>III.e</w:t>
        </w:r>
        <w:r w:rsidRPr="00825198">
          <w:rPr>
            <w:rFonts w:eastAsiaTheme="minorEastAsia" w:cstheme="minorBidi"/>
            <w:i w:val="0"/>
            <w:iCs w:val="0"/>
            <w:noProof/>
            <w:kern w:val="2"/>
            <w:sz w:val="16"/>
            <w:szCs w:val="16"/>
            <w14:ligatures w14:val="standardContextual"/>
          </w:rPr>
          <w:tab/>
        </w:r>
        <w:r w:rsidRPr="00825198">
          <w:rPr>
            <w:rStyle w:val="Hypertextovodkaz"/>
            <w:noProof/>
            <w:sz w:val="16"/>
            <w:szCs w:val="16"/>
          </w:rPr>
          <w:t>Ochrana dopravní infrastruktury</w:t>
        </w:r>
        <w:r w:rsidRPr="00825198">
          <w:rPr>
            <w:noProof/>
            <w:webHidden/>
            <w:sz w:val="16"/>
            <w:szCs w:val="16"/>
          </w:rPr>
          <w:tab/>
        </w:r>
        <w:r w:rsidRPr="00825198">
          <w:rPr>
            <w:noProof/>
            <w:webHidden/>
            <w:sz w:val="16"/>
            <w:szCs w:val="16"/>
          </w:rPr>
          <w:fldChar w:fldCharType="begin"/>
        </w:r>
        <w:r w:rsidRPr="00825198">
          <w:rPr>
            <w:noProof/>
            <w:webHidden/>
            <w:sz w:val="16"/>
            <w:szCs w:val="16"/>
          </w:rPr>
          <w:instrText xml:space="preserve"> PAGEREF _Toc232612590 \h </w:instrText>
        </w:r>
        <w:r w:rsidRPr="00825198">
          <w:rPr>
            <w:noProof/>
            <w:webHidden/>
            <w:sz w:val="16"/>
            <w:szCs w:val="16"/>
          </w:rPr>
        </w:r>
        <w:r w:rsidRPr="00825198">
          <w:rPr>
            <w:noProof/>
            <w:webHidden/>
            <w:sz w:val="16"/>
            <w:szCs w:val="16"/>
          </w:rPr>
          <w:fldChar w:fldCharType="separate"/>
        </w:r>
        <w:r w:rsidR="00B23DE1">
          <w:rPr>
            <w:noProof/>
            <w:webHidden/>
            <w:sz w:val="16"/>
            <w:szCs w:val="16"/>
          </w:rPr>
          <w:t>9</w:t>
        </w:r>
        <w:r w:rsidRPr="00825198">
          <w:rPr>
            <w:noProof/>
            <w:webHidden/>
            <w:sz w:val="16"/>
            <w:szCs w:val="16"/>
          </w:rPr>
          <w:fldChar w:fldCharType="end"/>
        </w:r>
      </w:hyperlink>
    </w:p>
    <w:p w14:paraId="6037F55B" w14:textId="02F4FB21" w:rsidR="00825198" w:rsidRPr="00825198" w:rsidRDefault="00825198">
      <w:pPr>
        <w:pStyle w:val="Obsah2"/>
        <w:rPr>
          <w:rFonts w:eastAsiaTheme="minorEastAsia" w:cstheme="minorBidi"/>
          <w:i w:val="0"/>
          <w:iCs w:val="0"/>
          <w:noProof/>
          <w:kern w:val="2"/>
          <w:sz w:val="16"/>
          <w:szCs w:val="16"/>
          <w14:ligatures w14:val="standardContextual"/>
        </w:rPr>
      </w:pPr>
      <w:hyperlink w:anchor="_Toc232612591" w:history="1">
        <w:r w:rsidRPr="00825198">
          <w:rPr>
            <w:rStyle w:val="Hypertextovodkaz"/>
            <w:noProof/>
            <w:sz w:val="16"/>
            <w:szCs w:val="16"/>
          </w:rPr>
          <w:t>III.f</w:t>
        </w:r>
        <w:r w:rsidRPr="00825198">
          <w:rPr>
            <w:rFonts w:eastAsiaTheme="minorEastAsia" w:cstheme="minorBidi"/>
            <w:i w:val="0"/>
            <w:iCs w:val="0"/>
            <w:noProof/>
            <w:kern w:val="2"/>
            <w:sz w:val="16"/>
            <w:szCs w:val="16"/>
            <w14:ligatures w14:val="standardContextual"/>
          </w:rPr>
          <w:tab/>
        </w:r>
        <w:r w:rsidRPr="00825198">
          <w:rPr>
            <w:rStyle w:val="Hypertextovodkaz"/>
            <w:noProof/>
            <w:sz w:val="16"/>
            <w:szCs w:val="16"/>
          </w:rPr>
          <w:t>Zvláštní zájmy ministerstva obrany</w:t>
        </w:r>
        <w:r w:rsidRPr="00825198">
          <w:rPr>
            <w:noProof/>
            <w:webHidden/>
            <w:sz w:val="16"/>
            <w:szCs w:val="16"/>
          </w:rPr>
          <w:tab/>
        </w:r>
        <w:r w:rsidRPr="00825198">
          <w:rPr>
            <w:noProof/>
            <w:webHidden/>
            <w:sz w:val="16"/>
            <w:szCs w:val="16"/>
          </w:rPr>
          <w:fldChar w:fldCharType="begin"/>
        </w:r>
        <w:r w:rsidRPr="00825198">
          <w:rPr>
            <w:noProof/>
            <w:webHidden/>
            <w:sz w:val="16"/>
            <w:szCs w:val="16"/>
          </w:rPr>
          <w:instrText xml:space="preserve"> PAGEREF _Toc232612591 \h </w:instrText>
        </w:r>
        <w:r w:rsidRPr="00825198">
          <w:rPr>
            <w:noProof/>
            <w:webHidden/>
            <w:sz w:val="16"/>
            <w:szCs w:val="16"/>
          </w:rPr>
        </w:r>
        <w:r w:rsidRPr="00825198">
          <w:rPr>
            <w:noProof/>
            <w:webHidden/>
            <w:sz w:val="16"/>
            <w:szCs w:val="16"/>
          </w:rPr>
          <w:fldChar w:fldCharType="separate"/>
        </w:r>
        <w:r w:rsidR="00B23DE1">
          <w:rPr>
            <w:noProof/>
            <w:webHidden/>
            <w:sz w:val="16"/>
            <w:szCs w:val="16"/>
          </w:rPr>
          <w:t>10</w:t>
        </w:r>
        <w:r w:rsidRPr="00825198">
          <w:rPr>
            <w:noProof/>
            <w:webHidden/>
            <w:sz w:val="16"/>
            <w:szCs w:val="16"/>
          </w:rPr>
          <w:fldChar w:fldCharType="end"/>
        </w:r>
      </w:hyperlink>
    </w:p>
    <w:p w14:paraId="5DCC88C3" w14:textId="0157C5CF" w:rsidR="00825198" w:rsidRPr="00825198" w:rsidRDefault="00825198">
      <w:pPr>
        <w:pStyle w:val="Obsah1"/>
        <w:rPr>
          <w:rFonts w:eastAsiaTheme="minorEastAsia" w:cstheme="minorBidi"/>
          <w:b w:val="0"/>
          <w:bCs w:val="0"/>
          <w:noProof/>
          <w:kern w:val="2"/>
          <w:sz w:val="16"/>
          <w:szCs w:val="16"/>
          <w14:ligatures w14:val="standardContextual"/>
        </w:rPr>
      </w:pPr>
      <w:hyperlink w:anchor="_Toc232612592" w:history="1">
        <w:r w:rsidRPr="00825198">
          <w:rPr>
            <w:rStyle w:val="Hypertextovodkaz"/>
            <w:noProof/>
            <w:sz w:val="16"/>
            <w:szCs w:val="16"/>
          </w:rPr>
          <w:t>IV</w:t>
        </w:r>
        <w:r w:rsidRPr="00825198">
          <w:rPr>
            <w:rFonts w:eastAsiaTheme="minorEastAsia" w:cstheme="minorBidi"/>
            <w:b w:val="0"/>
            <w:bCs w:val="0"/>
            <w:noProof/>
            <w:kern w:val="2"/>
            <w:sz w:val="16"/>
            <w:szCs w:val="16"/>
            <w14:ligatures w14:val="standardContextual"/>
          </w:rPr>
          <w:tab/>
        </w:r>
        <w:r w:rsidRPr="00825198">
          <w:rPr>
            <w:rStyle w:val="Hypertextovodkaz"/>
            <w:noProof/>
            <w:sz w:val="16"/>
            <w:szCs w:val="16"/>
          </w:rPr>
          <w:t>Vyhodnocení souladu s politikou územního rozvoje a nadřazenou územně plánovací dokumentací</w:t>
        </w:r>
        <w:r w:rsidRPr="00825198">
          <w:rPr>
            <w:noProof/>
            <w:webHidden/>
            <w:sz w:val="16"/>
            <w:szCs w:val="16"/>
          </w:rPr>
          <w:tab/>
        </w:r>
        <w:r w:rsidRPr="00825198">
          <w:rPr>
            <w:noProof/>
            <w:webHidden/>
            <w:sz w:val="16"/>
            <w:szCs w:val="16"/>
          </w:rPr>
          <w:fldChar w:fldCharType="begin"/>
        </w:r>
        <w:r w:rsidRPr="00825198">
          <w:rPr>
            <w:noProof/>
            <w:webHidden/>
            <w:sz w:val="16"/>
            <w:szCs w:val="16"/>
          </w:rPr>
          <w:instrText xml:space="preserve"> PAGEREF _Toc232612592 \h </w:instrText>
        </w:r>
        <w:r w:rsidRPr="00825198">
          <w:rPr>
            <w:noProof/>
            <w:webHidden/>
            <w:sz w:val="16"/>
            <w:szCs w:val="16"/>
          </w:rPr>
        </w:r>
        <w:r w:rsidRPr="00825198">
          <w:rPr>
            <w:noProof/>
            <w:webHidden/>
            <w:sz w:val="16"/>
            <w:szCs w:val="16"/>
          </w:rPr>
          <w:fldChar w:fldCharType="separate"/>
        </w:r>
        <w:r w:rsidR="00B23DE1">
          <w:rPr>
            <w:noProof/>
            <w:webHidden/>
            <w:sz w:val="16"/>
            <w:szCs w:val="16"/>
          </w:rPr>
          <w:t>11</w:t>
        </w:r>
        <w:r w:rsidRPr="00825198">
          <w:rPr>
            <w:noProof/>
            <w:webHidden/>
            <w:sz w:val="16"/>
            <w:szCs w:val="16"/>
          </w:rPr>
          <w:fldChar w:fldCharType="end"/>
        </w:r>
      </w:hyperlink>
    </w:p>
    <w:p w14:paraId="0AA77F7A" w14:textId="4C4E4C10" w:rsidR="00825198" w:rsidRPr="00825198" w:rsidRDefault="00825198">
      <w:pPr>
        <w:pStyle w:val="Obsah2"/>
        <w:rPr>
          <w:rFonts w:eastAsiaTheme="minorEastAsia" w:cstheme="minorBidi"/>
          <w:i w:val="0"/>
          <w:iCs w:val="0"/>
          <w:noProof/>
          <w:kern w:val="2"/>
          <w:sz w:val="16"/>
          <w:szCs w:val="16"/>
          <w14:ligatures w14:val="standardContextual"/>
        </w:rPr>
      </w:pPr>
      <w:hyperlink w:anchor="_Toc232612593" w:history="1">
        <w:r w:rsidRPr="00825198">
          <w:rPr>
            <w:rStyle w:val="Hypertextovodkaz"/>
            <w:noProof/>
            <w:sz w:val="16"/>
            <w:szCs w:val="16"/>
          </w:rPr>
          <w:t>IV.a</w:t>
        </w:r>
        <w:r w:rsidRPr="00825198">
          <w:rPr>
            <w:rFonts w:eastAsiaTheme="minorEastAsia" w:cstheme="minorBidi"/>
            <w:i w:val="0"/>
            <w:iCs w:val="0"/>
            <w:noProof/>
            <w:kern w:val="2"/>
            <w:sz w:val="16"/>
            <w:szCs w:val="16"/>
            <w14:ligatures w14:val="standardContextual"/>
          </w:rPr>
          <w:tab/>
        </w:r>
        <w:r w:rsidRPr="00825198">
          <w:rPr>
            <w:rStyle w:val="Hypertextovodkaz"/>
            <w:noProof/>
            <w:sz w:val="16"/>
            <w:szCs w:val="16"/>
          </w:rPr>
          <w:t>Vyhodnocení souladu s politikou územního rozvoje</w:t>
        </w:r>
        <w:r w:rsidRPr="00825198">
          <w:rPr>
            <w:noProof/>
            <w:webHidden/>
            <w:sz w:val="16"/>
            <w:szCs w:val="16"/>
          </w:rPr>
          <w:tab/>
        </w:r>
        <w:r w:rsidRPr="00825198">
          <w:rPr>
            <w:noProof/>
            <w:webHidden/>
            <w:sz w:val="16"/>
            <w:szCs w:val="16"/>
          </w:rPr>
          <w:fldChar w:fldCharType="begin"/>
        </w:r>
        <w:r w:rsidRPr="00825198">
          <w:rPr>
            <w:noProof/>
            <w:webHidden/>
            <w:sz w:val="16"/>
            <w:szCs w:val="16"/>
          </w:rPr>
          <w:instrText xml:space="preserve"> PAGEREF _Toc232612593 \h </w:instrText>
        </w:r>
        <w:r w:rsidRPr="00825198">
          <w:rPr>
            <w:noProof/>
            <w:webHidden/>
            <w:sz w:val="16"/>
            <w:szCs w:val="16"/>
          </w:rPr>
        </w:r>
        <w:r w:rsidRPr="00825198">
          <w:rPr>
            <w:noProof/>
            <w:webHidden/>
            <w:sz w:val="16"/>
            <w:szCs w:val="16"/>
          </w:rPr>
          <w:fldChar w:fldCharType="separate"/>
        </w:r>
        <w:r w:rsidR="00B23DE1">
          <w:rPr>
            <w:noProof/>
            <w:webHidden/>
            <w:sz w:val="16"/>
            <w:szCs w:val="16"/>
          </w:rPr>
          <w:t>11</w:t>
        </w:r>
        <w:r w:rsidRPr="00825198">
          <w:rPr>
            <w:noProof/>
            <w:webHidden/>
            <w:sz w:val="16"/>
            <w:szCs w:val="16"/>
          </w:rPr>
          <w:fldChar w:fldCharType="end"/>
        </w:r>
      </w:hyperlink>
    </w:p>
    <w:p w14:paraId="56D22E9B" w14:textId="1FB1EB07" w:rsidR="00825198" w:rsidRPr="00825198" w:rsidRDefault="00825198">
      <w:pPr>
        <w:pStyle w:val="Obsah3"/>
        <w:rPr>
          <w:rFonts w:eastAsiaTheme="minorEastAsia" w:cstheme="minorBidi"/>
          <w:noProof/>
          <w:kern w:val="2"/>
          <w:sz w:val="16"/>
          <w:szCs w:val="16"/>
          <w14:ligatures w14:val="standardContextual"/>
        </w:rPr>
      </w:pPr>
      <w:hyperlink w:anchor="_Toc232612594" w:history="1">
        <w:r w:rsidRPr="00825198">
          <w:rPr>
            <w:rStyle w:val="Hypertextovodkaz"/>
            <w:noProof/>
            <w:sz w:val="16"/>
            <w:szCs w:val="16"/>
          </w:rPr>
          <w:t>IV.a/1</w:t>
        </w:r>
        <w:r w:rsidRPr="00825198">
          <w:rPr>
            <w:rFonts w:eastAsiaTheme="minorEastAsia" w:cstheme="minorBidi"/>
            <w:noProof/>
            <w:kern w:val="2"/>
            <w:sz w:val="16"/>
            <w:szCs w:val="16"/>
            <w14:ligatures w14:val="standardContextual"/>
          </w:rPr>
          <w:tab/>
        </w:r>
        <w:r w:rsidRPr="00825198">
          <w:rPr>
            <w:rStyle w:val="Hypertextovodkaz"/>
            <w:noProof/>
            <w:sz w:val="16"/>
            <w:szCs w:val="16"/>
          </w:rPr>
          <w:t>Celostátní priority</w:t>
        </w:r>
        <w:r w:rsidRPr="00825198">
          <w:rPr>
            <w:noProof/>
            <w:webHidden/>
            <w:sz w:val="16"/>
            <w:szCs w:val="16"/>
          </w:rPr>
          <w:tab/>
        </w:r>
        <w:r w:rsidRPr="00825198">
          <w:rPr>
            <w:noProof/>
            <w:webHidden/>
            <w:sz w:val="16"/>
            <w:szCs w:val="16"/>
          </w:rPr>
          <w:fldChar w:fldCharType="begin"/>
        </w:r>
        <w:r w:rsidRPr="00825198">
          <w:rPr>
            <w:noProof/>
            <w:webHidden/>
            <w:sz w:val="16"/>
            <w:szCs w:val="16"/>
          </w:rPr>
          <w:instrText xml:space="preserve"> PAGEREF _Toc232612594 \h </w:instrText>
        </w:r>
        <w:r w:rsidRPr="00825198">
          <w:rPr>
            <w:noProof/>
            <w:webHidden/>
            <w:sz w:val="16"/>
            <w:szCs w:val="16"/>
          </w:rPr>
        </w:r>
        <w:r w:rsidRPr="00825198">
          <w:rPr>
            <w:noProof/>
            <w:webHidden/>
            <w:sz w:val="16"/>
            <w:szCs w:val="16"/>
          </w:rPr>
          <w:fldChar w:fldCharType="separate"/>
        </w:r>
        <w:r w:rsidR="00B23DE1">
          <w:rPr>
            <w:noProof/>
            <w:webHidden/>
            <w:sz w:val="16"/>
            <w:szCs w:val="16"/>
          </w:rPr>
          <w:t>11</w:t>
        </w:r>
        <w:r w:rsidRPr="00825198">
          <w:rPr>
            <w:noProof/>
            <w:webHidden/>
            <w:sz w:val="16"/>
            <w:szCs w:val="16"/>
          </w:rPr>
          <w:fldChar w:fldCharType="end"/>
        </w:r>
      </w:hyperlink>
    </w:p>
    <w:p w14:paraId="5852CE7E" w14:textId="10741E2D" w:rsidR="00825198" w:rsidRPr="00825198" w:rsidRDefault="00825198">
      <w:pPr>
        <w:pStyle w:val="Obsah3"/>
        <w:rPr>
          <w:rFonts w:eastAsiaTheme="minorEastAsia" w:cstheme="minorBidi"/>
          <w:noProof/>
          <w:kern w:val="2"/>
          <w:sz w:val="16"/>
          <w:szCs w:val="16"/>
          <w14:ligatures w14:val="standardContextual"/>
        </w:rPr>
      </w:pPr>
      <w:hyperlink w:anchor="_Toc232612595" w:history="1">
        <w:r w:rsidRPr="00825198">
          <w:rPr>
            <w:rStyle w:val="Hypertextovodkaz"/>
            <w:noProof/>
            <w:sz w:val="16"/>
            <w:szCs w:val="16"/>
          </w:rPr>
          <w:t>IV.a/2</w:t>
        </w:r>
        <w:r w:rsidRPr="00825198">
          <w:rPr>
            <w:rFonts w:eastAsiaTheme="minorEastAsia" w:cstheme="minorBidi"/>
            <w:noProof/>
            <w:kern w:val="2"/>
            <w:sz w:val="16"/>
            <w:szCs w:val="16"/>
            <w14:ligatures w14:val="standardContextual"/>
          </w:rPr>
          <w:tab/>
        </w:r>
        <w:r w:rsidRPr="00825198">
          <w:rPr>
            <w:rStyle w:val="Hypertextovodkaz"/>
            <w:noProof/>
            <w:sz w:val="16"/>
            <w:szCs w:val="16"/>
          </w:rPr>
          <w:t>Rozvojové oblasti</w:t>
        </w:r>
        <w:r w:rsidRPr="00825198">
          <w:rPr>
            <w:noProof/>
            <w:webHidden/>
            <w:sz w:val="16"/>
            <w:szCs w:val="16"/>
          </w:rPr>
          <w:tab/>
        </w:r>
        <w:r w:rsidRPr="00825198">
          <w:rPr>
            <w:noProof/>
            <w:webHidden/>
            <w:sz w:val="16"/>
            <w:szCs w:val="16"/>
          </w:rPr>
          <w:fldChar w:fldCharType="begin"/>
        </w:r>
        <w:r w:rsidRPr="00825198">
          <w:rPr>
            <w:noProof/>
            <w:webHidden/>
            <w:sz w:val="16"/>
            <w:szCs w:val="16"/>
          </w:rPr>
          <w:instrText xml:space="preserve"> PAGEREF _Toc232612595 \h </w:instrText>
        </w:r>
        <w:r w:rsidRPr="00825198">
          <w:rPr>
            <w:noProof/>
            <w:webHidden/>
            <w:sz w:val="16"/>
            <w:szCs w:val="16"/>
          </w:rPr>
        </w:r>
        <w:r w:rsidRPr="00825198">
          <w:rPr>
            <w:noProof/>
            <w:webHidden/>
            <w:sz w:val="16"/>
            <w:szCs w:val="16"/>
          </w:rPr>
          <w:fldChar w:fldCharType="separate"/>
        </w:r>
        <w:r w:rsidR="00B23DE1">
          <w:rPr>
            <w:noProof/>
            <w:webHidden/>
            <w:sz w:val="16"/>
            <w:szCs w:val="16"/>
          </w:rPr>
          <w:t>14</w:t>
        </w:r>
        <w:r w:rsidRPr="00825198">
          <w:rPr>
            <w:noProof/>
            <w:webHidden/>
            <w:sz w:val="16"/>
            <w:szCs w:val="16"/>
          </w:rPr>
          <w:fldChar w:fldCharType="end"/>
        </w:r>
      </w:hyperlink>
    </w:p>
    <w:p w14:paraId="7BC89DF9" w14:textId="5A9653DC" w:rsidR="00825198" w:rsidRPr="00825198" w:rsidRDefault="00825198">
      <w:pPr>
        <w:pStyle w:val="Obsah3"/>
        <w:rPr>
          <w:rFonts w:eastAsiaTheme="minorEastAsia" w:cstheme="minorBidi"/>
          <w:noProof/>
          <w:kern w:val="2"/>
          <w:sz w:val="16"/>
          <w:szCs w:val="16"/>
          <w14:ligatures w14:val="standardContextual"/>
        </w:rPr>
      </w:pPr>
      <w:hyperlink w:anchor="_Toc232612596" w:history="1">
        <w:r w:rsidRPr="00825198">
          <w:rPr>
            <w:rStyle w:val="Hypertextovodkaz"/>
            <w:noProof/>
            <w:sz w:val="16"/>
            <w:szCs w:val="16"/>
          </w:rPr>
          <w:t>IV.a/3</w:t>
        </w:r>
        <w:r w:rsidRPr="00825198">
          <w:rPr>
            <w:rFonts w:eastAsiaTheme="minorEastAsia" w:cstheme="minorBidi"/>
            <w:noProof/>
            <w:kern w:val="2"/>
            <w:sz w:val="16"/>
            <w:szCs w:val="16"/>
            <w14:ligatures w14:val="standardContextual"/>
          </w:rPr>
          <w:tab/>
        </w:r>
        <w:r w:rsidRPr="00825198">
          <w:rPr>
            <w:rStyle w:val="Hypertextovodkaz"/>
            <w:noProof/>
            <w:sz w:val="16"/>
            <w:szCs w:val="16"/>
          </w:rPr>
          <w:t>Specifické oblasti</w:t>
        </w:r>
        <w:r w:rsidRPr="00825198">
          <w:rPr>
            <w:noProof/>
            <w:webHidden/>
            <w:sz w:val="16"/>
            <w:szCs w:val="16"/>
          </w:rPr>
          <w:tab/>
        </w:r>
        <w:r w:rsidRPr="00825198">
          <w:rPr>
            <w:noProof/>
            <w:webHidden/>
            <w:sz w:val="16"/>
            <w:szCs w:val="16"/>
          </w:rPr>
          <w:fldChar w:fldCharType="begin"/>
        </w:r>
        <w:r w:rsidRPr="00825198">
          <w:rPr>
            <w:noProof/>
            <w:webHidden/>
            <w:sz w:val="16"/>
            <w:szCs w:val="16"/>
          </w:rPr>
          <w:instrText xml:space="preserve"> PAGEREF _Toc232612596 \h </w:instrText>
        </w:r>
        <w:r w:rsidRPr="00825198">
          <w:rPr>
            <w:noProof/>
            <w:webHidden/>
            <w:sz w:val="16"/>
            <w:szCs w:val="16"/>
          </w:rPr>
        </w:r>
        <w:r w:rsidRPr="00825198">
          <w:rPr>
            <w:noProof/>
            <w:webHidden/>
            <w:sz w:val="16"/>
            <w:szCs w:val="16"/>
          </w:rPr>
          <w:fldChar w:fldCharType="separate"/>
        </w:r>
        <w:r w:rsidR="00B23DE1">
          <w:rPr>
            <w:noProof/>
            <w:webHidden/>
            <w:sz w:val="16"/>
            <w:szCs w:val="16"/>
          </w:rPr>
          <w:t>14</w:t>
        </w:r>
        <w:r w:rsidRPr="00825198">
          <w:rPr>
            <w:noProof/>
            <w:webHidden/>
            <w:sz w:val="16"/>
            <w:szCs w:val="16"/>
          </w:rPr>
          <w:fldChar w:fldCharType="end"/>
        </w:r>
      </w:hyperlink>
    </w:p>
    <w:p w14:paraId="5A61505E" w14:textId="50961D57" w:rsidR="00825198" w:rsidRPr="00825198" w:rsidRDefault="00825198">
      <w:pPr>
        <w:pStyle w:val="Obsah2"/>
        <w:rPr>
          <w:rFonts w:eastAsiaTheme="minorEastAsia" w:cstheme="minorBidi"/>
          <w:i w:val="0"/>
          <w:iCs w:val="0"/>
          <w:noProof/>
          <w:kern w:val="2"/>
          <w:sz w:val="16"/>
          <w:szCs w:val="16"/>
          <w14:ligatures w14:val="standardContextual"/>
        </w:rPr>
      </w:pPr>
      <w:hyperlink w:anchor="_Toc232612597" w:history="1">
        <w:r w:rsidRPr="00825198">
          <w:rPr>
            <w:rStyle w:val="Hypertextovodkaz"/>
            <w:noProof/>
            <w:sz w:val="16"/>
            <w:szCs w:val="16"/>
          </w:rPr>
          <w:t>IV.b</w:t>
        </w:r>
        <w:r w:rsidRPr="00825198">
          <w:rPr>
            <w:rFonts w:eastAsiaTheme="minorEastAsia" w:cstheme="minorBidi"/>
            <w:i w:val="0"/>
            <w:iCs w:val="0"/>
            <w:noProof/>
            <w:kern w:val="2"/>
            <w:sz w:val="16"/>
            <w:szCs w:val="16"/>
            <w14:ligatures w14:val="standardContextual"/>
          </w:rPr>
          <w:tab/>
        </w:r>
        <w:r w:rsidRPr="00825198">
          <w:rPr>
            <w:rStyle w:val="Hypertextovodkaz"/>
            <w:noProof/>
            <w:sz w:val="16"/>
            <w:szCs w:val="16"/>
          </w:rPr>
          <w:t>Vyhodnocení souladu s územním rozvojovým plánem</w:t>
        </w:r>
        <w:r w:rsidRPr="00825198">
          <w:rPr>
            <w:noProof/>
            <w:webHidden/>
            <w:sz w:val="16"/>
            <w:szCs w:val="16"/>
          </w:rPr>
          <w:tab/>
        </w:r>
        <w:r w:rsidRPr="00825198">
          <w:rPr>
            <w:noProof/>
            <w:webHidden/>
            <w:sz w:val="16"/>
            <w:szCs w:val="16"/>
          </w:rPr>
          <w:fldChar w:fldCharType="begin"/>
        </w:r>
        <w:r w:rsidRPr="00825198">
          <w:rPr>
            <w:noProof/>
            <w:webHidden/>
            <w:sz w:val="16"/>
            <w:szCs w:val="16"/>
          </w:rPr>
          <w:instrText xml:space="preserve"> PAGEREF _Toc232612597 \h </w:instrText>
        </w:r>
        <w:r w:rsidRPr="00825198">
          <w:rPr>
            <w:noProof/>
            <w:webHidden/>
            <w:sz w:val="16"/>
            <w:szCs w:val="16"/>
          </w:rPr>
        </w:r>
        <w:r w:rsidRPr="00825198">
          <w:rPr>
            <w:noProof/>
            <w:webHidden/>
            <w:sz w:val="16"/>
            <w:szCs w:val="16"/>
          </w:rPr>
          <w:fldChar w:fldCharType="separate"/>
        </w:r>
        <w:r w:rsidR="00B23DE1">
          <w:rPr>
            <w:noProof/>
            <w:webHidden/>
            <w:sz w:val="16"/>
            <w:szCs w:val="16"/>
          </w:rPr>
          <w:t>17</w:t>
        </w:r>
        <w:r w:rsidRPr="00825198">
          <w:rPr>
            <w:noProof/>
            <w:webHidden/>
            <w:sz w:val="16"/>
            <w:szCs w:val="16"/>
          </w:rPr>
          <w:fldChar w:fldCharType="end"/>
        </w:r>
      </w:hyperlink>
    </w:p>
    <w:p w14:paraId="62550A2D" w14:textId="05B6F786" w:rsidR="00825198" w:rsidRPr="00825198" w:rsidRDefault="00825198">
      <w:pPr>
        <w:pStyle w:val="Obsah2"/>
        <w:rPr>
          <w:rFonts w:eastAsiaTheme="minorEastAsia" w:cstheme="minorBidi"/>
          <w:i w:val="0"/>
          <w:iCs w:val="0"/>
          <w:noProof/>
          <w:kern w:val="2"/>
          <w:sz w:val="16"/>
          <w:szCs w:val="16"/>
          <w14:ligatures w14:val="standardContextual"/>
        </w:rPr>
      </w:pPr>
      <w:hyperlink w:anchor="_Toc232612598" w:history="1">
        <w:r w:rsidRPr="00825198">
          <w:rPr>
            <w:rStyle w:val="Hypertextovodkaz"/>
            <w:noProof/>
            <w:sz w:val="16"/>
            <w:szCs w:val="16"/>
          </w:rPr>
          <w:t>IV.c</w:t>
        </w:r>
        <w:r w:rsidRPr="00825198">
          <w:rPr>
            <w:rFonts w:eastAsiaTheme="minorEastAsia" w:cstheme="minorBidi"/>
            <w:i w:val="0"/>
            <w:iCs w:val="0"/>
            <w:noProof/>
            <w:kern w:val="2"/>
            <w:sz w:val="16"/>
            <w:szCs w:val="16"/>
            <w14:ligatures w14:val="standardContextual"/>
          </w:rPr>
          <w:tab/>
        </w:r>
        <w:r w:rsidRPr="00825198">
          <w:rPr>
            <w:rStyle w:val="Hypertextovodkaz"/>
            <w:noProof/>
            <w:sz w:val="16"/>
            <w:szCs w:val="16"/>
          </w:rPr>
          <w:t>Vyhodnocení souladu se zásadami územního rozvoje</w:t>
        </w:r>
        <w:r w:rsidRPr="00825198">
          <w:rPr>
            <w:noProof/>
            <w:webHidden/>
            <w:sz w:val="16"/>
            <w:szCs w:val="16"/>
          </w:rPr>
          <w:tab/>
        </w:r>
        <w:r w:rsidRPr="00825198">
          <w:rPr>
            <w:noProof/>
            <w:webHidden/>
            <w:sz w:val="16"/>
            <w:szCs w:val="16"/>
          </w:rPr>
          <w:fldChar w:fldCharType="begin"/>
        </w:r>
        <w:r w:rsidRPr="00825198">
          <w:rPr>
            <w:noProof/>
            <w:webHidden/>
            <w:sz w:val="16"/>
            <w:szCs w:val="16"/>
          </w:rPr>
          <w:instrText xml:space="preserve"> PAGEREF _Toc232612598 \h </w:instrText>
        </w:r>
        <w:r w:rsidRPr="00825198">
          <w:rPr>
            <w:noProof/>
            <w:webHidden/>
            <w:sz w:val="16"/>
            <w:szCs w:val="16"/>
          </w:rPr>
        </w:r>
        <w:r w:rsidRPr="00825198">
          <w:rPr>
            <w:noProof/>
            <w:webHidden/>
            <w:sz w:val="16"/>
            <w:szCs w:val="16"/>
          </w:rPr>
          <w:fldChar w:fldCharType="separate"/>
        </w:r>
        <w:r w:rsidR="00B23DE1">
          <w:rPr>
            <w:noProof/>
            <w:webHidden/>
            <w:sz w:val="16"/>
            <w:szCs w:val="16"/>
          </w:rPr>
          <w:t>17</w:t>
        </w:r>
        <w:r w:rsidRPr="00825198">
          <w:rPr>
            <w:noProof/>
            <w:webHidden/>
            <w:sz w:val="16"/>
            <w:szCs w:val="16"/>
          </w:rPr>
          <w:fldChar w:fldCharType="end"/>
        </w:r>
      </w:hyperlink>
    </w:p>
    <w:p w14:paraId="73744CFE" w14:textId="2D74E9CB" w:rsidR="00825198" w:rsidRPr="00825198" w:rsidRDefault="00825198">
      <w:pPr>
        <w:pStyle w:val="Obsah3"/>
        <w:rPr>
          <w:rFonts w:eastAsiaTheme="minorEastAsia" w:cstheme="minorBidi"/>
          <w:noProof/>
          <w:kern w:val="2"/>
          <w:sz w:val="16"/>
          <w:szCs w:val="16"/>
          <w14:ligatures w14:val="standardContextual"/>
        </w:rPr>
      </w:pPr>
      <w:hyperlink w:anchor="_Toc232612599" w:history="1">
        <w:r w:rsidRPr="00825198">
          <w:rPr>
            <w:rStyle w:val="Hypertextovodkaz"/>
            <w:noProof/>
            <w:sz w:val="16"/>
            <w:szCs w:val="16"/>
          </w:rPr>
          <w:t>IV.c/1</w:t>
        </w:r>
        <w:r w:rsidRPr="00825198">
          <w:rPr>
            <w:rFonts w:eastAsiaTheme="minorEastAsia" w:cstheme="minorBidi"/>
            <w:noProof/>
            <w:kern w:val="2"/>
            <w:sz w:val="16"/>
            <w:szCs w:val="16"/>
            <w14:ligatures w14:val="standardContextual"/>
          </w:rPr>
          <w:tab/>
        </w:r>
        <w:r w:rsidRPr="00825198">
          <w:rPr>
            <w:rStyle w:val="Hypertextovodkaz"/>
            <w:noProof/>
            <w:sz w:val="16"/>
            <w:szCs w:val="16"/>
          </w:rPr>
          <w:t>Rozvojové oblasti</w:t>
        </w:r>
        <w:r w:rsidRPr="00825198">
          <w:rPr>
            <w:noProof/>
            <w:webHidden/>
            <w:sz w:val="16"/>
            <w:szCs w:val="16"/>
          </w:rPr>
          <w:tab/>
        </w:r>
        <w:r w:rsidRPr="00825198">
          <w:rPr>
            <w:noProof/>
            <w:webHidden/>
            <w:sz w:val="16"/>
            <w:szCs w:val="16"/>
          </w:rPr>
          <w:fldChar w:fldCharType="begin"/>
        </w:r>
        <w:r w:rsidRPr="00825198">
          <w:rPr>
            <w:noProof/>
            <w:webHidden/>
            <w:sz w:val="16"/>
            <w:szCs w:val="16"/>
          </w:rPr>
          <w:instrText xml:space="preserve"> PAGEREF _Toc232612599 \h </w:instrText>
        </w:r>
        <w:r w:rsidRPr="00825198">
          <w:rPr>
            <w:noProof/>
            <w:webHidden/>
            <w:sz w:val="16"/>
            <w:szCs w:val="16"/>
          </w:rPr>
        </w:r>
        <w:r w:rsidRPr="00825198">
          <w:rPr>
            <w:noProof/>
            <w:webHidden/>
            <w:sz w:val="16"/>
            <w:szCs w:val="16"/>
          </w:rPr>
          <w:fldChar w:fldCharType="separate"/>
        </w:r>
        <w:r w:rsidR="00B23DE1">
          <w:rPr>
            <w:noProof/>
            <w:webHidden/>
            <w:sz w:val="16"/>
            <w:szCs w:val="16"/>
          </w:rPr>
          <w:t>17</w:t>
        </w:r>
        <w:r w:rsidRPr="00825198">
          <w:rPr>
            <w:noProof/>
            <w:webHidden/>
            <w:sz w:val="16"/>
            <w:szCs w:val="16"/>
          </w:rPr>
          <w:fldChar w:fldCharType="end"/>
        </w:r>
      </w:hyperlink>
    </w:p>
    <w:p w14:paraId="4FBA94A6" w14:textId="38F2C754" w:rsidR="00825198" w:rsidRPr="00825198" w:rsidRDefault="00825198">
      <w:pPr>
        <w:pStyle w:val="Obsah3"/>
        <w:rPr>
          <w:rFonts w:eastAsiaTheme="minorEastAsia" w:cstheme="minorBidi"/>
          <w:noProof/>
          <w:kern w:val="2"/>
          <w:sz w:val="16"/>
          <w:szCs w:val="16"/>
          <w14:ligatures w14:val="standardContextual"/>
        </w:rPr>
      </w:pPr>
      <w:hyperlink w:anchor="_Toc232612600" w:history="1">
        <w:r w:rsidRPr="00825198">
          <w:rPr>
            <w:rStyle w:val="Hypertextovodkaz"/>
            <w:noProof/>
            <w:sz w:val="16"/>
            <w:szCs w:val="16"/>
          </w:rPr>
          <w:t>IV.c/2</w:t>
        </w:r>
        <w:r w:rsidRPr="00825198">
          <w:rPr>
            <w:rFonts w:eastAsiaTheme="minorEastAsia" w:cstheme="minorBidi"/>
            <w:noProof/>
            <w:kern w:val="2"/>
            <w:sz w:val="16"/>
            <w:szCs w:val="16"/>
            <w14:ligatures w14:val="standardContextual"/>
          </w:rPr>
          <w:tab/>
        </w:r>
        <w:r w:rsidRPr="00825198">
          <w:rPr>
            <w:rStyle w:val="Hypertextovodkaz"/>
            <w:noProof/>
            <w:sz w:val="16"/>
            <w:szCs w:val="16"/>
          </w:rPr>
          <w:t>Ochrana krajinných hodnot</w:t>
        </w:r>
        <w:r w:rsidRPr="00825198">
          <w:rPr>
            <w:noProof/>
            <w:webHidden/>
            <w:sz w:val="16"/>
            <w:szCs w:val="16"/>
          </w:rPr>
          <w:tab/>
        </w:r>
        <w:r w:rsidRPr="00825198">
          <w:rPr>
            <w:noProof/>
            <w:webHidden/>
            <w:sz w:val="16"/>
            <w:szCs w:val="16"/>
          </w:rPr>
          <w:fldChar w:fldCharType="begin"/>
        </w:r>
        <w:r w:rsidRPr="00825198">
          <w:rPr>
            <w:noProof/>
            <w:webHidden/>
            <w:sz w:val="16"/>
            <w:szCs w:val="16"/>
          </w:rPr>
          <w:instrText xml:space="preserve"> PAGEREF _Toc232612600 \h </w:instrText>
        </w:r>
        <w:r w:rsidRPr="00825198">
          <w:rPr>
            <w:noProof/>
            <w:webHidden/>
            <w:sz w:val="16"/>
            <w:szCs w:val="16"/>
          </w:rPr>
        </w:r>
        <w:r w:rsidRPr="00825198">
          <w:rPr>
            <w:noProof/>
            <w:webHidden/>
            <w:sz w:val="16"/>
            <w:szCs w:val="16"/>
          </w:rPr>
          <w:fldChar w:fldCharType="separate"/>
        </w:r>
        <w:r w:rsidR="00B23DE1">
          <w:rPr>
            <w:noProof/>
            <w:webHidden/>
            <w:sz w:val="16"/>
            <w:szCs w:val="16"/>
          </w:rPr>
          <w:t>17</w:t>
        </w:r>
        <w:r w:rsidRPr="00825198">
          <w:rPr>
            <w:noProof/>
            <w:webHidden/>
            <w:sz w:val="16"/>
            <w:szCs w:val="16"/>
          </w:rPr>
          <w:fldChar w:fldCharType="end"/>
        </w:r>
      </w:hyperlink>
    </w:p>
    <w:p w14:paraId="43E57F31" w14:textId="237386E9" w:rsidR="00825198" w:rsidRPr="00825198" w:rsidRDefault="00825198">
      <w:pPr>
        <w:pStyle w:val="Obsah3"/>
        <w:rPr>
          <w:rFonts w:eastAsiaTheme="minorEastAsia" w:cstheme="minorBidi"/>
          <w:noProof/>
          <w:kern w:val="2"/>
          <w:sz w:val="16"/>
          <w:szCs w:val="16"/>
          <w14:ligatures w14:val="standardContextual"/>
        </w:rPr>
      </w:pPr>
      <w:hyperlink w:anchor="_Toc232612601" w:history="1">
        <w:r w:rsidRPr="00825198">
          <w:rPr>
            <w:rStyle w:val="Hypertextovodkaz"/>
            <w:noProof/>
            <w:sz w:val="16"/>
            <w:szCs w:val="16"/>
          </w:rPr>
          <w:t>IV.c/3</w:t>
        </w:r>
        <w:r w:rsidRPr="00825198">
          <w:rPr>
            <w:rFonts w:eastAsiaTheme="minorEastAsia" w:cstheme="minorBidi"/>
            <w:noProof/>
            <w:kern w:val="2"/>
            <w:sz w:val="16"/>
            <w:szCs w:val="16"/>
            <w14:ligatures w14:val="standardContextual"/>
          </w:rPr>
          <w:tab/>
        </w:r>
        <w:r w:rsidRPr="00825198">
          <w:rPr>
            <w:rStyle w:val="Hypertextovodkaz"/>
            <w:noProof/>
            <w:sz w:val="16"/>
            <w:szCs w:val="16"/>
          </w:rPr>
          <w:t>Rekreace a cestovní ruch</w:t>
        </w:r>
        <w:r w:rsidRPr="00825198">
          <w:rPr>
            <w:noProof/>
            <w:webHidden/>
            <w:sz w:val="16"/>
            <w:szCs w:val="16"/>
          </w:rPr>
          <w:tab/>
        </w:r>
        <w:r w:rsidRPr="00825198">
          <w:rPr>
            <w:noProof/>
            <w:webHidden/>
            <w:sz w:val="16"/>
            <w:szCs w:val="16"/>
          </w:rPr>
          <w:fldChar w:fldCharType="begin"/>
        </w:r>
        <w:r w:rsidRPr="00825198">
          <w:rPr>
            <w:noProof/>
            <w:webHidden/>
            <w:sz w:val="16"/>
            <w:szCs w:val="16"/>
          </w:rPr>
          <w:instrText xml:space="preserve"> PAGEREF _Toc232612601 \h </w:instrText>
        </w:r>
        <w:r w:rsidRPr="00825198">
          <w:rPr>
            <w:noProof/>
            <w:webHidden/>
            <w:sz w:val="16"/>
            <w:szCs w:val="16"/>
          </w:rPr>
        </w:r>
        <w:r w:rsidRPr="00825198">
          <w:rPr>
            <w:noProof/>
            <w:webHidden/>
            <w:sz w:val="16"/>
            <w:szCs w:val="16"/>
          </w:rPr>
          <w:fldChar w:fldCharType="separate"/>
        </w:r>
        <w:r w:rsidR="00B23DE1">
          <w:rPr>
            <w:noProof/>
            <w:webHidden/>
            <w:sz w:val="16"/>
            <w:szCs w:val="16"/>
          </w:rPr>
          <w:t>18</w:t>
        </w:r>
        <w:r w:rsidRPr="00825198">
          <w:rPr>
            <w:noProof/>
            <w:webHidden/>
            <w:sz w:val="16"/>
            <w:szCs w:val="16"/>
          </w:rPr>
          <w:fldChar w:fldCharType="end"/>
        </w:r>
      </w:hyperlink>
    </w:p>
    <w:p w14:paraId="564D614D" w14:textId="27A4C53A" w:rsidR="00825198" w:rsidRPr="00825198" w:rsidRDefault="00825198">
      <w:pPr>
        <w:pStyle w:val="Obsah3"/>
        <w:rPr>
          <w:rFonts w:eastAsiaTheme="minorEastAsia" w:cstheme="minorBidi"/>
          <w:noProof/>
          <w:kern w:val="2"/>
          <w:sz w:val="16"/>
          <w:szCs w:val="16"/>
          <w14:ligatures w14:val="standardContextual"/>
        </w:rPr>
      </w:pPr>
      <w:hyperlink w:anchor="_Toc232612602" w:history="1">
        <w:r w:rsidRPr="00825198">
          <w:rPr>
            <w:rStyle w:val="Hypertextovodkaz"/>
            <w:noProof/>
            <w:sz w:val="16"/>
            <w:szCs w:val="16"/>
          </w:rPr>
          <w:t>IV.c/4</w:t>
        </w:r>
        <w:r w:rsidRPr="00825198">
          <w:rPr>
            <w:rFonts w:eastAsiaTheme="minorEastAsia" w:cstheme="minorBidi"/>
            <w:noProof/>
            <w:kern w:val="2"/>
            <w:sz w:val="16"/>
            <w:szCs w:val="16"/>
            <w14:ligatures w14:val="standardContextual"/>
          </w:rPr>
          <w:tab/>
        </w:r>
        <w:r w:rsidRPr="00825198">
          <w:rPr>
            <w:rStyle w:val="Hypertextovodkaz"/>
            <w:noProof/>
            <w:sz w:val="16"/>
            <w:szCs w:val="16"/>
          </w:rPr>
          <w:t>Koridory veřejné infrastruktury</w:t>
        </w:r>
        <w:r w:rsidRPr="00825198">
          <w:rPr>
            <w:noProof/>
            <w:webHidden/>
            <w:sz w:val="16"/>
            <w:szCs w:val="16"/>
          </w:rPr>
          <w:tab/>
        </w:r>
        <w:r w:rsidRPr="00825198">
          <w:rPr>
            <w:noProof/>
            <w:webHidden/>
            <w:sz w:val="16"/>
            <w:szCs w:val="16"/>
          </w:rPr>
          <w:fldChar w:fldCharType="begin"/>
        </w:r>
        <w:r w:rsidRPr="00825198">
          <w:rPr>
            <w:noProof/>
            <w:webHidden/>
            <w:sz w:val="16"/>
            <w:szCs w:val="16"/>
          </w:rPr>
          <w:instrText xml:space="preserve"> PAGEREF _Toc232612602 \h </w:instrText>
        </w:r>
        <w:r w:rsidRPr="00825198">
          <w:rPr>
            <w:noProof/>
            <w:webHidden/>
            <w:sz w:val="16"/>
            <w:szCs w:val="16"/>
          </w:rPr>
        </w:r>
        <w:r w:rsidRPr="00825198">
          <w:rPr>
            <w:noProof/>
            <w:webHidden/>
            <w:sz w:val="16"/>
            <w:szCs w:val="16"/>
          </w:rPr>
          <w:fldChar w:fldCharType="separate"/>
        </w:r>
        <w:r w:rsidR="00B23DE1">
          <w:rPr>
            <w:noProof/>
            <w:webHidden/>
            <w:sz w:val="16"/>
            <w:szCs w:val="16"/>
          </w:rPr>
          <w:t>18</w:t>
        </w:r>
        <w:r w:rsidRPr="00825198">
          <w:rPr>
            <w:noProof/>
            <w:webHidden/>
            <w:sz w:val="16"/>
            <w:szCs w:val="16"/>
          </w:rPr>
          <w:fldChar w:fldCharType="end"/>
        </w:r>
      </w:hyperlink>
    </w:p>
    <w:p w14:paraId="719AB364" w14:textId="630425B2" w:rsidR="00825198" w:rsidRPr="00825198" w:rsidRDefault="00825198">
      <w:pPr>
        <w:pStyle w:val="Obsah3"/>
        <w:rPr>
          <w:rFonts w:eastAsiaTheme="minorEastAsia" w:cstheme="minorBidi"/>
          <w:noProof/>
          <w:kern w:val="2"/>
          <w:sz w:val="16"/>
          <w:szCs w:val="16"/>
          <w14:ligatures w14:val="standardContextual"/>
        </w:rPr>
      </w:pPr>
      <w:hyperlink w:anchor="_Toc232612603" w:history="1">
        <w:r w:rsidRPr="00825198">
          <w:rPr>
            <w:rStyle w:val="Hypertextovodkaz"/>
            <w:noProof/>
            <w:sz w:val="16"/>
            <w:szCs w:val="16"/>
          </w:rPr>
          <w:t>IV.c/5</w:t>
        </w:r>
        <w:r w:rsidRPr="00825198">
          <w:rPr>
            <w:rFonts w:eastAsiaTheme="minorEastAsia" w:cstheme="minorBidi"/>
            <w:noProof/>
            <w:kern w:val="2"/>
            <w:sz w:val="16"/>
            <w:szCs w:val="16"/>
            <w14:ligatures w14:val="standardContextual"/>
          </w:rPr>
          <w:tab/>
        </w:r>
        <w:r w:rsidRPr="00825198">
          <w:rPr>
            <w:rStyle w:val="Hypertextovodkaz"/>
            <w:noProof/>
            <w:sz w:val="16"/>
            <w:szCs w:val="16"/>
          </w:rPr>
          <w:t>Plochy a koridory ÚSES</w:t>
        </w:r>
        <w:r w:rsidRPr="00825198">
          <w:rPr>
            <w:noProof/>
            <w:webHidden/>
            <w:sz w:val="16"/>
            <w:szCs w:val="16"/>
          </w:rPr>
          <w:tab/>
        </w:r>
        <w:r w:rsidRPr="00825198">
          <w:rPr>
            <w:noProof/>
            <w:webHidden/>
            <w:sz w:val="16"/>
            <w:szCs w:val="16"/>
          </w:rPr>
          <w:fldChar w:fldCharType="begin"/>
        </w:r>
        <w:r w:rsidRPr="00825198">
          <w:rPr>
            <w:noProof/>
            <w:webHidden/>
            <w:sz w:val="16"/>
            <w:szCs w:val="16"/>
          </w:rPr>
          <w:instrText xml:space="preserve"> PAGEREF _Toc232612603 \h </w:instrText>
        </w:r>
        <w:r w:rsidRPr="00825198">
          <w:rPr>
            <w:noProof/>
            <w:webHidden/>
            <w:sz w:val="16"/>
            <w:szCs w:val="16"/>
          </w:rPr>
        </w:r>
        <w:r w:rsidRPr="00825198">
          <w:rPr>
            <w:noProof/>
            <w:webHidden/>
            <w:sz w:val="16"/>
            <w:szCs w:val="16"/>
          </w:rPr>
          <w:fldChar w:fldCharType="separate"/>
        </w:r>
        <w:r w:rsidR="00B23DE1">
          <w:rPr>
            <w:noProof/>
            <w:webHidden/>
            <w:sz w:val="16"/>
            <w:szCs w:val="16"/>
          </w:rPr>
          <w:t>18</w:t>
        </w:r>
        <w:r w:rsidRPr="00825198">
          <w:rPr>
            <w:noProof/>
            <w:webHidden/>
            <w:sz w:val="16"/>
            <w:szCs w:val="16"/>
          </w:rPr>
          <w:fldChar w:fldCharType="end"/>
        </w:r>
      </w:hyperlink>
    </w:p>
    <w:p w14:paraId="56E0FD29" w14:textId="4427A587" w:rsidR="00825198" w:rsidRPr="00825198" w:rsidRDefault="00825198">
      <w:pPr>
        <w:pStyle w:val="Obsah3"/>
        <w:rPr>
          <w:rFonts w:eastAsiaTheme="minorEastAsia" w:cstheme="minorBidi"/>
          <w:noProof/>
          <w:kern w:val="2"/>
          <w:sz w:val="16"/>
          <w:szCs w:val="16"/>
          <w14:ligatures w14:val="standardContextual"/>
        </w:rPr>
      </w:pPr>
      <w:hyperlink w:anchor="_Toc232612604" w:history="1">
        <w:r w:rsidRPr="00825198">
          <w:rPr>
            <w:rStyle w:val="Hypertextovodkaz"/>
            <w:noProof/>
            <w:sz w:val="16"/>
            <w:szCs w:val="16"/>
          </w:rPr>
          <w:t>IV.c/6</w:t>
        </w:r>
        <w:r w:rsidRPr="00825198">
          <w:rPr>
            <w:rFonts w:eastAsiaTheme="minorEastAsia" w:cstheme="minorBidi"/>
            <w:noProof/>
            <w:kern w:val="2"/>
            <w:sz w:val="16"/>
            <w:szCs w:val="16"/>
            <w14:ligatures w14:val="standardContextual"/>
          </w:rPr>
          <w:tab/>
        </w:r>
        <w:r w:rsidRPr="00825198">
          <w:rPr>
            <w:rStyle w:val="Hypertextovodkaz"/>
            <w:noProof/>
            <w:sz w:val="16"/>
            <w:szCs w:val="16"/>
          </w:rPr>
          <w:t>Plochy pro těžbu nerostů</w:t>
        </w:r>
        <w:r w:rsidRPr="00825198">
          <w:rPr>
            <w:noProof/>
            <w:webHidden/>
            <w:sz w:val="16"/>
            <w:szCs w:val="16"/>
          </w:rPr>
          <w:tab/>
        </w:r>
        <w:r w:rsidRPr="00825198">
          <w:rPr>
            <w:noProof/>
            <w:webHidden/>
            <w:sz w:val="16"/>
            <w:szCs w:val="16"/>
          </w:rPr>
          <w:fldChar w:fldCharType="begin"/>
        </w:r>
        <w:r w:rsidRPr="00825198">
          <w:rPr>
            <w:noProof/>
            <w:webHidden/>
            <w:sz w:val="16"/>
            <w:szCs w:val="16"/>
          </w:rPr>
          <w:instrText xml:space="preserve"> PAGEREF _Toc232612604 \h </w:instrText>
        </w:r>
        <w:r w:rsidRPr="00825198">
          <w:rPr>
            <w:noProof/>
            <w:webHidden/>
            <w:sz w:val="16"/>
            <w:szCs w:val="16"/>
          </w:rPr>
        </w:r>
        <w:r w:rsidRPr="00825198">
          <w:rPr>
            <w:noProof/>
            <w:webHidden/>
            <w:sz w:val="16"/>
            <w:szCs w:val="16"/>
          </w:rPr>
          <w:fldChar w:fldCharType="separate"/>
        </w:r>
        <w:r w:rsidR="00B23DE1">
          <w:rPr>
            <w:noProof/>
            <w:webHidden/>
            <w:sz w:val="16"/>
            <w:szCs w:val="16"/>
          </w:rPr>
          <w:t>19</w:t>
        </w:r>
        <w:r w:rsidRPr="00825198">
          <w:rPr>
            <w:noProof/>
            <w:webHidden/>
            <w:sz w:val="16"/>
            <w:szCs w:val="16"/>
          </w:rPr>
          <w:fldChar w:fldCharType="end"/>
        </w:r>
      </w:hyperlink>
    </w:p>
    <w:p w14:paraId="105CF539" w14:textId="42F13734" w:rsidR="00825198" w:rsidRPr="00825198" w:rsidRDefault="00825198">
      <w:pPr>
        <w:pStyle w:val="Obsah3"/>
        <w:rPr>
          <w:rFonts w:eastAsiaTheme="minorEastAsia" w:cstheme="minorBidi"/>
          <w:noProof/>
          <w:kern w:val="2"/>
          <w:sz w:val="16"/>
          <w:szCs w:val="16"/>
          <w14:ligatures w14:val="standardContextual"/>
        </w:rPr>
      </w:pPr>
      <w:hyperlink w:anchor="_Toc232612605" w:history="1">
        <w:r w:rsidRPr="00825198">
          <w:rPr>
            <w:rStyle w:val="Hypertextovodkaz"/>
            <w:noProof/>
            <w:sz w:val="16"/>
            <w:szCs w:val="16"/>
          </w:rPr>
          <w:t>IV.c/7</w:t>
        </w:r>
        <w:r w:rsidRPr="00825198">
          <w:rPr>
            <w:rFonts w:eastAsiaTheme="minorEastAsia" w:cstheme="minorBidi"/>
            <w:noProof/>
            <w:kern w:val="2"/>
            <w:sz w:val="16"/>
            <w:szCs w:val="16"/>
            <w14:ligatures w14:val="standardContextual"/>
          </w:rPr>
          <w:tab/>
        </w:r>
        <w:r w:rsidRPr="00825198">
          <w:rPr>
            <w:rStyle w:val="Hypertextovodkaz"/>
            <w:noProof/>
            <w:sz w:val="16"/>
            <w:szCs w:val="16"/>
          </w:rPr>
          <w:t>Veřejně prospěšné stavby a opatření</w:t>
        </w:r>
        <w:r w:rsidRPr="00825198">
          <w:rPr>
            <w:noProof/>
            <w:webHidden/>
            <w:sz w:val="16"/>
            <w:szCs w:val="16"/>
          </w:rPr>
          <w:tab/>
        </w:r>
        <w:r w:rsidRPr="00825198">
          <w:rPr>
            <w:noProof/>
            <w:webHidden/>
            <w:sz w:val="16"/>
            <w:szCs w:val="16"/>
          </w:rPr>
          <w:fldChar w:fldCharType="begin"/>
        </w:r>
        <w:r w:rsidRPr="00825198">
          <w:rPr>
            <w:noProof/>
            <w:webHidden/>
            <w:sz w:val="16"/>
            <w:szCs w:val="16"/>
          </w:rPr>
          <w:instrText xml:space="preserve"> PAGEREF _Toc232612605 \h </w:instrText>
        </w:r>
        <w:r w:rsidRPr="00825198">
          <w:rPr>
            <w:noProof/>
            <w:webHidden/>
            <w:sz w:val="16"/>
            <w:szCs w:val="16"/>
          </w:rPr>
        </w:r>
        <w:r w:rsidRPr="00825198">
          <w:rPr>
            <w:noProof/>
            <w:webHidden/>
            <w:sz w:val="16"/>
            <w:szCs w:val="16"/>
          </w:rPr>
          <w:fldChar w:fldCharType="separate"/>
        </w:r>
        <w:r w:rsidR="00B23DE1">
          <w:rPr>
            <w:noProof/>
            <w:webHidden/>
            <w:sz w:val="16"/>
            <w:szCs w:val="16"/>
          </w:rPr>
          <w:t>19</w:t>
        </w:r>
        <w:r w:rsidRPr="00825198">
          <w:rPr>
            <w:noProof/>
            <w:webHidden/>
            <w:sz w:val="16"/>
            <w:szCs w:val="16"/>
          </w:rPr>
          <w:fldChar w:fldCharType="end"/>
        </w:r>
      </w:hyperlink>
    </w:p>
    <w:p w14:paraId="593851B0" w14:textId="30391805" w:rsidR="00825198" w:rsidRPr="00825198" w:rsidRDefault="00825198">
      <w:pPr>
        <w:pStyle w:val="Obsah1"/>
        <w:rPr>
          <w:rFonts w:eastAsiaTheme="minorEastAsia" w:cstheme="minorBidi"/>
          <w:b w:val="0"/>
          <w:bCs w:val="0"/>
          <w:noProof/>
          <w:kern w:val="2"/>
          <w:sz w:val="16"/>
          <w:szCs w:val="16"/>
          <w14:ligatures w14:val="standardContextual"/>
        </w:rPr>
      </w:pPr>
      <w:hyperlink w:anchor="_Toc232612606" w:history="1">
        <w:r w:rsidRPr="00825198">
          <w:rPr>
            <w:rStyle w:val="Hypertextovodkaz"/>
            <w:noProof/>
            <w:sz w:val="16"/>
            <w:szCs w:val="16"/>
          </w:rPr>
          <w:t>V</w:t>
        </w:r>
        <w:r w:rsidRPr="00825198">
          <w:rPr>
            <w:rFonts w:eastAsiaTheme="minorEastAsia" w:cstheme="minorBidi"/>
            <w:b w:val="0"/>
            <w:bCs w:val="0"/>
            <w:noProof/>
            <w:kern w:val="2"/>
            <w:sz w:val="16"/>
            <w:szCs w:val="16"/>
            <w14:ligatures w14:val="standardContextual"/>
          </w:rPr>
          <w:tab/>
        </w:r>
        <w:r w:rsidRPr="00825198">
          <w:rPr>
            <w:rStyle w:val="Hypertextovodkaz"/>
            <w:noProof/>
            <w:sz w:val="16"/>
            <w:szCs w:val="16"/>
          </w:rPr>
          <w:t>Vyhodnocení souladu se zadáním</w:t>
        </w:r>
        <w:r w:rsidRPr="00825198">
          <w:rPr>
            <w:noProof/>
            <w:webHidden/>
            <w:sz w:val="16"/>
            <w:szCs w:val="16"/>
          </w:rPr>
          <w:tab/>
        </w:r>
        <w:r w:rsidRPr="00825198">
          <w:rPr>
            <w:noProof/>
            <w:webHidden/>
            <w:sz w:val="16"/>
            <w:szCs w:val="16"/>
          </w:rPr>
          <w:fldChar w:fldCharType="begin"/>
        </w:r>
        <w:r w:rsidRPr="00825198">
          <w:rPr>
            <w:noProof/>
            <w:webHidden/>
            <w:sz w:val="16"/>
            <w:szCs w:val="16"/>
          </w:rPr>
          <w:instrText xml:space="preserve"> PAGEREF _Toc232612606 \h </w:instrText>
        </w:r>
        <w:r w:rsidRPr="00825198">
          <w:rPr>
            <w:noProof/>
            <w:webHidden/>
            <w:sz w:val="16"/>
            <w:szCs w:val="16"/>
          </w:rPr>
        </w:r>
        <w:r w:rsidRPr="00825198">
          <w:rPr>
            <w:noProof/>
            <w:webHidden/>
            <w:sz w:val="16"/>
            <w:szCs w:val="16"/>
          </w:rPr>
          <w:fldChar w:fldCharType="separate"/>
        </w:r>
        <w:r w:rsidR="00B23DE1">
          <w:rPr>
            <w:noProof/>
            <w:webHidden/>
            <w:sz w:val="16"/>
            <w:szCs w:val="16"/>
          </w:rPr>
          <w:t>20</w:t>
        </w:r>
        <w:r w:rsidRPr="00825198">
          <w:rPr>
            <w:noProof/>
            <w:webHidden/>
            <w:sz w:val="16"/>
            <w:szCs w:val="16"/>
          </w:rPr>
          <w:fldChar w:fldCharType="end"/>
        </w:r>
      </w:hyperlink>
    </w:p>
    <w:p w14:paraId="60A2BFCD" w14:textId="5E6CB64E" w:rsidR="00825198" w:rsidRPr="00825198" w:rsidRDefault="00825198">
      <w:pPr>
        <w:pStyle w:val="Obsah2"/>
        <w:rPr>
          <w:rFonts w:eastAsiaTheme="minorEastAsia" w:cstheme="minorBidi"/>
          <w:i w:val="0"/>
          <w:iCs w:val="0"/>
          <w:noProof/>
          <w:kern w:val="2"/>
          <w:sz w:val="16"/>
          <w:szCs w:val="16"/>
          <w14:ligatures w14:val="standardContextual"/>
        </w:rPr>
      </w:pPr>
      <w:hyperlink w:anchor="_Toc232612607" w:history="1">
        <w:r w:rsidRPr="00825198">
          <w:rPr>
            <w:rStyle w:val="Hypertextovodkaz"/>
            <w:noProof/>
            <w:sz w:val="16"/>
            <w:szCs w:val="16"/>
          </w:rPr>
          <w:t>V.a</w:t>
        </w:r>
        <w:r w:rsidRPr="00825198">
          <w:rPr>
            <w:rFonts w:eastAsiaTheme="minorEastAsia" w:cstheme="minorBidi"/>
            <w:i w:val="0"/>
            <w:iCs w:val="0"/>
            <w:noProof/>
            <w:kern w:val="2"/>
            <w:sz w:val="16"/>
            <w:szCs w:val="16"/>
            <w14:ligatures w14:val="standardContextual"/>
          </w:rPr>
          <w:tab/>
        </w:r>
        <w:r w:rsidRPr="00825198">
          <w:rPr>
            <w:rStyle w:val="Hypertextovodkaz"/>
            <w:noProof/>
            <w:sz w:val="16"/>
            <w:szCs w:val="16"/>
          </w:rPr>
          <w:t>požadavky na základní koncepci rozvoje území obce</w:t>
        </w:r>
        <w:r w:rsidRPr="00825198">
          <w:rPr>
            <w:noProof/>
            <w:webHidden/>
            <w:sz w:val="16"/>
            <w:szCs w:val="16"/>
          </w:rPr>
          <w:tab/>
        </w:r>
        <w:r w:rsidRPr="00825198">
          <w:rPr>
            <w:noProof/>
            <w:webHidden/>
            <w:sz w:val="16"/>
            <w:szCs w:val="16"/>
          </w:rPr>
          <w:fldChar w:fldCharType="begin"/>
        </w:r>
        <w:r w:rsidRPr="00825198">
          <w:rPr>
            <w:noProof/>
            <w:webHidden/>
            <w:sz w:val="16"/>
            <w:szCs w:val="16"/>
          </w:rPr>
          <w:instrText xml:space="preserve"> PAGEREF _Toc232612607 \h </w:instrText>
        </w:r>
        <w:r w:rsidRPr="00825198">
          <w:rPr>
            <w:noProof/>
            <w:webHidden/>
            <w:sz w:val="16"/>
            <w:szCs w:val="16"/>
          </w:rPr>
        </w:r>
        <w:r w:rsidRPr="00825198">
          <w:rPr>
            <w:noProof/>
            <w:webHidden/>
            <w:sz w:val="16"/>
            <w:szCs w:val="16"/>
          </w:rPr>
          <w:fldChar w:fldCharType="separate"/>
        </w:r>
        <w:r w:rsidR="00B23DE1">
          <w:rPr>
            <w:noProof/>
            <w:webHidden/>
            <w:sz w:val="16"/>
            <w:szCs w:val="16"/>
          </w:rPr>
          <w:t>20</w:t>
        </w:r>
        <w:r w:rsidRPr="00825198">
          <w:rPr>
            <w:noProof/>
            <w:webHidden/>
            <w:sz w:val="16"/>
            <w:szCs w:val="16"/>
          </w:rPr>
          <w:fldChar w:fldCharType="end"/>
        </w:r>
      </w:hyperlink>
    </w:p>
    <w:p w14:paraId="5EA506C5" w14:textId="4BC76341" w:rsidR="00825198" w:rsidRPr="00825198" w:rsidRDefault="00825198">
      <w:pPr>
        <w:pStyle w:val="Obsah3"/>
        <w:rPr>
          <w:rFonts w:eastAsiaTheme="minorEastAsia" w:cstheme="minorBidi"/>
          <w:noProof/>
          <w:kern w:val="2"/>
          <w:sz w:val="16"/>
          <w:szCs w:val="16"/>
          <w14:ligatures w14:val="standardContextual"/>
        </w:rPr>
      </w:pPr>
      <w:hyperlink w:anchor="_Toc232612608" w:history="1">
        <w:r w:rsidRPr="00825198">
          <w:rPr>
            <w:rStyle w:val="Hypertextovodkaz"/>
            <w:noProof/>
            <w:sz w:val="16"/>
            <w:szCs w:val="16"/>
          </w:rPr>
          <w:t>V.a/1</w:t>
        </w:r>
        <w:r w:rsidRPr="00825198">
          <w:rPr>
            <w:rFonts w:eastAsiaTheme="minorEastAsia" w:cstheme="minorBidi"/>
            <w:noProof/>
            <w:kern w:val="2"/>
            <w:sz w:val="16"/>
            <w:szCs w:val="16"/>
            <w14:ligatures w14:val="standardContextual"/>
          </w:rPr>
          <w:tab/>
        </w:r>
        <w:r w:rsidRPr="00825198">
          <w:rPr>
            <w:rStyle w:val="Hypertextovodkaz"/>
            <w:noProof/>
            <w:sz w:val="16"/>
            <w:szCs w:val="16"/>
          </w:rPr>
          <w:t>požadavky na urbanistickou koncepci,</w:t>
        </w:r>
        <w:r w:rsidRPr="00825198">
          <w:rPr>
            <w:noProof/>
            <w:webHidden/>
            <w:sz w:val="16"/>
            <w:szCs w:val="16"/>
          </w:rPr>
          <w:tab/>
        </w:r>
        <w:r w:rsidRPr="00825198">
          <w:rPr>
            <w:noProof/>
            <w:webHidden/>
            <w:sz w:val="16"/>
            <w:szCs w:val="16"/>
          </w:rPr>
          <w:fldChar w:fldCharType="begin"/>
        </w:r>
        <w:r w:rsidRPr="00825198">
          <w:rPr>
            <w:noProof/>
            <w:webHidden/>
            <w:sz w:val="16"/>
            <w:szCs w:val="16"/>
          </w:rPr>
          <w:instrText xml:space="preserve"> PAGEREF _Toc232612608 \h </w:instrText>
        </w:r>
        <w:r w:rsidRPr="00825198">
          <w:rPr>
            <w:noProof/>
            <w:webHidden/>
            <w:sz w:val="16"/>
            <w:szCs w:val="16"/>
          </w:rPr>
        </w:r>
        <w:r w:rsidRPr="00825198">
          <w:rPr>
            <w:noProof/>
            <w:webHidden/>
            <w:sz w:val="16"/>
            <w:szCs w:val="16"/>
          </w:rPr>
          <w:fldChar w:fldCharType="separate"/>
        </w:r>
        <w:r w:rsidR="00B23DE1">
          <w:rPr>
            <w:noProof/>
            <w:webHidden/>
            <w:sz w:val="16"/>
            <w:szCs w:val="16"/>
          </w:rPr>
          <w:t>20</w:t>
        </w:r>
        <w:r w:rsidRPr="00825198">
          <w:rPr>
            <w:noProof/>
            <w:webHidden/>
            <w:sz w:val="16"/>
            <w:szCs w:val="16"/>
          </w:rPr>
          <w:fldChar w:fldCharType="end"/>
        </w:r>
      </w:hyperlink>
    </w:p>
    <w:p w14:paraId="7C019199" w14:textId="5E4C7F35" w:rsidR="00825198" w:rsidRPr="00825198" w:rsidRDefault="00825198">
      <w:pPr>
        <w:pStyle w:val="Obsah3"/>
        <w:rPr>
          <w:rFonts w:eastAsiaTheme="minorEastAsia" w:cstheme="minorBidi"/>
          <w:noProof/>
          <w:kern w:val="2"/>
          <w:sz w:val="16"/>
          <w:szCs w:val="16"/>
          <w14:ligatures w14:val="standardContextual"/>
        </w:rPr>
      </w:pPr>
      <w:hyperlink w:anchor="_Toc232612609" w:history="1">
        <w:r w:rsidRPr="00825198">
          <w:rPr>
            <w:rStyle w:val="Hypertextovodkaz"/>
            <w:noProof/>
            <w:sz w:val="16"/>
            <w:szCs w:val="16"/>
          </w:rPr>
          <w:t>V.a/2</w:t>
        </w:r>
        <w:r w:rsidRPr="00825198">
          <w:rPr>
            <w:rFonts w:eastAsiaTheme="minorEastAsia" w:cstheme="minorBidi"/>
            <w:noProof/>
            <w:kern w:val="2"/>
            <w:sz w:val="16"/>
            <w:szCs w:val="16"/>
            <w14:ligatures w14:val="standardContextual"/>
          </w:rPr>
          <w:tab/>
        </w:r>
        <w:r w:rsidRPr="00825198">
          <w:rPr>
            <w:rStyle w:val="Hypertextovodkaz"/>
            <w:noProof/>
            <w:sz w:val="16"/>
            <w:szCs w:val="16"/>
          </w:rPr>
          <w:t>požadavky na koncepci veřejné infrastruktury,</w:t>
        </w:r>
        <w:r w:rsidRPr="00825198">
          <w:rPr>
            <w:noProof/>
            <w:webHidden/>
            <w:sz w:val="16"/>
            <w:szCs w:val="16"/>
          </w:rPr>
          <w:tab/>
        </w:r>
        <w:r w:rsidRPr="00825198">
          <w:rPr>
            <w:noProof/>
            <w:webHidden/>
            <w:sz w:val="16"/>
            <w:szCs w:val="16"/>
          </w:rPr>
          <w:fldChar w:fldCharType="begin"/>
        </w:r>
        <w:r w:rsidRPr="00825198">
          <w:rPr>
            <w:noProof/>
            <w:webHidden/>
            <w:sz w:val="16"/>
            <w:szCs w:val="16"/>
          </w:rPr>
          <w:instrText xml:space="preserve"> PAGEREF _Toc232612609 \h </w:instrText>
        </w:r>
        <w:r w:rsidRPr="00825198">
          <w:rPr>
            <w:noProof/>
            <w:webHidden/>
            <w:sz w:val="16"/>
            <w:szCs w:val="16"/>
          </w:rPr>
        </w:r>
        <w:r w:rsidRPr="00825198">
          <w:rPr>
            <w:noProof/>
            <w:webHidden/>
            <w:sz w:val="16"/>
            <w:szCs w:val="16"/>
          </w:rPr>
          <w:fldChar w:fldCharType="separate"/>
        </w:r>
        <w:r w:rsidR="00B23DE1">
          <w:rPr>
            <w:noProof/>
            <w:webHidden/>
            <w:sz w:val="16"/>
            <w:szCs w:val="16"/>
          </w:rPr>
          <w:t>24</w:t>
        </w:r>
        <w:r w:rsidRPr="00825198">
          <w:rPr>
            <w:noProof/>
            <w:webHidden/>
            <w:sz w:val="16"/>
            <w:szCs w:val="16"/>
          </w:rPr>
          <w:fldChar w:fldCharType="end"/>
        </w:r>
      </w:hyperlink>
    </w:p>
    <w:p w14:paraId="633B9936" w14:textId="4D9B547E" w:rsidR="00825198" w:rsidRPr="00825198" w:rsidRDefault="00825198">
      <w:pPr>
        <w:pStyle w:val="Obsah3"/>
        <w:rPr>
          <w:rFonts w:eastAsiaTheme="minorEastAsia" w:cstheme="minorBidi"/>
          <w:noProof/>
          <w:kern w:val="2"/>
          <w:sz w:val="16"/>
          <w:szCs w:val="16"/>
          <w14:ligatures w14:val="standardContextual"/>
        </w:rPr>
      </w:pPr>
      <w:hyperlink w:anchor="_Toc232612610" w:history="1">
        <w:r w:rsidRPr="00825198">
          <w:rPr>
            <w:rStyle w:val="Hypertextovodkaz"/>
            <w:noProof/>
            <w:sz w:val="16"/>
            <w:szCs w:val="16"/>
          </w:rPr>
          <w:t>V.a/3</w:t>
        </w:r>
        <w:r w:rsidRPr="00825198">
          <w:rPr>
            <w:rFonts w:eastAsiaTheme="minorEastAsia" w:cstheme="minorBidi"/>
            <w:noProof/>
            <w:kern w:val="2"/>
            <w:sz w:val="16"/>
            <w:szCs w:val="16"/>
            <w14:ligatures w14:val="standardContextual"/>
          </w:rPr>
          <w:tab/>
        </w:r>
        <w:r w:rsidRPr="00825198">
          <w:rPr>
            <w:rStyle w:val="Hypertextovodkaz"/>
            <w:noProof/>
            <w:sz w:val="16"/>
            <w:szCs w:val="16"/>
          </w:rPr>
          <w:t>požadavky na koncepci uspořádání krajiny,</w:t>
        </w:r>
        <w:r w:rsidRPr="00825198">
          <w:rPr>
            <w:noProof/>
            <w:webHidden/>
            <w:sz w:val="16"/>
            <w:szCs w:val="16"/>
          </w:rPr>
          <w:tab/>
        </w:r>
        <w:r w:rsidRPr="00825198">
          <w:rPr>
            <w:noProof/>
            <w:webHidden/>
            <w:sz w:val="16"/>
            <w:szCs w:val="16"/>
          </w:rPr>
          <w:fldChar w:fldCharType="begin"/>
        </w:r>
        <w:r w:rsidRPr="00825198">
          <w:rPr>
            <w:noProof/>
            <w:webHidden/>
            <w:sz w:val="16"/>
            <w:szCs w:val="16"/>
          </w:rPr>
          <w:instrText xml:space="preserve"> PAGEREF _Toc232612610 \h </w:instrText>
        </w:r>
        <w:r w:rsidRPr="00825198">
          <w:rPr>
            <w:noProof/>
            <w:webHidden/>
            <w:sz w:val="16"/>
            <w:szCs w:val="16"/>
          </w:rPr>
        </w:r>
        <w:r w:rsidRPr="00825198">
          <w:rPr>
            <w:noProof/>
            <w:webHidden/>
            <w:sz w:val="16"/>
            <w:szCs w:val="16"/>
          </w:rPr>
          <w:fldChar w:fldCharType="separate"/>
        </w:r>
        <w:r w:rsidR="00B23DE1">
          <w:rPr>
            <w:noProof/>
            <w:webHidden/>
            <w:sz w:val="16"/>
            <w:szCs w:val="16"/>
          </w:rPr>
          <w:t>28</w:t>
        </w:r>
        <w:r w:rsidRPr="00825198">
          <w:rPr>
            <w:noProof/>
            <w:webHidden/>
            <w:sz w:val="16"/>
            <w:szCs w:val="16"/>
          </w:rPr>
          <w:fldChar w:fldCharType="end"/>
        </w:r>
      </w:hyperlink>
    </w:p>
    <w:p w14:paraId="00718590" w14:textId="740174B8" w:rsidR="00825198" w:rsidRPr="00825198" w:rsidRDefault="00825198">
      <w:pPr>
        <w:pStyle w:val="Obsah2"/>
        <w:rPr>
          <w:rFonts w:eastAsiaTheme="minorEastAsia" w:cstheme="minorBidi"/>
          <w:i w:val="0"/>
          <w:iCs w:val="0"/>
          <w:noProof/>
          <w:kern w:val="2"/>
          <w:sz w:val="16"/>
          <w:szCs w:val="16"/>
          <w14:ligatures w14:val="standardContextual"/>
        </w:rPr>
      </w:pPr>
      <w:hyperlink w:anchor="_Toc232612611" w:history="1">
        <w:r w:rsidRPr="00825198">
          <w:rPr>
            <w:rStyle w:val="Hypertextovodkaz"/>
            <w:noProof/>
            <w:sz w:val="16"/>
            <w:szCs w:val="16"/>
          </w:rPr>
          <w:t>V.b</w:t>
        </w:r>
        <w:r w:rsidRPr="00825198">
          <w:rPr>
            <w:rFonts w:eastAsiaTheme="minorEastAsia" w:cstheme="minorBidi"/>
            <w:i w:val="0"/>
            <w:iCs w:val="0"/>
            <w:noProof/>
            <w:kern w:val="2"/>
            <w:sz w:val="16"/>
            <w:szCs w:val="16"/>
            <w14:ligatures w14:val="standardContextual"/>
          </w:rPr>
          <w:tab/>
        </w:r>
        <w:r w:rsidRPr="00825198">
          <w:rPr>
            <w:rStyle w:val="Hypertextovodkaz"/>
            <w:noProof/>
            <w:sz w:val="16"/>
            <w:szCs w:val="16"/>
          </w:rPr>
          <w:t>požadavky na vymezení ploch a koridorů územních rezerv a na stanovení jejich využití, které bude nutno prověřit</w:t>
        </w:r>
        <w:r w:rsidRPr="00825198">
          <w:rPr>
            <w:noProof/>
            <w:webHidden/>
            <w:sz w:val="16"/>
            <w:szCs w:val="16"/>
          </w:rPr>
          <w:tab/>
        </w:r>
        <w:r w:rsidRPr="00825198">
          <w:rPr>
            <w:noProof/>
            <w:webHidden/>
            <w:sz w:val="16"/>
            <w:szCs w:val="16"/>
          </w:rPr>
          <w:fldChar w:fldCharType="begin"/>
        </w:r>
        <w:r w:rsidRPr="00825198">
          <w:rPr>
            <w:noProof/>
            <w:webHidden/>
            <w:sz w:val="16"/>
            <w:szCs w:val="16"/>
          </w:rPr>
          <w:instrText xml:space="preserve"> PAGEREF _Toc232612611 \h </w:instrText>
        </w:r>
        <w:r w:rsidRPr="00825198">
          <w:rPr>
            <w:noProof/>
            <w:webHidden/>
            <w:sz w:val="16"/>
            <w:szCs w:val="16"/>
          </w:rPr>
        </w:r>
        <w:r w:rsidRPr="00825198">
          <w:rPr>
            <w:noProof/>
            <w:webHidden/>
            <w:sz w:val="16"/>
            <w:szCs w:val="16"/>
          </w:rPr>
          <w:fldChar w:fldCharType="separate"/>
        </w:r>
        <w:r w:rsidR="00B23DE1">
          <w:rPr>
            <w:noProof/>
            <w:webHidden/>
            <w:sz w:val="16"/>
            <w:szCs w:val="16"/>
          </w:rPr>
          <w:t>30</w:t>
        </w:r>
        <w:r w:rsidRPr="00825198">
          <w:rPr>
            <w:noProof/>
            <w:webHidden/>
            <w:sz w:val="16"/>
            <w:szCs w:val="16"/>
          </w:rPr>
          <w:fldChar w:fldCharType="end"/>
        </w:r>
      </w:hyperlink>
    </w:p>
    <w:p w14:paraId="1E1D89BB" w14:textId="337A0CB1" w:rsidR="00825198" w:rsidRPr="00825198" w:rsidRDefault="00825198">
      <w:pPr>
        <w:pStyle w:val="Obsah2"/>
        <w:rPr>
          <w:rFonts w:eastAsiaTheme="minorEastAsia" w:cstheme="minorBidi"/>
          <w:i w:val="0"/>
          <w:iCs w:val="0"/>
          <w:noProof/>
          <w:kern w:val="2"/>
          <w:sz w:val="16"/>
          <w:szCs w:val="16"/>
          <w14:ligatures w14:val="standardContextual"/>
        </w:rPr>
      </w:pPr>
      <w:hyperlink w:anchor="_Toc232612612" w:history="1">
        <w:r w:rsidRPr="00825198">
          <w:rPr>
            <w:rStyle w:val="Hypertextovodkaz"/>
            <w:bCs/>
            <w:noProof/>
            <w:sz w:val="16"/>
            <w:szCs w:val="16"/>
          </w:rPr>
          <w:t>V.c</w:t>
        </w:r>
        <w:r w:rsidRPr="00825198">
          <w:rPr>
            <w:rFonts w:eastAsiaTheme="minorEastAsia" w:cstheme="minorBidi"/>
            <w:i w:val="0"/>
            <w:iCs w:val="0"/>
            <w:noProof/>
            <w:kern w:val="2"/>
            <w:sz w:val="16"/>
            <w:szCs w:val="16"/>
            <w14:ligatures w14:val="standardContextual"/>
          </w:rPr>
          <w:tab/>
        </w:r>
        <w:r w:rsidRPr="00825198">
          <w:rPr>
            <w:rStyle w:val="Hypertextovodkaz"/>
            <w:bCs/>
            <w:noProof/>
            <w:sz w:val="16"/>
            <w:szCs w:val="16"/>
          </w:rPr>
          <w:t xml:space="preserve">požadavky na </w:t>
        </w:r>
        <w:r w:rsidRPr="00825198">
          <w:rPr>
            <w:rStyle w:val="Hypertextovodkaz"/>
            <w:noProof/>
            <w:sz w:val="16"/>
            <w:szCs w:val="16"/>
          </w:rPr>
          <w:t xml:space="preserve">prověření </w:t>
        </w:r>
        <w:r w:rsidRPr="00825198">
          <w:rPr>
            <w:rStyle w:val="Hypertextovodkaz"/>
            <w:bCs/>
            <w:noProof/>
            <w:sz w:val="16"/>
            <w:szCs w:val="16"/>
          </w:rPr>
          <w:t xml:space="preserve">vymezení </w:t>
        </w:r>
        <w:r w:rsidRPr="00825198">
          <w:rPr>
            <w:rStyle w:val="Hypertextovodkaz"/>
            <w:noProof/>
            <w:sz w:val="16"/>
            <w:szCs w:val="16"/>
          </w:rPr>
          <w:t xml:space="preserve">veřejně prospěšných </w:t>
        </w:r>
        <w:r w:rsidRPr="00825198">
          <w:rPr>
            <w:rStyle w:val="Hypertextovodkaz"/>
            <w:bCs/>
            <w:noProof/>
            <w:sz w:val="16"/>
            <w:szCs w:val="16"/>
          </w:rPr>
          <w:t xml:space="preserve">staveb, </w:t>
        </w:r>
        <w:r w:rsidRPr="00825198">
          <w:rPr>
            <w:rStyle w:val="Hypertextovodkaz"/>
            <w:noProof/>
            <w:sz w:val="16"/>
            <w:szCs w:val="16"/>
          </w:rPr>
          <w:t xml:space="preserve">veřejně prospěšných opatření </w:t>
        </w:r>
        <w:r w:rsidRPr="00825198">
          <w:rPr>
            <w:rStyle w:val="Hypertextovodkaz"/>
            <w:bCs/>
            <w:noProof/>
            <w:sz w:val="16"/>
            <w:szCs w:val="16"/>
          </w:rPr>
          <w:t xml:space="preserve">a asanací, pro které bude možné uplatnit </w:t>
        </w:r>
        <w:r w:rsidRPr="00825198">
          <w:rPr>
            <w:rStyle w:val="Hypertextovodkaz"/>
            <w:noProof/>
            <w:sz w:val="16"/>
            <w:szCs w:val="16"/>
          </w:rPr>
          <w:t xml:space="preserve">vyvlastnění </w:t>
        </w:r>
        <w:r w:rsidRPr="00825198">
          <w:rPr>
            <w:rStyle w:val="Hypertextovodkaz"/>
            <w:bCs/>
            <w:noProof/>
            <w:sz w:val="16"/>
            <w:szCs w:val="16"/>
          </w:rPr>
          <w:t xml:space="preserve">nebo </w:t>
        </w:r>
        <w:r w:rsidRPr="00825198">
          <w:rPr>
            <w:rStyle w:val="Hypertextovodkaz"/>
            <w:noProof/>
            <w:sz w:val="16"/>
            <w:szCs w:val="16"/>
          </w:rPr>
          <w:t xml:space="preserve">předkupní </w:t>
        </w:r>
        <w:r w:rsidRPr="00825198">
          <w:rPr>
            <w:rStyle w:val="Hypertextovodkaz"/>
            <w:bCs/>
            <w:noProof/>
            <w:sz w:val="16"/>
            <w:szCs w:val="16"/>
          </w:rPr>
          <w:t>právo</w:t>
        </w:r>
        <w:r w:rsidRPr="00825198">
          <w:rPr>
            <w:noProof/>
            <w:webHidden/>
            <w:sz w:val="16"/>
            <w:szCs w:val="16"/>
          </w:rPr>
          <w:tab/>
        </w:r>
        <w:r w:rsidRPr="00825198">
          <w:rPr>
            <w:noProof/>
            <w:webHidden/>
            <w:sz w:val="16"/>
            <w:szCs w:val="16"/>
          </w:rPr>
          <w:fldChar w:fldCharType="begin"/>
        </w:r>
        <w:r w:rsidRPr="00825198">
          <w:rPr>
            <w:noProof/>
            <w:webHidden/>
            <w:sz w:val="16"/>
            <w:szCs w:val="16"/>
          </w:rPr>
          <w:instrText xml:space="preserve"> PAGEREF _Toc232612612 \h </w:instrText>
        </w:r>
        <w:r w:rsidRPr="00825198">
          <w:rPr>
            <w:noProof/>
            <w:webHidden/>
            <w:sz w:val="16"/>
            <w:szCs w:val="16"/>
          </w:rPr>
        </w:r>
        <w:r w:rsidRPr="00825198">
          <w:rPr>
            <w:noProof/>
            <w:webHidden/>
            <w:sz w:val="16"/>
            <w:szCs w:val="16"/>
          </w:rPr>
          <w:fldChar w:fldCharType="separate"/>
        </w:r>
        <w:r w:rsidR="00B23DE1">
          <w:rPr>
            <w:noProof/>
            <w:webHidden/>
            <w:sz w:val="16"/>
            <w:szCs w:val="16"/>
          </w:rPr>
          <w:t>30</w:t>
        </w:r>
        <w:r w:rsidRPr="00825198">
          <w:rPr>
            <w:noProof/>
            <w:webHidden/>
            <w:sz w:val="16"/>
            <w:szCs w:val="16"/>
          </w:rPr>
          <w:fldChar w:fldCharType="end"/>
        </w:r>
      </w:hyperlink>
    </w:p>
    <w:p w14:paraId="6E39890C" w14:textId="49808C10" w:rsidR="00825198" w:rsidRPr="00825198" w:rsidRDefault="00825198">
      <w:pPr>
        <w:pStyle w:val="Obsah2"/>
        <w:rPr>
          <w:rFonts w:eastAsiaTheme="minorEastAsia" w:cstheme="minorBidi"/>
          <w:i w:val="0"/>
          <w:iCs w:val="0"/>
          <w:noProof/>
          <w:kern w:val="2"/>
          <w:sz w:val="16"/>
          <w:szCs w:val="16"/>
          <w14:ligatures w14:val="standardContextual"/>
        </w:rPr>
      </w:pPr>
      <w:hyperlink w:anchor="_Toc232612613" w:history="1">
        <w:r w:rsidRPr="00825198">
          <w:rPr>
            <w:rStyle w:val="Hypertextovodkaz"/>
            <w:noProof/>
            <w:sz w:val="16"/>
            <w:szCs w:val="16"/>
          </w:rPr>
          <w:t>V.d</w:t>
        </w:r>
        <w:r w:rsidRPr="00825198">
          <w:rPr>
            <w:rFonts w:eastAsiaTheme="minorEastAsia" w:cstheme="minorBidi"/>
            <w:i w:val="0"/>
            <w:iCs w:val="0"/>
            <w:noProof/>
            <w:kern w:val="2"/>
            <w:sz w:val="16"/>
            <w:szCs w:val="16"/>
            <w14:ligatures w14:val="standardContextual"/>
          </w:rPr>
          <w:tab/>
        </w:r>
        <w:r w:rsidRPr="00825198">
          <w:rPr>
            <w:rStyle w:val="Hypertextovodkaz"/>
            <w:noProof/>
            <w:sz w:val="16"/>
            <w:szCs w:val="16"/>
          </w:rPr>
          <w:t>požadavky na prověření vymezení ploch a koridorů, ve kterých bude rozhodování o změnách v území podmíněno vydáním regulačního plánu, zpracováním územní studie nebo uzavřením dohody o parcelaci</w:t>
        </w:r>
        <w:r w:rsidRPr="00825198">
          <w:rPr>
            <w:noProof/>
            <w:webHidden/>
            <w:sz w:val="16"/>
            <w:szCs w:val="16"/>
          </w:rPr>
          <w:tab/>
        </w:r>
        <w:r w:rsidRPr="00825198">
          <w:rPr>
            <w:noProof/>
            <w:webHidden/>
            <w:sz w:val="16"/>
            <w:szCs w:val="16"/>
          </w:rPr>
          <w:fldChar w:fldCharType="begin"/>
        </w:r>
        <w:r w:rsidRPr="00825198">
          <w:rPr>
            <w:noProof/>
            <w:webHidden/>
            <w:sz w:val="16"/>
            <w:szCs w:val="16"/>
          </w:rPr>
          <w:instrText xml:space="preserve"> PAGEREF _Toc232612613 \h </w:instrText>
        </w:r>
        <w:r w:rsidRPr="00825198">
          <w:rPr>
            <w:noProof/>
            <w:webHidden/>
            <w:sz w:val="16"/>
            <w:szCs w:val="16"/>
          </w:rPr>
        </w:r>
        <w:r w:rsidRPr="00825198">
          <w:rPr>
            <w:noProof/>
            <w:webHidden/>
            <w:sz w:val="16"/>
            <w:szCs w:val="16"/>
          </w:rPr>
          <w:fldChar w:fldCharType="separate"/>
        </w:r>
        <w:r w:rsidR="00B23DE1">
          <w:rPr>
            <w:noProof/>
            <w:webHidden/>
            <w:sz w:val="16"/>
            <w:szCs w:val="16"/>
          </w:rPr>
          <w:t>30</w:t>
        </w:r>
        <w:r w:rsidRPr="00825198">
          <w:rPr>
            <w:noProof/>
            <w:webHidden/>
            <w:sz w:val="16"/>
            <w:szCs w:val="16"/>
          </w:rPr>
          <w:fldChar w:fldCharType="end"/>
        </w:r>
      </w:hyperlink>
    </w:p>
    <w:p w14:paraId="304B8CF4" w14:textId="42C13972" w:rsidR="00825198" w:rsidRPr="00825198" w:rsidRDefault="00825198">
      <w:pPr>
        <w:pStyle w:val="Obsah2"/>
        <w:rPr>
          <w:rFonts w:eastAsiaTheme="minorEastAsia" w:cstheme="minorBidi"/>
          <w:i w:val="0"/>
          <w:iCs w:val="0"/>
          <w:noProof/>
          <w:kern w:val="2"/>
          <w:sz w:val="16"/>
          <w:szCs w:val="16"/>
          <w14:ligatures w14:val="standardContextual"/>
        </w:rPr>
      </w:pPr>
      <w:hyperlink w:anchor="_Toc232612614" w:history="1">
        <w:r w:rsidRPr="00825198">
          <w:rPr>
            <w:rStyle w:val="Hypertextovodkaz"/>
            <w:noProof/>
            <w:sz w:val="16"/>
            <w:szCs w:val="16"/>
          </w:rPr>
          <w:t>V.e</w:t>
        </w:r>
        <w:r w:rsidRPr="00825198">
          <w:rPr>
            <w:rFonts w:eastAsiaTheme="minorEastAsia" w:cstheme="minorBidi"/>
            <w:i w:val="0"/>
            <w:iCs w:val="0"/>
            <w:noProof/>
            <w:kern w:val="2"/>
            <w:sz w:val="16"/>
            <w:szCs w:val="16"/>
            <w14:ligatures w14:val="standardContextual"/>
          </w:rPr>
          <w:tab/>
        </w:r>
        <w:r w:rsidRPr="00825198">
          <w:rPr>
            <w:rStyle w:val="Hypertextovodkaz"/>
            <w:noProof/>
            <w:sz w:val="16"/>
            <w:szCs w:val="16"/>
          </w:rPr>
          <w:t>případný požadavky na zpracování variant řešení</w:t>
        </w:r>
        <w:r w:rsidRPr="00825198">
          <w:rPr>
            <w:noProof/>
            <w:webHidden/>
            <w:sz w:val="16"/>
            <w:szCs w:val="16"/>
          </w:rPr>
          <w:tab/>
        </w:r>
        <w:r w:rsidRPr="00825198">
          <w:rPr>
            <w:noProof/>
            <w:webHidden/>
            <w:sz w:val="16"/>
            <w:szCs w:val="16"/>
          </w:rPr>
          <w:fldChar w:fldCharType="begin"/>
        </w:r>
        <w:r w:rsidRPr="00825198">
          <w:rPr>
            <w:noProof/>
            <w:webHidden/>
            <w:sz w:val="16"/>
            <w:szCs w:val="16"/>
          </w:rPr>
          <w:instrText xml:space="preserve"> PAGEREF _Toc232612614 \h </w:instrText>
        </w:r>
        <w:r w:rsidRPr="00825198">
          <w:rPr>
            <w:noProof/>
            <w:webHidden/>
            <w:sz w:val="16"/>
            <w:szCs w:val="16"/>
          </w:rPr>
        </w:r>
        <w:r w:rsidRPr="00825198">
          <w:rPr>
            <w:noProof/>
            <w:webHidden/>
            <w:sz w:val="16"/>
            <w:szCs w:val="16"/>
          </w:rPr>
          <w:fldChar w:fldCharType="separate"/>
        </w:r>
        <w:r w:rsidR="00B23DE1">
          <w:rPr>
            <w:noProof/>
            <w:webHidden/>
            <w:sz w:val="16"/>
            <w:szCs w:val="16"/>
          </w:rPr>
          <w:t>31</w:t>
        </w:r>
        <w:r w:rsidRPr="00825198">
          <w:rPr>
            <w:noProof/>
            <w:webHidden/>
            <w:sz w:val="16"/>
            <w:szCs w:val="16"/>
          </w:rPr>
          <w:fldChar w:fldCharType="end"/>
        </w:r>
      </w:hyperlink>
    </w:p>
    <w:p w14:paraId="5D6B4AF9" w14:textId="7E636179" w:rsidR="00825198" w:rsidRPr="00825198" w:rsidRDefault="00825198">
      <w:pPr>
        <w:pStyle w:val="Obsah2"/>
        <w:rPr>
          <w:rFonts w:eastAsiaTheme="minorEastAsia" w:cstheme="minorBidi"/>
          <w:i w:val="0"/>
          <w:iCs w:val="0"/>
          <w:noProof/>
          <w:kern w:val="2"/>
          <w:sz w:val="16"/>
          <w:szCs w:val="16"/>
          <w14:ligatures w14:val="standardContextual"/>
        </w:rPr>
      </w:pPr>
      <w:hyperlink w:anchor="_Toc232612615" w:history="1">
        <w:r w:rsidRPr="00825198">
          <w:rPr>
            <w:rStyle w:val="Hypertextovodkaz"/>
            <w:noProof/>
            <w:sz w:val="16"/>
            <w:szCs w:val="16"/>
          </w:rPr>
          <w:t>V.f</w:t>
        </w:r>
        <w:r w:rsidRPr="00825198">
          <w:rPr>
            <w:rFonts w:eastAsiaTheme="minorEastAsia" w:cstheme="minorBidi"/>
            <w:i w:val="0"/>
            <w:iCs w:val="0"/>
            <w:noProof/>
            <w:kern w:val="2"/>
            <w:sz w:val="16"/>
            <w:szCs w:val="16"/>
            <w14:ligatures w14:val="standardContextual"/>
          </w:rPr>
          <w:tab/>
        </w:r>
        <w:r w:rsidRPr="00825198">
          <w:rPr>
            <w:rStyle w:val="Hypertextovodkaz"/>
            <w:noProof/>
            <w:sz w:val="16"/>
            <w:szCs w:val="16"/>
          </w:rPr>
          <w:t>požadavek na uspořádání obsahu návrhu územního plánu a na uspořádání obsahu jeho odůvodnění včetně měřítek výkresů a počtu vyhotovení</w:t>
        </w:r>
        <w:r w:rsidRPr="00825198">
          <w:rPr>
            <w:noProof/>
            <w:webHidden/>
            <w:sz w:val="16"/>
            <w:szCs w:val="16"/>
          </w:rPr>
          <w:tab/>
        </w:r>
        <w:r w:rsidRPr="00825198">
          <w:rPr>
            <w:noProof/>
            <w:webHidden/>
            <w:sz w:val="16"/>
            <w:szCs w:val="16"/>
          </w:rPr>
          <w:fldChar w:fldCharType="begin"/>
        </w:r>
        <w:r w:rsidRPr="00825198">
          <w:rPr>
            <w:noProof/>
            <w:webHidden/>
            <w:sz w:val="16"/>
            <w:szCs w:val="16"/>
          </w:rPr>
          <w:instrText xml:space="preserve"> PAGEREF _Toc232612615 \h </w:instrText>
        </w:r>
        <w:r w:rsidRPr="00825198">
          <w:rPr>
            <w:noProof/>
            <w:webHidden/>
            <w:sz w:val="16"/>
            <w:szCs w:val="16"/>
          </w:rPr>
        </w:r>
        <w:r w:rsidRPr="00825198">
          <w:rPr>
            <w:noProof/>
            <w:webHidden/>
            <w:sz w:val="16"/>
            <w:szCs w:val="16"/>
          </w:rPr>
          <w:fldChar w:fldCharType="separate"/>
        </w:r>
        <w:r w:rsidR="00B23DE1">
          <w:rPr>
            <w:noProof/>
            <w:webHidden/>
            <w:sz w:val="16"/>
            <w:szCs w:val="16"/>
          </w:rPr>
          <w:t>31</w:t>
        </w:r>
        <w:r w:rsidRPr="00825198">
          <w:rPr>
            <w:noProof/>
            <w:webHidden/>
            <w:sz w:val="16"/>
            <w:szCs w:val="16"/>
          </w:rPr>
          <w:fldChar w:fldCharType="end"/>
        </w:r>
      </w:hyperlink>
    </w:p>
    <w:p w14:paraId="78282698" w14:textId="0B1B9BC9" w:rsidR="00825198" w:rsidRPr="00825198" w:rsidRDefault="00825198">
      <w:pPr>
        <w:pStyle w:val="Obsah2"/>
        <w:rPr>
          <w:rFonts w:eastAsiaTheme="minorEastAsia" w:cstheme="minorBidi"/>
          <w:i w:val="0"/>
          <w:iCs w:val="0"/>
          <w:noProof/>
          <w:kern w:val="2"/>
          <w:sz w:val="16"/>
          <w:szCs w:val="16"/>
          <w14:ligatures w14:val="standardContextual"/>
        </w:rPr>
      </w:pPr>
      <w:hyperlink w:anchor="_Toc232612616" w:history="1">
        <w:r w:rsidRPr="00825198">
          <w:rPr>
            <w:rStyle w:val="Hypertextovodkaz"/>
            <w:noProof/>
            <w:sz w:val="16"/>
            <w:szCs w:val="16"/>
          </w:rPr>
          <w:t>V.g</w:t>
        </w:r>
        <w:r w:rsidRPr="00825198">
          <w:rPr>
            <w:rFonts w:eastAsiaTheme="minorEastAsia" w:cstheme="minorBidi"/>
            <w:i w:val="0"/>
            <w:iCs w:val="0"/>
            <w:noProof/>
            <w:kern w:val="2"/>
            <w:sz w:val="16"/>
            <w:szCs w:val="16"/>
            <w14:ligatures w14:val="standardContextual"/>
          </w:rPr>
          <w:tab/>
        </w:r>
        <w:r w:rsidRPr="00825198">
          <w:rPr>
            <w:rStyle w:val="Hypertextovodkaz"/>
            <w:noProof/>
            <w:sz w:val="16"/>
            <w:szCs w:val="16"/>
          </w:rPr>
          <w:t>požadavky na vyhodnocení předpokládaných vlivů územního plánu na udržitelný rozvoj území</w:t>
        </w:r>
        <w:r w:rsidRPr="00825198">
          <w:rPr>
            <w:noProof/>
            <w:webHidden/>
            <w:sz w:val="16"/>
            <w:szCs w:val="16"/>
          </w:rPr>
          <w:tab/>
        </w:r>
        <w:r w:rsidRPr="00825198">
          <w:rPr>
            <w:noProof/>
            <w:webHidden/>
            <w:sz w:val="16"/>
            <w:szCs w:val="16"/>
          </w:rPr>
          <w:fldChar w:fldCharType="begin"/>
        </w:r>
        <w:r w:rsidRPr="00825198">
          <w:rPr>
            <w:noProof/>
            <w:webHidden/>
            <w:sz w:val="16"/>
            <w:szCs w:val="16"/>
          </w:rPr>
          <w:instrText xml:space="preserve"> PAGEREF _Toc232612616 \h </w:instrText>
        </w:r>
        <w:r w:rsidRPr="00825198">
          <w:rPr>
            <w:noProof/>
            <w:webHidden/>
            <w:sz w:val="16"/>
            <w:szCs w:val="16"/>
          </w:rPr>
        </w:r>
        <w:r w:rsidRPr="00825198">
          <w:rPr>
            <w:noProof/>
            <w:webHidden/>
            <w:sz w:val="16"/>
            <w:szCs w:val="16"/>
          </w:rPr>
          <w:fldChar w:fldCharType="separate"/>
        </w:r>
        <w:r w:rsidR="00B23DE1">
          <w:rPr>
            <w:noProof/>
            <w:webHidden/>
            <w:sz w:val="16"/>
            <w:szCs w:val="16"/>
          </w:rPr>
          <w:t>32</w:t>
        </w:r>
        <w:r w:rsidRPr="00825198">
          <w:rPr>
            <w:noProof/>
            <w:webHidden/>
            <w:sz w:val="16"/>
            <w:szCs w:val="16"/>
          </w:rPr>
          <w:fldChar w:fldCharType="end"/>
        </w:r>
      </w:hyperlink>
    </w:p>
    <w:p w14:paraId="375D83E4" w14:textId="1700D3C4" w:rsidR="00825198" w:rsidRPr="00825198" w:rsidRDefault="00825198">
      <w:pPr>
        <w:pStyle w:val="Obsah1"/>
        <w:rPr>
          <w:rFonts w:eastAsiaTheme="minorEastAsia" w:cstheme="minorBidi"/>
          <w:b w:val="0"/>
          <w:bCs w:val="0"/>
          <w:noProof/>
          <w:kern w:val="2"/>
          <w:sz w:val="16"/>
          <w:szCs w:val="16"/>
          <w14:ligatures w14:val="standardContextual"/>
        </w:rPr>
      </w:pPr>
      <w:hyperlink w:anchor="_Toc232612617" w:history="1">
        <w:r w:rsidRPr="00825198">
          <w:rPr>
            <w:rStyle w:val="Hypertextovodkaz"/>
            <w:noProof/>
            <w:sz w:val="16"/>
            <w:szCs w:val="16"/>
          </w:rPr>
          <w:t>VI</w:t>
        </w:r>
        <w:r w:rsidRPr="00825198">
          <w:rPr>
            <w:rFonts w:eastAsiaTheme="minorEastAsia" w:cstheme="minorBidi"/>
            <w:b w:val="0"/>
            <w:bCs w:val="0"/>
            <w:noProof/>
            <w:kern w:val="2"/>
            <w:sz w:val="16"/>
            <w:szCs w:val="16"/>
            <w14:ligatures w14:val="standardContextual"/>
          </w:rPr>
          <w:tab/>
        </w:r>
        <w:r w:rsidRPr="00825198">
          <w:rPr>
            <w:rStyle w:val="Hypertextovodkaz"/>
            <w:noProof/>
            <w:sz w:val="16"/>
            <w:szCs w:val="16"/>
          </w:rPr>
          <w:t>Základní informace o výsledcích vyhodnocení vlivů na udržitelný rozvoj území, včetně výsledků vyhodnocení vlivů na životní prostředí a posouzení vlivu na předmět ochrany a celistvost evropsky významné lokality nebo ptačí oblasti</w:t>
        </w:r>
        <w:r w:rsidRPr="00825198">
          <w:rPr>
            <w:noProof/>
            <w:webHidden/>
            <w:sz w:val="16"/>
            <w:szCs w:val="16"/>
          </w:rPr>
          <w:tab/>
        </w:r>
        <w:r w:rsidRPr="00825198">
          <w:rPr>
            <w:noProof/>
            <w:webHidden/>
            <w:sz w:val="16"/>
            <w:szCs w:val="16"/>
          </w:rPr>
          <w:fldChar w:fldCharType="begin"/>
        </w:r>
        <w:r w:rsidRPr="00825198">
          <w:rPr>
            <w:noProof/>
            <w:webHidden/>
            <w:sz w:val="16"/>
            <w:szCs w:val="16"/>
          </w:rPr>
          <w:instrText xml:space="preserve"> PAGEREF _Toc232612617 \h </w:instrText>
        </w:r>
        <w:r w:rsidRPr="00825198">
          <w:rPr>
            <w:noProof/>
            <w:webHidden/>
            <w:sz w:val="16"/>
            <w:szCs w:val="16"/>
          </w:rPr>
        </w:r>
        <w:r w:rsidRPr="00825198">
          <w:rPr>
            <w:noProof/>
            <w:webHidden/>
            <w:sz w:val="16"/>
            <w:szCs w:val="16"/>
          </w:rPr>
          <w:fldChar w:fldCharType="separate"/>
        </w:r>
        <w:r w:rsidR="00B23DE1">
          <w:rPr>
            <w:noProof/>
            <w:webHidden/>
            <w:sz w:val="16"/>
            <w:szCs w:val="16"/>
          </w:rPr>
          <w:t>32</w:t>
        </w:r>
        <w:r w:rsidRPr="00825198">
          <w:rPr>
            <w:noProof/>
            <w:webHidden/>
            <w:sz w:val="16"/>
            <w:szCs w:val="16"/>
          </w:rPr>
          <w:fldChar w:fldCharType="end"/>
        </w:r>
      </w:hyperlink>
    </w:p>
    <w:p w14:paraId="1999803F" w14:textId="4FD30208" w:rsidR="00825198" w:rsidRPr="00825198" w:rsidRDefault="00825198">
      <w:pPr>
        <w:pStyle w:val="Obsah1"/>
        <w:tabs>
          <w:tab w:val="left" w:pos="540"/>
        </w:tabs>
        <w:rPr>
          <w:rFonts w:eastAsiaTheme="minorEastAsia" w:cstheme="minorBidi"/>
          <w:b w:val="0"/>
          <w:bCs w:val="0"/>
          <w:noProof/>
          <w:kern w:val="2"/>
          <w:sz w:val="16"/>
          <w:szCs w:val="16"/>
          <w14:ligatures w14:val="standardContextual"/>
        </w:rPr>
      </w:pPr>
      <w:hyperlink w:anchor="_Toc232612618" w:history="1">
        <w:r w:rsidRPr="00825198">
          <w:rPr>
            <w:rStyle w:val="Hypertextovodkaz"/>
            <w:noProof/>
            <w:sz w:val="16"/>
            <w:szCs w:val="16"/>
          </w:rPr>
          <w:t>VII</w:t>
        </w:r>
        <w:r w:rsidRPr="00825198">
          <w:rPr>
            <w:rFonts w:eastAsiaTheme="minorEastAsia" w:cstheme="minorBidi"/>
            <w:b w:val="0"/>
            <w:bCs w:val="0"/>
            <w:noProof/>
            <w:kern w:val="2"/>
            <w:sz w:val="16"/>
            <w:szCs w:val="16"/>
            <w14:ligatures w14:val="standardContextual"/>
          </w:rPr>
          <w:tab/>
        </w:r>
        <w:r w:rsidRPr="00825198">
          <w:rPr>
            <w:rStyle w:val="Hypertextovodkaz"/>
            <w:noProof/>
            <w:sz w:val="16"/>
            <w:szCs w:val="16"/>
          </w:rPr>
          <w:t>Sdělení, jak bylo zohledněno vyhodnocení vlivů na udržitelný rozvoj území</w:t>
        </w:r>
        <w:r w:rsidRPr="00825198">
          <w:rPr>
            <w:noProof/>
            <w:webHidden/>
            <w:sz w:val="16"/>
            <w:szCs w:val="16"/>
          </w:rPr>
          <w:tab/>
        </w:r>
        <w:r w:rsidRPr="00825198">
          <w:rPr>
            <w:noProof/>
            <w:webHidden/>
            <w:sz w:val="16"/>
            <w:szCs w:val="16"/>
          </w:rPr>
          <w:fldChar w:fldCharType="begin"/>
        </w:r>
        <w:r w:rsidRPr="00825198">
          <w:rPr>
            <w:noProof/>
            <w:webHidden/>
            <w:sz w:val="16"/>
            <w:szCs w:val="16"/>
          </w:rPr>
          <w:instrText xml:space="preserve"> PAGEREF _Toc232612618 \h </w:instrText>
        </w:r>
        <w:r w:rsidRPr="00825198">
          <w:rPr>
            <w:noProof/>
            <w:webHidden/>
            <w:sz w:val="16"/>
            <w:szCs w:val="16"/>
          </w:rPr>
        </w:r>
        <w:r w:rsidRPr="00825198">
          <w:rPr>
            <w:noProof/>
            <w:webHidden/>
            <w:sz w:val="16"/>
            <w:szCs w:val="16"/>
          </w:rPr>
          <w:fldChar w:fldCharType="separate"/>
        </w:r>
        <w:r w:rsidR="00B23DE1">
          <w:rPr>
            <w:noProof/>
            <w:webHidden/>
            <w:sz w:val="16"/>
            <w:szCs w:val="16"/>
          </w:rPr>
          <w:t>32</w:t>
        </w:r>
        <w:r w:rsidRPr="00825198">
          <w:rPr>
            <w:noProof/>
            <w:webHidden/>
            <w:sz w:val="16"/>
            <w:szCs w:val="16"/>
          </w:rPr>
          <w:fldChar w:fldCharType="end"/>
        </w:r>
      </w:hyperlink>
    </w:p>
    <w:p w14:paraId="30D9B021" w14:textId="76CB0F39" w:rsidR="00825198" w:rsidRPr="00825198" w:rsidRDefault="00825198">
      <w:pPr>
        <w:pStyle w:val="Obsah1"/>
        <w:tabs>
          <w:tab w:val="left" w:pos="720"/>
        </w:tabs>
        <w:rPr>
          <w:rFonts w:eastAsiaTheme="minorEastAsia" w:cstheme="minorBidi"/>
          <w:b w:val="0"/>
          <w:bCs w:val="0"/>
          <w:noProof/>
          <w:kern w:val="2"/>
          <w:sz w:val="16"/>
          <w:szCs w:val="16"/>
          <w14:ligatures w14:val="standardContextual"/>
        </w:rPr>
      </w:pPr>
      <w:hyperlink w:anchor="_Toc232612619" w:history="1">
        <w:r w:rsidRPr="00825198">
          <w:rPr>
            <w:rStyle w:val="Hypertextovodkaz"/>
            <w:noProof/>
            <w:sz w:val="16"/>
            <w:szCs w:val="16"/>
          </w:rPr>
          <w:t>VIII</w:t>
        </w:r>
        <w:r w:rsidRPr="00825198">
          <w:rPr>
            <w:rFonts w:eastAsiaTheme="minorEastAsia" w:cstheme="minorBidi"/>
            <w:b w:val="0"/>
            <w:bCs w:val="0"/>
            <w:noProof/>
            <w:kern w:val="2"/>
            <w:sz w:val="16"/>
            <w:szCs w:val="16"/>
            <w14:ligatures w14:val="standardContextual"/>
          </w:rPr>
          <w:tab/>
        </w:r>
        <w:r w:rsidRPr="00825198">
          <w:rPr>
            <w:rStyle w:val="Hypertextovodkaz"/>
            <w:noProof/>
            <w:sz w:val="16"/>
            <w:szCs w:val="16"/>
          </w:rPr>
          <w:t>Stanovisko příslušného orgánu k vyhodnocení vlivů na životní prostředí se sdělením, jak bylo zohledněno s uvedením závažných důvodů, pokud některé požadavky nebo podmínky zohledněny nebyly, a další části prohlášení podle § 10g odst. 5 zákona o posuzování vlivů na životní prostředí</w:t>
        </w:r>
        <w:r w:rsidRPr="00825198">
          <w:rPr>
            <w:noProof/>
            <w:webHidden/>
            <w:sz w:val="16"/>
            <w:szCs w:val="16"/>
          </w:rPr>
          <w:tab/>
        </w:r>
        <w:r w:rsidRPr="00825198">
          <w:rPr>
            <w:noProof/>
            <w:webHidden/>
            <w:sz w:val="16"/>
            <w:szCs w:val="16"/>
          </w:rPr>
          <w:fldChar w:fldCharType="begin"/>
        </w:r>
        <w:r w:rsidRPr="00825198">
          <w:rPr>
            <w:noProof/>
            <w:webHidden/>
            <w:sz w:val="16"/>
            <w:szCs w:val="16"/>
          </w:rPr>
          <w:instrText xml:space="preserve"> PAGEREF _Toc232612619 \h </w:instrText>
        </w:r>
        <w:r w:rsidRPr="00825198">
          <w:rPr>
            <w:noProof/>
            <w:webHidden/>
            <w:sz w:val="16"/>
            <w:szCs w:val="16"/>
          </w:rPr>
        </w:r>
        <w:r w:rsidRPr="00825198">
          <w:rPr>
            <w:noProof/>
            <w:webHidden/>
            <w:sz w:val="16"/>
            <w:szCs w:val="16"/>
          </w:rPr>
          <w:fldChar w:fldCharType="separate"/>
        </w:r>
        <w:r w:rsidR="00B23DE1">
          <w:rPr>
            <w:noProof/>
            <w:webHidden/>
            <w:sz w:val="16"/>
            <w:szCs w:val="16"/>
          </w:rPr>
          <w:t>32</w:t>
        </w:r>
        <w:r w:rsidRPr="00825198">
          <w:rPr>
            <w:noProof/>
            <w:webHidden/>
            <w:sz w:val="16"/>
            <w:szCs w:val="16"/>
          </w:rPr>
          <w:fldChar w:fldCharType="end"/>
        </w:r>
      </w:hyperlink>
    </w:p>
    <w:p w14:paraId="2A46A128" w14:textId="01A80BEF" w:rsidR="00825198" w:rsidRPr="00825198" w:rsidRDefault="00825198">
      <w:pPr>
        <w:pStyle w:val="Obsah1"/>
        <w:rPr>
          <w:rFonts w:eastAsiaTheme="minorEastAsia" w:cstheme="minorBidi"/>
          <w:b w:val="0"/>
          <w:bCs w:val="0"/>
          <w:noProof/>
          <w:kern w:val="2"/>
          <w:sz w:val="16"/>
          <w:szCs w:val="16"/>
          <w14:ligatures w14:val="standardContextual"/>
        </w:rPr>
      </w:pPr>
      <w:hyperlink w:anchor="_Toc232612620" w:history="1">
        <w:r w:rsidRPr="00825198">
          <w:rPr>
            <w:rStyle w:val="Hypertextovodkaz"/>
            <w:noProof/>
            <w:sz w:val="16"/>
            <w:szCs w:val="16"/>
          </w:rPr>
          <w:t>IX</w:t>
        </w:r>
        <w:r w:rsidRPr="00825198">
          <w:rPr>
            <w:rFonts w:eastAsiaTheme="minorEastAsia" w:cstheme="minorBidi"/>
            <w:b w:val="0"/>
            <w:bCs w:val="0"/>
            <w:noProof/>
            <w:kern w:val="2"/>
            <w:sz w:val="16"/>
            <w:szCs w:val="16"/>
            <w14:ligatures w14:val="standardContextual"/>
          </w:rPr>
          <w:tab/>
        </w:r>
        <w:r w:rsidRPr="00825198">
          <w:rPr>
            <w:rStyle w:val="Hypertextovodkaz"/>
            <w:noProof/>
            <w:sz w:val="16"/>
            <w:szCs w:val="16"/>
          </w:rPr>
          <w:t>Komplexní zdůvodnění přijatého řešení</w:t>
        </w:r>
        <w:r w:rsidRPr="00825198">
          <w:rPr>
            <w:noProof/>
            <w:webHidden/>
            <w:sz w:val="16"/>
            <w:szCs w:val="16"/>
          </w:rPr>
          <w:tab/>
        </w:r>
        <w:r w:rsidRPr="00825198">
          <w:rPr>
            <w:noProof/>
            <w:webHidden/>
            <w:sz w:val="16"/>
            <w:szCs w:val="16"/>
          </w:rPr>
          <w:fldChar w:fldCharType="begin"/>
        </w:r>
        <w:r w:rsidRPr="00825198">
          <w:rPr>
            <w:noProof/>
            <w:webHidden/>
            <w:sz w:val="16"/>
            <w:szCs w:val="16"/>
          </w:rPr>
          <w:instrText xml:space="preserve"> PAGEREF _Toc232612620 \h </w:instrText>
        </w:r>
        <w:r w:rsidRPr="00825198">
          <w:rPr>
            <w:noProof/>
            <w:webHidden/>
            <w:sz w:val="16"/>
            <w:szCs w:val="16"/>
          </w:rPr>
        </w:r>
        <w:r w:rsidRPr="00825198">
          <w:rPr>
            <w:noProof/>
            <w:webHidden/>
            <w:sz w:val="16"/>
            <w:szCs w:val="16"/>
          </w:rPr>
          <w:fldChar w:fldCharType="separate"/>
        </w:r>
        <w:r w:rsidR="00B23DE1">
          <w:rPr>
            <w:noProof/>
            <w:webHidden/>
            <w:sz w:val="16"/>
            <w:szCs w:val="16"/>
          </w:rPr>
          <w:t>33</w:t>
        </w:r>
        <w:r w:rsidRPr="00825198">
          <w:rPr>
            <w:noProof/>
            <w:webHidden/>
            <w:sz w:val="16"/>
            <w:szCs w:val="16"/>
          </w:rPr>
          <w:fldChar w:fldCharType="end"/>
        </w:r>
      </w:hyperlink>
    </w:p>
    <w:p w14:paraId="72A133BA" w14:textId="426B469E" w:rsidR="00825198" w:rsidRPr="00825198" w:rsidRDefault="00825198">
      <w:pPr>
        <w:pStyle w:val="Obsah2"/>
        <w:rPr>
          <w:rFonts w:eastAsiaTheme="minorEastAsia" w:cstheme="minorBidi"/>
          <w:i w:val="0"/>
          <w:iCs w:val="0"/>
          <w:noProof/>
          <w:kern w:val="2"/>
          <w:sz w:val="16"/>
          <w:szCs w:val="16"/>
          <w14:ligatures w14:val="standardContextual"/>
        </w:rPr>
      </w:pPr>
      <w:hyperlink w:anchor="_Toc232612621" w:history="1">
        <w:r w:rsidRPr="00825198">
          <w:rPr>
            <w:rStyle w:val="Hypertextovodkaz"/>
            <w:noProof/>
            <w:sz w:val="16"/>
            <w:szCs w:val="16"/>
          </w:rPr>
          <w:t>IX.a</w:t>
        </w:r>
        <w:r w:rsidRPr="00825198">
          <w:rPr>
            <w:rFonts w:eastAsiaTheme="minorEastAsia" w:cstheme="minorBidi"/>
            <w:i w:val="0"/>
            <w:iCs w:val="0"/>
            <w:noProof/>
            <w:kern w:val="2"/>
            <w:sz w:val="16"/>
            <w:szCs w:val="16"/>
            <w14:ligatures w14:val="standardContextual"/>
          </w:rPr>
          <w:tab/>
        </w:r>
        <w:r w:rsidRPr="00825198">
          <w:rPr>
            <w:rStyle w:val="Hypertextovodkaz"/>
            <w:noProof/>
            <w:sz w:val="16"/>
            <w:szCs w:val="16"/>
          </w:rPr>
          <w:t>Zdůvodnění vymezení zastavěného území</w:t>
        </w:r>
        <w:r w:rsidRPr="00825198">
          <w:rPr>
            <w:noProof/>
            <w:webHidden/>
            <w:sz w:val="16"/>
            <w:szCs w:val="16"/>
          </w:rPr>
          <w:tab/>
        </w:r>
        <w:r w:rsidRPr="00825198">
          <w:rPr>
            <w:noProof/>
            <w:webHidden/>
            <w:sz w:val="16"/>
            <w:szCs w:val="16"/>
          </w:rPr>
          <w:fldChar w:fldCharType="begin"/>
        </w:r>
        <w:r w:rsidRPr="00825198">
          <w:rPr>
            <w:noProof/>
            <w:webHidden/>
            <w:sz w:val="16"/>
            <w:szCs w:val="16"/>
          </w:rPr>
          <w:instrText xml:space="preserve"> PAGEREF _Toc232612621 \h </w:instrText>
        </w:r>
        <w:r w:rsidRPr="00825198">
          <w:rPr>
            <w:noProof/>
            <w:webHidden/>
            <w:sz w:val="16"/>
            <w:szCs w:val="16"/>
          </w:rPr>
        </w:r>
        <w:r w:rsidRPr="00825198">
          <w:rPr>
            <w:noProof/>
            <w:webHidden/>
            <w:sz w:val="16"/>
            <w:szCs w:val="16"/>
          </w:rPr>
          <w:fldChar w:fldCharType="separate"/>
        </w:r>
        <w:r w:rsidR="00B23DE1">
          <w:rPr>
            <w:noProof/>
            <w:webHidden/>
            <w:sz w:val="16"/>
            <w:szCs w:val="16"/>
          </w:rPr>
          <w:t>33</w:t>
        </w:r>
        <w:r w:rsidRPr="00825198">
          <w:rPr>
            <w:noProof/>
            <w:webHidden/>
            <w:sz w:val="16"/>
            <w:szCs w:val="16"/>
          </w:rPr>
          <w:fldChar w:fldCharType="end"/>
        </w:r>
      </w:hyperlink>
    </w:p>
    <w:p w14:paraId="2D4A4941" w14:textId="78035312" w:rsidR="00825198" w:rsidRPr="00825198" w:rsidRDefault="00825198">
      <w:pPr>
        <w:pStyle w:val="Obsah2"/>
        <w:rPr>
          <w:rFonts w:eastAsiaTheme="minorEastAsia" w:cstheme="minorBidi"/>
          <w:i w:val="0"/>
          <w:iCs w:val="0"/>
          <w:noProof/>
          <w:kern w:val="2"/>
          <w:sz w:val="16"/>
          <w:szCs w:val="16"/>
          <w14:ligatures w14:val="standardContextual"/>
        </w:rPr>
      </w:pPr>
      <w:hyperlink w:anchor="_Toc232612622" w:history="1">
        <w:r w:rsidRPr="00825198">
          <w:rPr>
            <w:rStyle w:val="Hypertextovodkaz"/>
            <w:noProof/>
            <w:sz w:val="16"/>
            <w:szCs w:val="16"/>
          </w:rPr>
          <w:t>IX.b</w:t>
        </w:r>
        <w:r w:rsidRPr="00825198">
          <w:rPr>
            <w:rFonts w:eastAsiaTheme="minorEastAsia" w:cstheme="minorBidi"/>
            <w:i w:val="0"/>
            <w:iCs w:val="0"/>
            <w:noProof/>
            <w:kern w:val="2"/>
            <w:sz w:val="16"/>
            <w:szCs w:val="16"/>
            <w14:ligatures w14:val="standardContextual"/>
          </w:rPr>
          <w:tab/>
        </w:r>
        <w:r w:rsidRPr="00825198">
          <w:rPr>
            <w:rStyle w:val="Hypertextovodkaz"/>
            <w:noProof/>
            <w:sz w:val="16"/>
            <w:szCs w:val="16"/>
          </w:rPr>
          <w:t>Zdůvodnění základní koncepce rozvoje území obce</w:t>
        </w:r>
        <w:r w:rsidRPr="00825198">
          <w:rPr>
            <w:noProof/>
            <w:webHidden/>
            <w:sz w:val="16"/>
            <w:szCs w:val="16"/>
          </w:rPr>
          <w:tab/>
        </w:r>
        <w:r w:rsidRPr="00825198">
          <w:rPr>
            <w:noProof/>
            <w:webHidden/>
            <w:sz w:val="16"/>
            <w:szCs w:val="16"/>
          </w:rPr>
          <w:fldChar w:fldCharType="begin"/>
        </w:r>
        <w:r w:rsidRPr="00825198">
          <w:rPr>
            <w:noProof/>
            <w:webHidden/>
            <w:sz w:val="16"/>
            <w:szCs w:val="16"/>
          </w:rPr>
          <w:instrText xml:space="preserve"> PAGEREF _Toc232612622 \h </w:instrText>
        </w:r>
        <w:r w:rsidRPr="00825198">
          <w:rPr>
            <w:noProof/>
            <w:webHidden/>
            <w:sz w:val="16"/>
            <w:szCs w:val="16"/>
          </w:rPr>
        </w:r>
        <w:r w:rsidRPr="00825198">
          <w:rPr>
            <w:noProof/>
            <w:webHidden/>
            <w:sz w:val="16"/>
            <w:szCs w:val="16"/>
          </w:rPr>
          <w:fldChar w:fldCharType="separate"/>
        </w:r>
        <w:r w:rsidR="00B23DE1">
          <w:rPr>
            <w:noProof/>
            <w:webHidden/>
            <w:sz w:val="16"/>
            <w:szCs w:val="16"/>
          </w:rPr>
          <w:t>34</w:t>
        </w:r>
        <w:r w:rsidRPr="00825198">
          <w:rPr>
            <w:noProof/>
            <w:webHidden/>
            <w:sz w:val="16"/>
            <w:szCs w:val="16"/>
          </w:rPr>
          <w:fldChar w:fldCharType="end"/>
        </w:r>
      </w:hyperlink>
    </w:p>
    <w:p w14:paraId="15E8FEA2" w14:textId="5D633FD7" w:rsidR="00825198" w:rsidRPr="00825198" w:rsidRDefault="00825198">
      <w:pPr>
        <w:pStyle w:val="Obsah3"/>
        <w:rPr>
          <w:rFonts w:eastAsiaTheme="minorEastAsia" w:cstheme="minorBidi"/>
          <w:noProof/>
          <w:kern w:val="2"/>
          <w:sz w:val="16"/>
          <w:szCs w:val="16"/>
          <w14:ligatures w14:val="standardContextual"/>
        </w:rPr>
      </w:pPr>
      <w:hyperlink w:anchor="_Toc232612623" w:history="1">
        <w:r w:rsidRPr="00825198">
          <w:rPr>
            <w:rStyle w:val="Hypertextovodkaz"/>
            <w:noProof/>
            <w:sz w:val="16"/>
            <w:szCs w:val="16"/>
          </w:rPr>
          <w:t>IX.b/1</w:t>
        </w:r>
        <w:r w:rsidRPr="00825198">
          <w:rPr>
            <w:rFonts w:eastAsiaTheme="minorEastAsia" w:cstheme="minorBidi"/>
            <w:noProof/>
            <w:kern w:val="2"/>
            <w:sz w:val="16"/>
            <w:szCs w:val="16"/>
            <w14:ligatures w14:val="standardContextual"/>
          </w:rPr>
          <w:tab/>
        </w:r>
        <w:r w:rsidRPr="00825198">
          <w:rPr>
            <w:rStyle w:val="Hypertextovodkaz"/>
            <w:noProof/>
            <w:sz w:val="16"/>
            <w:szCs w:val="16"/>
          </w:rPr>
          <w:t>Principy koncepce rozvoje území obce</w:t>
        </w:r>
        <w:r w:rsidRPr="00825198">
          <w:rPr>
            <w:noProof/>
            <w:webHidden/>
            <w:sz w:val="16"/>
            <w:szCs w:val="16"/>
          </w:rPr>
          <w:tab/>
        </w:r>
        <w:r w:rsidRPr="00825198">
          <w:rPr>
            <w:noProof/>
            <w:webHidden/>
            <w:sz w:val="16"/>
            <w:szCs w:val="16"/>
          </w:rPr>
          <w:fldChar w:fldCharType="begin"/>
        </w:r>
        <w:r w:rsidRPr="00825198">
          <w:rPr>
            <w:noProof/>
            <w:webHidden/>
            <w:sz w:val="16"/>
            <w:szCs w:val="16"/>
          </w:rPr>
          <w:instrText xml:space="preserve"> PAGEREF _Toc232612623 \h </w:instrText>
        </w:r>
        <w:r w:rsidRPr="00825198">
          <w:rPr>
            <w:noProof/>
            <w:webHidden/>
            <w:sz w:val="16"/>
            <w:szCs w:val="16"/>
          </w:rPr>
        </w:r>
        <w:r w:rsidRPr="00825198">
          <w:rPr>
            <w:noProof/>
            <w:webHidden/>
            <w:sz w:val="16"/>
            <w:szCs w:val="16"/>
          </w:rPr>
          <w:fldChar w:fldCharType="separate"/>
        </w:r>
        <w:r w:rsidR="00B23DE1">
          <w:rPr>
            <w:noProof/>
            <w:webHidden/>
            <w:sz w:val="16"/>
            <w:szCs w:val="16"/>
          </w:rPr>
          <w:t>34</w:t>
        </w:r>
        <w:r w:rsidRPr="00825198">
          <w:rPr>
            <w:noProof/>
            <w:webHidden/>
            <w:sz w:val="16"/>
            <w:szCs w:val="16"/>
          </w:rPr>
          <w:fldChar w:fldCharType="end"/>
        </w:r>
      </w:hyperlink>
    </w:p>
    <w:p w14:paraId="267D5349" w14:textId="492EA3EA" w:rsidR="00825198" w:rsidRPr="00825198" w:rsidRDefault="00825198">
      <w:pPr>
        <w:pStyle w:val="Obsah2"/>
        <w:rPr>
          <w:rFonts w:eastAsiaTheme="minorEastAsia" w:cstheme="minorBidi"/>
          <w:i w:val="0"/>
          <w:iCs w:val="0"/>
          <w:noProof/>
          <w:kern w:val="2"/>
          <w:sz w:val="16"/>
          <w:szCs w:val="16"/>
          <w14:ligatures w14:val="standardContextual"/>
        </w:rPr>
      </w:pPr>
      <w:hyperlink w:anchor="_Toc232612624" w:history="1">
        <w:r w:rsidRPr="00825198">
          <w:rPr>
            <w:rStyle w:val="Hypertextovodkaz"/>
            <w:noProof/>
            <w:sz w:val="16"/>
            <w:szCs w:val="16"/>
          </w:rPr>
          <w:t>IX.c</w:t>
        </w:r>
        <w:r w:rsidRPr="00825198">
          <w:rPr>
            <w:rFonts w:eastAsiaTheme="minorEastAsia" w:cstheme="minorBidi"/>
            <w:i w:val="0"/>
            <w:iCs w:val="0"/>
            <w:noProof/>
            <w:kern w:val="2"/>
            <w:sz w:val="16"/>
            <w:szCs w:val="16"/>
            <w14:ligatures w14:val="standardContextual"/>
          </w:rPr>
          <w:tab/>
        </w:r>
        <w:r w:rsidRPr="00825198">
          <w:rPr>
            <w:rStyle w:val="Hypertextovodkaz"/>
            <w:noProof/>
            <w:sz w:val="16"/>
            <w:szCs w:val="16"/>
          </w:rPr>
          <w:t>Zdůvodnění urbanistické koncepce, včetně urbanistické kompozice, vymezení ploch s rozdílným způsobem využití, zastavitelných ploch, ploch přestavby a systému sídelní zeleně</w:t>
        </w:r>
        <w:r w:rsidRPr="00825198">
          <w:rPr>
            <w:noProof/>
            <w:webHidden/>
            <w:sz w:val="16"/>
            <w:szCs w:val="16"/>
          </w:rPr>
          <w:tab/>
        </w:r>
        <w:r w:rsidRPr="00825198">
          <w:rPr>
            <w:noProof/>
            <w:webHidden/>
            <w:sz w:val="16"/>
            <w:szCs w:val="16"/>
          </w:rPr>
          <w:fldChar w:fldCharType="begin"/>
        </w:r>
        <w:r w:rsidRPr="00825198">
          <w:rPr>
            <w:noProof/>
            <w:webHidden/>
            <w:sz w:val="16"/>
            <w:szCs w:val="16"/>
          </w:rPr>
          <w:instrText xml:space="preserve"> PAGEREF _Toc232612624 \h </w:instrText>
        </w:r>
        <w:r w:rsidRPr="00825198">
          <w:rPr>
            <w:noProof/>
            <w:webHidden/>
            <w:sz w:val="16"/>
            <w:szCs w:val="16"/>
          </w:rPr>
        </w:r>
        <w:r w:rsidRPr="00825198">
          <w:rPr>
            <w:noProof/>
            <w:webHidden/>
            <w:sz w:val="16"/>
            <w:szCs w:val="16"/>
          </w:rPr>
          <w:fldChar w:fldCharType="separate"/>
        </w:r>
        <w:r w:rsidR="00B23DE1">
          <w:rPr>
            <w:noProof/>
            <w:webHidden/>
            <w:sz w:val="16"/>
            <w:szCs w:val="16"/>
          </w:rPr>
          <w:t>36</w:t>
        </w:r>
        <w:r w:rsidRPr="00825198">
          <w:rPr>
            <w:noProof/>
            <w:webHidden/>
            <w:sz w:val="16"/>
            <w:szCs w:val="16"/>
          </w:rPr>
          <w:fldChar w:fldCharType="end"/>
        </w:r>
      </w:hyperlink>
    </w:p>
    <w:p w14:paraId="30F0E778" w14:textId="1B9F187A" w:rsidR="00825198" w:rsidRPr="00825198" w:rsidRDefault="00825198">
      <w:pPr>
        <w:pStyle w:val="Obsah3"/>
        <w:rPr>
          <w:rFonts w:eastAsiaTheme="minorEastAsia" w:cstheme="minorBidi"/>
          <w:noProof/>
          <w:kern w:val="2"/>
          <w:sz w:val="16"/>
          <w:szCs w:val="16"/>
          <w14:ligatures w14:val="standardContextual"/>
        </w:rPr>
      </w:pPr>
      <w:hyperlink w:anchor="_Toc232612625" w:history="1">
        <w:r w:rsidRPr="00825198">
          <w:rPr>
            <w:rStyle w:val="Hypertextovodkaz"/>
            <w:noProof/>
            <w:sz w:val="16"/>
            <w:szCs w:val="16"/>
          </w:rPr>
          <w:t>IX.c/1</w:t>
        </w:r>
        <w:r w:rsidRPr="00825198">
          <w:rPr>
            <w:rFonts w:eastAsiaTheme="minorEastAsia" w:cstheme="minorBidi"/>
            <w:noProof/>
            <w:kern w:val="2"/>
            <w:sz w:val="16"/>
            <w:szCs w:val="16"/>
            <w14:ligatures w14:val="standardContextual"/>
          </w:rPr>
          <w:tab/>
        </w:r>
        <w:r w:rsidRPr="00825198">
          <w:rPr>
            <w:rStyle w:val="Hypertextovodkaz"/>
            <w:noProof/>
            <w:sz w:val="16"/>
            <w:szCs w:val="16"/>
          </w:rPr>
          <w:t>Hlubočky v kontextu prostoru Olomouce</w:t>
        </w:r>
        <w:r w:rsidRPr="00825198">
          <w:rPr>
            <w:noProof/>
            <w:webHidden/>
            <w:sz w:val="16"/>
            <w:szCs w:val="16"/>
          </w:rPr>
          <w:tab/>
        </w:r>
        <w:r w:rsidRPr="00825198">
          <w:rPr>
            <w:noProof/>
            <w:webHidden/>
            <w:sz w:val="16"/>
            <w:szCs w:val="16"/>
          </w:rPr>
          <w:fldChar w:fldCharType="begin"/>
        </w:r>
        <w:r w:rsidRPr="00825198">
          <w:rPr>
            <w:noProof/>
            <w:webHidden/>
            <w:sz w:val="16"/>
            <w:szCs w:val="16"/>
          </w:rPr>
          <w:instrText xml:space="preserve"> PAGEREF _Toc232612625 \h </w:instrText>
        </w:r>
        <w:r w:rsidRPr="00825198">
          <w:rPr>
            <w:noProof/>
            <w:webHidden/>
            <w:sz w:val="16"/>
            <w:szCs w:val="16"/>
          </w:rPr>
        </w:r>
        <w:r w:rsidRPr="00825198">
          <w:rPr>
            <w:noProof/>
            <w:webHidden/>
            <w:sz w:val="16"/>
            <w:szCs w:val="16"/>
          </w:rPr>
          <w:fldChar w:fldCharType="separate"/>
        </w:r>
        <w:r w:rsidR="00B23DE1">
          <w:rPr>
            <w:noProof/>
            <w:webHidden/>
            <w:sz w:val="16"/>
            <w:szCs w:val="16"/>
          </w:rPr>
          <w:t>36</w:t>
        </w:r>
        <w:r w:rsidRPr="00825198">
          <w:rPr>
            <w:noProof/>
            <w:webHidden/>
            <w:sz w:val="16"/>
            <w:szCs w:val="16"/>
          </w:rPr>
          <w:fldChar w:fldCharType="end"/>
        </w:r>
      </w:hyperlink>
    </w:p>
    <w:p w14:paraId="24ECB92B" w14:textId="1E66E738" w:rsidR="00825198" w:rsidRPr="00825198" w:rsidRDefault="00825198">
      <w:pPr>
        <w:pStyle w:val="Obsah3"/>
        <w:rPr>
          <w:rFonts w:eastAsiaTheme="minorEastAsia" w:cstheme="minorBidi"/>
          <w:noProof/>
          <w:kern w:val="2"/>
          <w:sz w:val="16"/>
          <w:szCs w:val="16"/>
          <w14:ligatures w14:val="standardContextual"/>
        </w:rPr>
      </w:pPr>
      <w:hyperlink w:anchor="_Toc232612626" w:history="1">
        <w:r w:rsidRPr="00825198">
          <w:rPr>
            <w:rStyle w:val="Hypertextovodkaz"/>
            <w:noProof/>
            <w:sz w:val="16"/>
            <w:szCs w:val="16"/>
          </w:rPr>
          <w:t>IX.c/2</w:t>
        </w:r>
        <w:r w:rsidRPr="00825198">
          <w:rPr>
            <w:rFonts w:eastAsiaTheme="minorEastAsia" w:cstheme="minorBidi"/>
            <w:noProof/>
            <w:kern w:val="2"/>
            <w:sz w:val="16"/>
            <w:szCs w:val="16"/>
            <w14:ligatures w14:val="standardContextual"/>
          </w:rPr>
          <w:tab/>
        </w:r>
        <w:r w:rsidRPr="00825198">
          <w:rPr>
            <w:rStyle w:val="Hypertextovodkaz"/>
            <w:noProof/>
            <w:sz w:val="16"/>
            <w:szCs w:val="16"/>
          </w:rPr>
          <w:t>Krajina</w:t>
        </w:r>
        <w:r w:rsidRPr="00825198">
          <w:rPr>
            <w:noProof/>
            <w:webHidden/>
            <w:sz w:val="16"/>
            <w:szCs w:val="16"/>
          </w:rPr>
          <w:tab/>
        </w:r>
        <w:r w:rsidRPr="00825198">
          <w:rPr>
            <w:noProof/>
            <w:webHidden/>
            <w:sz w:val="16"/>
            <w:szCs w:val="16"/>
          </w:rPr>
          <w:fldChar w:fldCharType="begin"/>
        </w:r>
        <w:r w:rsidRPr="00825198">
          <w:rPr>
            <w:noProof/>
            <w:webHidden/>
            <w:sz w:val="16"/>
            <w:szCs w:val="16"/>
          </w:rPr>
          <w:instrText xml:space="preserve"> PAGEREF _Toc232612626 \h </w:instrText>
        </w:r>
        <w:r w:rsidRPr="00825198">
          <w:rPr>
            <w:noProof/>
            <w:webHidden/>
            <w:sz w:val="16"/>
            <w:szCs w:val="16"/>
          </w:rPr>
        </w:r>
        <w:r w:rsidRPr="00825198">
          <w:rPr>
            <w:noProof/>
            <w:webHidden/>
            <w:sz w:val="16"/>
            <w:szCs w:val="16"/>
          </w:rPr>
          <w:fldChar w:fldCharType="separate"/>
        </w:r>
        <w:r w:rsidR="00B23DE1">
          <w:rPr>
            <w:noProof/>
            <w:webHidden/>
            <w:sz w:val="16"/>
            <w:szCs w:val="16"/>
          </w:rPr>
          <w:t>36</w:t>
        </w:r>
        <w:r w:rsidRPr="00825198">
          <w:rPr>
            <w:noProof/>
            <w:webHidden/>
            <w:sz w:val="16"/>
            <w:szCs w:val="16"/>
          </w:rPr>
          <w:fldChar w:fldCharType="end"/>
        </w:r>
      </w:hyperlink>
    </w:p>
    <w:p w14:paraId="2888608B" w14:textId="46284658" w:rsidR="00825198" w:rsidRPr="00825198" w:rsidRDefault="00825198">
      <w:pPr>
        <w:pStyle w:val="Obsah3"/>
        <w:rPr>
          <w:rFonts w:eastAsiaTheme="minorEastAsia" w:cstheme="minorBidi"/>
          <w:noProof/>
          <w:kern w:val="2"/>
          <w:sz w:val="16"/>
          <w:szCs w:val="16"/>
          <w14:ligatures w14:val="standardContextual"/>
        </w:rPr>
      </w:pPr>
      <w:hyperlink w:anchor="_Toc232612627" w:history="1">
        <w:r w:rsidRPr="00825198">
          <w:rPr>
            <w:rStyle w:val="Hypertextovodkaz"/>
            <w:noProof/>
            <w:sz w:val="16"/>
            <w:szCs w:val="16"/>
          </w:rPr>
          <w:t>IX.c/3</w:t>
        </w:r>
        <w:r w:rsidRPr="00825198">
          <w:rPr>
            <w:rFonts w:eastAsiaTheme="minorEastAsia" w:cstheme="minorBidi"/>
            <w:noProof/>
            <w:kern w:val="2"/>
            <w:sz w:val="16"/>
            <w:szCs w:val="16"/>
            <w14:ligatures w14:val="standardContextual"/>
          </w:rPr>
          <w:tab/>
        </w:r>
        <w:r w:rsidRPr="00825198">
          <w:rPr>
            <w:rStyle w:val="Hypertextovodkaz"/>
            <w:noProof/>
            <w:sz w:val="16"/>
            <w:szCs w:val="16"/>
          </w:rPr>
          <w:t>Sídlo</w:t>
        </w:r>
        <w:r w:rsidRPr="00825198">
          <w:rPr>
            <w:noProof/>
            <w:webHidden/>
            <w:sz w:val="16"/>
            <w:szCs w:val="16"/>
          </w:rPr>
          <w:tab/>
        </w:r>
        <w:r w:rsidRPr="00825198">
          <w:rPr>
            <w:noProof/>
            <w:webHidden/>
            <w:sz w:val="16"/>
            <w:szCs w:val="16"/>
          </w:rPr>
          <w:fldChar w:fldCharType="begin"/>
        </w:r>
        <w:r w:rsidRPr="00825198">
          <w:rPr>
            <w:noProof/>
            <w:webHidden/>
            <w:sz w:val="16"/>
            <w:szCs w:val="16"/>
          </w:rPr>
          <w:instrText xml:space="preserve"> PAGEREF _Toc232612627 \h </w:instrText>
        </w:r>
        <w:r w:rsidRPr="00825198">
          <w:rPr>
            <w:noProof/>
            <w:webHidden/>
            <w:sz w:val="16"/>
            <w:szCs w:val="16"/>
          </w:rPr>
        </w:r>
        <w:r w:rsidRPr="00825198">
          <w:rPr>
            <w:noProof/>
            <w:webHidden/>
            <w:sz w:val="16"/>
            <w:szCs w:val="16"/>
          </w:rPr>
          <w:fldChar w:fldCharType="separate"/>
        </w:r>
        <w:r w:rsidR="00B23DE1">
          <w:rPr>
            <w:noProof/>
            <w:webHidden/>
            <w:sz w:val="16"/>
            <w:szCs w:val="16"/>
          </w:rPr>
          <w:t>37</w:t>
        </w:r>
        <w:r w:rsidRPr="00825198">
          <w:rPr>
            <w:noProof/>
            <w:webHidden/>
            <w:sz w:val="16"/>
            <w:szCs w:val="16"/>
          </w:rPr>
          <w:fldChar w:fldCharType="end"/>
        </w:r>
      </w:hyperlink>
    </w:p>
    <w:p w14:paraId="12EC77A3" w14:textId="5E82F801" w:rsidR="00825198" w:rsidRPr="00825198" w:rsidRDefault="00825198">
      <w:pPr>
        <w:pStyle w:val="Obsah3"/>
        <w:rPr>
          <w:rFonts w:eastAsiaTheme="minorEastAsia" w:cstheme="minorBidi"/>
          <w:noProof/>
          <w:kern w:val="2"/>
          <w:sz w:val="16"/>
          <w:szCs w:val="16"/>
          <w14:ligatures w14:val="standardContextual"/>
        </w:rPr>
      </w:pPr>
      <w:hyperlink w:anchor="_Toc232612628" w:history="1">
        <w:r w:rsidRPr="00825198">
          <w:rPr>
            <w:rStyle w:val="Hypertextovodkaz"/>
            <w:noProof/>
            <w:sz w:val="16"/>
            <w:szCs w:val="16"/>
          </w:rPr>
          <w:t>IX.c/4</w:t>
        </w:r>
        <w:r w:rsidRPr="00825198">
          <w:rPr>
            <w:rFonts w:eastAsiaTheme="minorEastAsia" w:cstheme="minorBidi"/>
            <w:noProof/>
            <w:kern w:val="2"/>
            <w:sz w:val="16"/>
            <w:szCs w:val="16"/>
            <w14:ligatures w14:val="standardContextual"/>
          </w:rPr>
          <w:tab/>
        </w:r>
        <w:r w:rsidRPr="00825198">
          <w:rPr>
            <w:rStyle w:val="Hypertextovodkaz"/>
            <w:noProof/>
            <w:sz w:val="16"/>
            <w:szCs w:val="16"/>
          </w:rPr>
          <w:t>Míra a charakter rozvoje</w:t>
        </w:r>
        <w:r w:rsidRPr="00825198">
          <w:rPr>
            <w:noProof/>
            <w:webHidden/>
            <w:sz w:val="16"/>
            <w:szCs w:val="16"/>
          </w:rPr>
          <w:tab/>
        </w:r>
        <w:r w:rsidRPr="00825198">
          <w:rPr>
            <w:noProof/>
            <w:webHidden/>
            <w:sz w:val="16"/>
            <w:szCs w:val="16"/>
          </w:rPr>
          <w:fldChar w:fldCharType="begin"/>
        </w:r>
        <w:r w:rsidRPr="00825198">
          <w:rPr>
            <w:noProof/>
            <w:webHidden/>
            <w:sz w:val="16"/>
            <w:szCs w:val="16"/>
          </w:rPr>
          <w:instrText xml:space="preserve"> PAGEREF _Toc232612628 \h </w:instrText>
        </w:r>
        <w:r w:rsidRPr="00825198">
          <w:rPr>
            <w:noProof/>
            <w:webHidden/>
            <w:sz w:val="16"/>
            <w:szCs w:val="16"/>
          </w:rPr>
        </w:r>
        <w:r w:rsidRPr="00825198">
          <w:rPr>
            <w:noProof/>
            <w:webHidden/>
            <w:sz w:val="16"/>
            <w:szCs w:val="16"/>
          </w:rPr>
          <w:fldChar w:fldCharType="separate"/>
        </w:r>
        <w:r w:rsidR="00B23DE1">
          <w:rPr>
            <w:noProof/>
            <w:webHidden/>
            <w:sz w:val="16"/>
            <w:szCs w:val="16"/>
          </w:rPr>
          <w:t>40</w:t>
        </w:r>
        <w:r w:rsidRPr="00825198">
          <w:rPr>
            <w:noProof/>
            <w:webHidden/>
            <w:sz w:val="16"/>
            <w:szCs w:val="16"/>
          </w:rPr>
          <w:fldChar w:fldCharType="end"/>
        </w:r>
      </w:hyperlink>
    </w:p>
    <w:p w14:paraId="14B6521A" w14:textId="4D9FF332" w:rsidR="00825198" w:rsidRPr="00825198" w:rsidRDefault="00825198">
      <w:pPr>
        <w:pStyle w:val="Obsah2"/>
        <w:rPr>
          <w:rFonts w:eastAsiaTheme="minorEastAsia" w:cstheme="minorBidi"/>
          <w:i w:val="0"/>
          <w:iCs w:val="0"/>
          <w:noProof/>
          <w:kern w:val="2"/>
          <w:sz w:val="16"/>
          <w:szCs w:val="16"/>
          <w14:ligatures w14:val="standardContextual"/>
        </w:rPr>
      </w:pPr>
      <w:hyperlink w:anchor="_Toc232612629" w:history="1">
        <w:r w:rsidRPr="00825198">
          <w:rPr>
            <w:rStyle w:val="Hypertextovodkaz"/>
            <w:noProof/>
            <w:sz w:val="16"/>
            <w:szCs w:val="16"/>
          </w:rPr>
          <w:t>IX.d</w:t>
        </w:r>
        <w:r w:rsidRPr="00825198">
          <w:rPr>
            <w:rFonts w:eastAsiaTheme="minorEastAsia" w:cstheme="minorBidi"/>
            <w:i w:val="0"/>
            <w:iCs w:val="0"/>
            <w:noProof/>
            <w:kern w:val="2"/>
            <w:sz w:val="16"/>
            <w:szCs w:val="16"/>
            <w14:ligatures w14:val="standardContextual"/>
          </w:rPr>
          <w:tab/>
        </w:r>
        <w:r w:rsidRPr="00825198">
          <w:rPr>
            <w:rStyle w:val="Hypertextovodkaz"/>
            <w:noProof/>
            <w:sz w:val="16"/>
            <w:szCs w:val="16"/>
          </w:rPr>
          <w:t>Zdůvodnění koncepce veřejné infrastruktury</w:t>
        </w:r>
        <w:r w:rsidRPr="00825198">
          <w:rPr>
            <w:noProof/>
            <w:webHidden/>
            <w:sz w:val="16"/>
            <w:szCs w:val="16"/>
          </w:rPr>
          <w:tab/>
        </w:r>
        <w:r w:rsidRPr="00825198">
          <w:rPr>
            <w:noProof/>
            <w:webHidden/>
            <w:sz w:val="16"/>
            <w:szCs w:val="16"/>
          </w:rPr>
          <w:fldChar w:fldCharType="begin"/>
        </w:r>
        <w:r w:rsidRPr="00825198">
          <w:rPr>
            <w:noProof/>
            <w:webHidden/>
            <w:sz w:val="16"/>
            <w:szCs w:val="16"/>
          </w:rPr>
          <w:instrText xml:space="preserve"> PAGEREF _Toc232612629 \h </w:instrText>
        </w:r>
        <w:r w:rsidRPr="00825198">
          <w:rPr>
            <w:noProof/>
            <w:webHidden/>
            <w:sz w:val="16"/>
            <w:szCs w:val="16"/>
          </w:rPr>
        </w:r>
        <w:r w:rsidRPr="00825198">
          <w:rPr>
            <w:noProof/>
            <w:webHidden/>
            <w:sz w:val="16"/>
            <w:szCs w:val="16"/>
          </w:rPr>
          <w:fldChar w:fldCharType="separate"/>
        </w:r>
        <w:r w:rsidR="00B23DE1">
          <w:rPr>
            <w:noProof/>
            <w:webHidden/>
            <w:sz w:val="16"/>
            <w:szCs w:val="16"/>
          </w:rPr>
          <w:t>43</w:t>
        </w:r>
        <w:r w:rsidRPr="00825198">
          <w:rPr>
            <w:noProof/>
            <w:webHidden/>
            <w:sz w:val="16"/>
            <w:szCs w:val="16"/>
          </w:rPr>
          <w:fldChar w:fldCharType="end"/>
        </w:r>
      </w:hyperlink>
    </w:p>
    <w:p w14:paraId="31787787" w14:textId="4E1028EE" w:rsidR="00825198" w:rsidRPr="00825198" w:rsidRDefault="00825198">
      <w:pPr>
        <w:pStyle w:val="Obsah2"/>
        <w:rPr>
          <w:rFonts w:eastAsiaTheme="minorEastAsia" w:cstheme="minorBidi"/>
          <w:i w:val="0"/>
          <w:iCs w:val="0"/>
          <w:noProof/>
          <w:kern w:val="2"/>
          <w:sz w:val="16"/>
          <w:szCs w:val="16"/>
          <w14:ligatures w14:val="standardContextual"/>
        </w:rPr>
      </w:pPr>
      <w:hyperlink w:anchor="_Toc232612630" w:history="1">
        <w:r w:rsidRPr="00825198">
          <w:rPr>
            <w:rStyle w:val="Hypertextovodkaz"/>
            <w:noProof/>
            <w:sz w:val="16"/>
            <w:szCs w:val="16"/>
          </w:rPr>
          <w:t>IX.e</w:t>
        </w:r>
        <w:r w:rsidRPr="00825198">
          <w:rPr>
            <w:rFonts w:eastAsiaTheme="minorEastAsia" w:cstheme="minorBidi"/>
            <w:i w:val="0"/>
            <w:iCs w:val="0"/>
            <w:noProof/>
            <w:kern w:val="2"/>
            <w:sz w:val="16"/>
            <w:szCs w:val="16"/>
            <w14:ligatures w14:val="standardContextual"/>
          </w:rPr>
          <w:tab/>
        </w:r>
        <w:r w:rsidRPr="00825198">
          <w:rPr>
            <w:rStyle w:val="Hypertextovodkaz"/>
            <w:noProof/>
            <w:sz w:val="16"/>
            <w:szCs w:val="16"/>
          </w:rPr>
          <w:t>Zdůvodnění koncepce uspořádání krajiny</w:t>
        </w:r>
        <w:r w:rsidRPr="00825198">
          <w:rPr>
            <w:noProof/>
            <w:webHidden/>
            <w:sz w:val="16"/>
            <w:szCs w:val="16"/>
          </w:rPr>
          <w:tab/>
        </w:r>
        <w:r w:rsidRPr="00825198">
          <w:rPr>
            <w:noProof/>
            <w:webHidden/>
            <w:sz w:val="16"/>
            <w:szCs w:val="16"/>
          </w:rPr>
          <w:fldChar w:fldCharType="begin"/>
        </w:r>
        <w:r w:rsidRPr="00825198">
          <w:rPr>
            <w:noProof/>
            <w:webHidden/>
            <w:sz w:val="16"/>
            <w:szCs w:val="16"/>
          </w:rPr>
          <w:instrText xml:space="preserve"> PAGEREF _Toc232612630 \h </w:instrText>
        </w:r>
        <w:r w:rsidRPr="00825198">
          <w:rPr>
            <w:noProof/>
            <w:webHidden/>
            <w:sz w:val="16"/>
            <w:szCs w:val="16"/>
          </w:rPr>
        </w:r>
        <w:r w:rsidRPr="00825198">
          <w:rPr>
            <w:noProof/>
            <w:webHidden/>
            <w:sz w:val="16"/>
            <w:szCs w:val="16"/>
          </w:rPr>
          <w:fldChar w:fldCharType="separate"/>
        </w:r>
        <w:r w:rsidR="00B23DE1">
          <w:rPr>
            <w:noProof/>
            <w:webHidden/>
            <w:sz w:val="16"/>
            <w:szCs w:val="16"/>
          </w:rPr>
          <w:t>44</w:t>
        </w:r>
        <w:r w:rsidRPr="00825198">
          <w:rPr>
            <w:noProof/>
            <w:webHidden/>
            <w:sz w:val="16"/>
            <w:szCs w:val="16"/>
          </w:rPr>
          <w:fldChar w:fldCharType="end"/>
        </w:r>
      </w:hyperlink>
    </w:p>
    <w:p w14:paraId="758E45D7" w14:textId="3F3CFB02" w:rsidR="00825198" w:rsidRPr="00825198" w:rsidRDefault="00825198">
      <w:pPr>
        <w:pStyle w:val="Obsah2"/>
        <w:rPr>
          <w:rFonts w:eastAsiaTheme="minorEastAsia" w:cstheme="minorBidi"/>
          <w:i w:val="0"/>
          <w:iCs w:val="0"/>
          <w:noProof/>
          <w:kern w:val="2"/>
          <w:sz w:val="16"/>
          <w:szCs w:val="16"/>
          <w14:ligatures w14:val="standardContextual"/>
        </w:rPr>
      </w:pPr>
      <w:hyperlink w:anchor="_Toc232612631" w:history="1">
        <w:r w:rsidRPr="00825198">
          <w:rPr>
            <w:rStyle w:val="Hypertextovodkaz"/>
            <w:noProof/>
            <w:sz w:val="16"/>
            <w:szCs w:val="16"/>
          </w:rPr>
          <w:t>IX.f</w:t>
        </w:r>
        <w:r w:rsidRPr="00825198">
          <w:rPr>
            <w:rFonts w:eastAsiaTheme="minorEastAsia" w:cstheme="minorBidi"/>
            <w:i w:val="0"/>
            <w:iCs w:val="0"/>
            <w:noProof/>
            <w:kern w:val="2"/>
            <w:sz w:val="16"/>
            <w:szCs w:val="16"/>
            <w14:ligatures w14:val="standardContextual"/>
          </w:rPr>
          <w:tab/>
        </w:r>
        <w:r w:rsidRPr="00825198">
          <w:rPr>
            <w:rStyle w:val="Hypertextovodkaz"/>
            <w:noProof/>
            <w:sz w:val="16"/>
            <w:szCs w:val="16"/>
          </w:rPr>
          <w:t>Zdůvodnění podmínek pro využití a prostorové uspořádání vymezených ploch s rozdílným způsobem využití</w:t>
        </w:r>
        <w:r w:rsidRPr="00825198">
          <w:rPr>
            <w:noProof/>
            <w:webHidden/>
            <w:sz w:val="16"/>
            <w:szCs w:val="16"/>
          </w:rPr>
          <w:tab/>
        </w:r>
        <w:r w:rsidRPr="00825198">
          <w:rPr>
            <w:noProof/>
            <w:webHidden/>
            <w:sz w:val="16"/>
            <w:szCs w:val="16"/>
          </w:rPr>
          <w:fldChar w:fldCharType="begin"/>
        </w:r>
        <w:r w:rsidRPr="00825198">
          <w:rPr>
            <w:noProof/>
            <w:webHidden/>
            <w:sz w:val="16"/>
            <w:szCs w:val="16"/>
          </w:rPr>
          <w:instrText xml:space="preserve"> PAGEREF _Toc232612631 \h </w:instrText>
        </w:r>
        <w:r w:rsidRPr="00825198">
          <w:rPr>
            <w:noProof/>
            <w:webHidden/>
            <w:sz w:val="16"/>
            <w:szCs w:val="16"/>
          </w:rPr>
        </w:r>
        <w:r w:rsidRPr="00825198">
          <w:rPr>
            <w:noProof/>
            <w:webHidden/>
            <w:sz w:val="16"/>
            <w:szCs w:val="16"/>
          </w:rPr>
          <w:fldChar w:fldCharType="separate"/>
        </w:r>
        <w:r w:rsidR="00B23DE1">
          <w:rPr>
            <w:noProof/>
            <w:webHidden/>
            <w:sz w:val="16"/>
            <w:szCs w:val="16"/>
          </w:rPr>
          <w:t>45</w:t>
        </w:r>
        <w:r w:rsidRPr="00825198">
          <w:rPr>
            <w:noProof/>
            <w:webHidden/>
            <w:sz w:val="16"/>
            <w:szCs w:val="16"/>
          </w:rPr>
          <w:fldChar w:fldCharType="end"/>
        </w:r>
      </w:hyperlink>
    </w:p>
    <w:p w14:paraId="6E1A341A" w14:textId="527B7BD5" w:rsidR="00825198" w:rsidRPr="00825198" w:rsidRDefault="00825198">
      <w:pPr>
        <w:pStyle w:val="Obsah3"/>
        <w:rPr>
          <w:rFonts w:eastAsiaTheme="minorEastAsia" w:cstheme="minorBidi"/>
          <w:noProof/>
          <w:kern w:val="2"/>
          <w:sz w:val="16"/>
          <w:szCs w:val="16"/>
          <w14:ligatures w14:val="standardContextual"/>
        </w:rPr>
      </w:pPr>
      <w:hyperlink w:anchor="_Toc232612632" w:history="1">
        <w:r w:rsidRPr="00825198">
          <w:rPr>
            <w:rStyle w:val="Hypertextovodkaz"/>
            <w:noProof/>
            <w:sz w:val="16"/>
            <w:szCs w:val="16"/>
          </w:rPr>
          <w:t>IX.f/1</w:t>
        </w:r>
        <w:r w:rsidRPr="00825198">
          <w:rPr>
            <w:rFonts w:eastAsiaTheme="minorEastAsia" w:cstheme="minorBidi"/>
            <w:noProof/>
            <w:kern w:val="2"/>
            <w:sz w:val="16"/>
            <w:szCs w:val="16"/>
            <w14:ligatures w14:val="standardContextual"/>
          </w:rPr>
          <w:tab/>
        </w:r>
        <w:r w:rsidRPr="00825198">
          <w:rPr>
            <w:rStyle w:val="Hypertextovodkaz"/>
            <w:noProof/>
            <w:sz w:val="16"/>
            <w:szCs w:val="16"/>
          </w:rPr>
          <w:t>Podmínky struktury</w:t>
        </w:r>
        <w:r w:rsidRPr="00825198">
          <w:rPr>
            <w:noProof/>
            <w:webHidden/>
            <w:sz w:val="16"/>
            <w:szCs w:val="16"/>
          </w:rPr>
          <w:tab/>
        </w:r>
        <w:r w:rsidRPr="00825198">
          <w:rPr>
            <w:noProof/>
            <w:webHidden/>
            <w:sz w:val="16"/>
            <w:szCs w:val="16"/>
          </w:rPr>
          <w:fldChar w:fldCharType="begin"/>
        </w:r>
        <w:r w:rsidRPr="00825198">
          <w:rPr>
            <w:noProof/>
            <w:webHidden/>
            <w:sz w:val="16"/>
            <w:szCs w:val="16"/>
          </w:rPr>
          <w:instrText xml:space="preserve"> PAGEREF _Toc232612632 \h </w:instrText>
        </w:r>
        <w:r w:rsidRPr="00825198">
          <w:rPr>
            <w:noProof/>
            <w:webHidden/>
            <w:sz w:val="16"/>
            <w:szCs w:val="16"/>
          </w:rPr>
        </w:r>
        <w:r w:rsidRPr="00825198">
          <w:rPr>
            <w:noProof/>
            <w:webHidden/>
            <w:sz w:val="16"/>
            <w:szCs w:val="16"/>
          </w:rPr>
          <w:fldChar w:fldCharType="separate"/>
        </w:r>
        <w:r w:rsidR="00B23DE1">
          <w:rPr>
            <w:noProof/>
            <w:webHidden/>
            <w:sz w:val="16"/>
            <w:szCs w:val="16"/>
          </w:rPr>
          <w:t>45</w:t>
        </w:r>
        <w:r w:rsidRPr="00825198">
          <w:rPr>
            <w:noProof/>
            <w:webHidden/>
            <w:sz w:val="16"/>
            <w:szCs w:val="16"/>
          </w:rPr>
          <w:fldChar w:fldCharType="end"/>
        </w:r>
      </w:hyperlink>
    </w:p>
    <w:p w14:paraId="7E4DB1F8" w14:textId="517618B9" w:rsidR="00825198" w:rsidRPr="00825198" w:rsidRDefault="00825198">
      <w:pPr>
        <w:pStyle w:val="Obsah3"/>
        <w:rPr>
          <w:rFonts w:eastAsiaTheme="minorEastAsia" w:cstheme="minorBidi"/>
          <w:noProof/>
          <w:kern w:val="2"/>
          <w:sz w:val="16"/>
          <w:szCs w:val="16"/>
          <w14:ligatures w14:val="standardContextual"/>
        </w:rPr>
      </w:pPr>
      <w:hyperlink w:anchor="_Toc232612633" w:history="1">
        <w:r w:rsidRPr="00825198">
          <w:rPr>
            <w:rStyle w:val="Hypertextovodkaz"/>
            <w:noProof/>
            <w:sz w:val="16"/>
            <w:szCs w:val="16"/>
          </w:rPr>
          <w:t>IX.f/2</w:t>
        </w:r>
        <w:r w:rsidRPr="00825198">
          <w:rPr>
            <w:rFonts w:eastAsiaTheme="minorEastAsia" w:cstheme="minorBidi"/>
            <w:noProof/>
            <w:kern w:val="2"/>
            <w:sz w:val="16"/>
            <w:szCs w:val="16"/>
            <w14:ligatures w14:val="standardContextual"/>
          </w:rPr>
          <w:tab/>
        </w:r>
        <w:r w:rsidRPr="00825198">
          <w:rPr>
            <w:rStyle w:val="Hypertextovodkaz"/>
            <w:noProof/>
            <w:sz w:val="16"/>
            <w:szCs w:val="16"/>
          </w:rPr>
          <w:t>Podmínky infrastruktury</w:t>
        </w:r>
        <w:r w:rsidRPr="00825198">
          <w:rPr>
            <w:noProof/>
            <w:webHidden/>
            <w:sz w:val="16"/>
            <w:szCs w:val="16"/>
          </w:rPr>
          <w:tab/>
        </w:r>
        <w:r w:rsidRPr="00825198">
          <w:rPr>
            <w:noProof/>
            <w:webHidden/>
            <w:sz w:val="16"/>
            <w:szCs w:val="16"/>
          </w:rPr>
          <w:fldChar w:fldCharType="begin"/>
        </w:r>
        <w:r w:rsidRPr="00825198">
          <w:rPr>
            <w:noProof/>
            <w:webHidden/>
            <w:sz w:val="16"/>
            <w:szCs w:val="16"/>
          </w:rPr>
          <w:instrText xml:space="preserve"> PAGEREF _Toc232612633 \h </w:instrText>
        </w:r>
        <w:r w:rsidRPr="00825198">
          <w:rPr>
            <w:noProof/>
            <w:webHidden/>
            <w:sz w:val="16"/>
            <w:szCs w:val="16"/>
          </w:rPr>
        </w:r>
        <w:r w:rsidRPr="00825198">
          <w:rPr>
            <w:noProof/>
            <w:webHidden/>
            <w:sz w:val="16"/>
            <w:szCs w:val="16"/>
          </w:rPr>
          <w:fldChar w:fldCharType="separate"/>
        </w:r>
        <w:r w:rsidR="00B23DE1">
          <w:rPr>
            <w:noProof/>
            <w:webHidden/>
            <w:sz w:val="16"/>
            <w:szCs w:val="16"/>
          </w:rPr>
          <w:t>77</w:t>
        </w:r>
        <w:r w:rsidRPr="00825198">
          <w:rPr>
            <w:noProof/>
            <w:webHidden/>
            <w:sz w:val="16"/>
            <w:szCs w:val="16"/>
          </w:rPr>
          <w:fldChar w:fldCharType="end"/>
        </w:r>
      </w:hyperlink>
    </w:p>
    <w:p w14:paraId="05B15FEC" w14:textId="0B9062BA" w:rsidR="00825198" w:rsidRPr="00825198" w:rsidRDefault="00825198">
      <w:pPr>
        <w:pStyle w:val="Obsah2"/>
        <w:rPr>
          <w:rFonts w:eastAsiaTheme="minorEastAsia" w:cstheme="minorBidi"/>
          <w:i w:val="0"/>
          <w:iCs w:val="0"/>
          <w:noProof/>
          <w:kern w:val="2"/>
          <w:sz w:val="16"/>
          <w:szCs w:val="16"/>
          <w14:ligatures w14:val="standardContextual"/>
        </w:rPr>
      </w:pPr>
      <w:hyperlink w:anchor="_Toc232612634" w:history="1">
        <w:r w:rsidRPr="00825198">
          <w:rPr>
            <w:rStyle w:val="Hypertextovodkaz"/>
            <w:noProof/>
            <w:sz w:val="16"/>
            <w:szCs w:val="16"/>
          </w:rPr>
          <w:t>IX.g</w:t>
        </w:r>
        <w:r w:rsidRPr="00825198">
          <w:rPr>
            <w:rFonts w:eastAsiaTheme="minorEastAsia" w:cstheme="minorBidi"/>
            <w:i w:val="0"/>
            <w:iCs w:val="0"/>
            <w:noProof/>
            <w:kern w:val="2"/>
            <w:sz w:val="16"/>
            <w:szCs w:val="16"/>
            <w14:ligatures w14:val="standardContextual"/>
          </w:rPr>
          <w:tab/>
        </w:r>
        <w:r w:rsidRPr="00825198">
          <w:rPr>
            <w:rStyle w:val="Hypertextovodkaz"/>
            <w:noProof/>
            <w:sz w:val="16"/>
            <w:szCs w:val="16"/>
          </w:rPr>
          <w:t>Zdůvodnění vymezení veřejně prospěšných staveb, veřejně prospěšných opatření, staveb a opatření k zajišťování obrany a bezpečnosti státu a ploch pro asanaci</w:t>
        </w:r>
        <w:r w:rsidRPr="00825198">
          <w:rPr>
            <w:noProof/>
            <w:webHidden/>
            <w:sz w:val="16"/>
            <w:szCs w:val="16"/>
          </w:rPr>
          <w:tab/>
        </w:r>
        <w:r w:rsidRPr="00825198">
          <w:rPr>
            <w:noProof/>
            <w:webHidden/>
            <w:sz w:val="16"/>
            <w:szCs w:val="16"/>
          </w:rPr>
          <w:fldChar w:fldCharType="begin"/>
        </w:r>
        <w:r w:rsidRPr="00825198">
          <w:rPr>
            <w:noProof/>
            <w:webHidden/>
            <w:sz w:val="16"/>
            <w:szCs w:val="16"/>
          </w:rPr>
          <w:instrText xml:space="preserve"> PAGEREF _Toc232612634 \h </w:instrText>
        </w:r>
        <w:r w:rsidRPr="00825198">
          <w:rPr>
            <w:noProof/>
            <w:webHidden/>
            <w:sz w:val="16"/>
            <w:szCs w:val="16"/>
          </w:rPr>
        </w:r>
        <w:r w:rsidRPr="00825198">
          <w:rPr>
            <w:noProof/>
            <w:webHidden/>
            <w:sz w:val="16"/>
            <w:szCs w:val="16"/>
          </w:rPr>
          <w:fldChar w:fldCharType="separate"/>
        </w:r>
        <w:r w:rsidR="00B23DE1">
          <w:rPr>
            <w:noProof/>
            <w:webHidden/>
            <w:sz w:val="16"/>
            <w:szCs w:val="16"/>
          </w:rPr>
          <w:t>88</w:t>
        </w:r>
        <w:r w:rsidRPr="00825198">
          <w:rPr>
            <w:noProof/>
            <w:webHidden/>
            <w:sz w:val="16"/>
            <w:szCs w:val="16"/>
          </w:rPr>
          <w:fldChar w:fldCharType="end"/>
        </w:r>
      </w:hyperlink>
    </w:p>
    <w:p w14:paraId="00B998B6" w14:textId="47B149EA" w:rsidR="00825198" w:rsidRPr="00825198" w:rsidRDefault="00825198">
      <w:pPr>
        <w:pStyle w:val="Obsah3"/>
        <w:rPr>
          <w:rFonts w:eastAsiaTheme="minorEastAsia" w:cstheme="minorBidi"/>
          <w:noProof/>
          <w:kern w:val="2"/>
          <w:sz w:val="16"/>
          <w:szCs w:val="16"/>
          <w14:ligatures w14:val="standardContextual"/>
        </w:rPr>
      </w:pPr>
      <w:hyperlink w:anchor="_Toc232612635" w:history="1">
        <w:r w:rsidRPr="00825198">
          <w:rPr>
            <w:rStyle w:val="Hypertextovodkaz"/>
            <w:rFonts w:eastAsia="HiddenHorzOCR"/>
            <w:noProof/>
            <w:sz w:val="16"/>
            <w:szCs w:val="16"/>
          </w:rPr>
          <w:t>IX.g/1</w:t>
        </w:r>
        <w:r w:rsidRPr="00825198">
          <w:rPr>
            <w:rFonts w:eastAsiaTheme="minorEastAsia" w:cstheme="minorBidi"/>
            <w:noProof/>
            <w:kern w:val="2"/>
            <w:sz w:val="16"/>
            <w:szCs w:val="16"/>
            <w14:ligatures w14:val="standardContextual"/>
          </w:rPr>
          <w:tab/>
        </w:r>
        <w:r w:rsidRPr="00825198">
          <w:rPr>
            <w:rStyle w:val="Hypertextovodkaz"/>
            <w:rFonts w:eastAsia="HiddenHorzOCR"/>
            <w:noProof/>
            <w:sz w:val="16"/>
            <w:szCs w:val="16"/>
          </w:rPr>
          <w:t>Veřejně prospěšné stavby s možností vyvlastnění</w:t>
        </w:r>
        <w:r w:rsidRPr="00825198">
          <w:rPr>
            <w:noProof/>
            <w:webHidden/>
            <w:sz w:val="16"/>
            <w:szCs w:val="16"/>
          </w:rPr>
          <w:tab/>
        </w:r>
        <w:r w:rsidRPr="00825198">
          <w:rPr>
            <w:noProof/>
            <w:webHidden/>
            <w:sz w:val="16"/>
            <w:szCs w:val="16"/>
          </w:rPr>
          <w:fldChar w:fldCharType="begin"/>
        </w:r>
        <w:r w:rsidRPr="00825198">
          <w:rPr>
            <w:noProof/>
            <w:webHidden/>
            <w:sz w:val="16"/>
            <w:szCs w:val="16"/>
          </w:rPr>
          <w:instrText xml:space="preserve"> PAGEREF _Toc232612635 \h </w:instrText>
        </w:r>
        <w:r w:rsidRPr="00825198">
          <w:rPr>
            <w:noProof/>
            <w:webHidden/>
            <w:sz w:val="16"/>
            <w:szCs w:val="16"/>
          </w:rPr>
        </w:r>
        <w:r w:rsidRPr="00825198">
          <w:rPr>
            <w:noProof/>
            <w:webHidden/>
            <w:sz w:val="16"/>
            <w:szCs w:val="16"/>
          </w:rPr>
          <w:fldChar w:fldCharType="separate"/>
        </w:r>
        <w:r w:rsidR="00B23DE1">
          <w:rPr>
            <w:noProof/>
            <w:webHidden/>
            <w:sz w:val="16"/>
            <w:szCs w:val="16"/>
          </w:rPr>
          <w:t>88</w:t>
        </w:r>
        <w:r w:rsidRPr="00825198">
          <w:rPr>
            <w:noProof/>
            <w:webHidden/>
            <w:sz w:val="16"/>
            <w:szCs w:val="16"/>
          </w:rPr>
          <w:fldChar w:fldCharType="end"/>
        </w:r>
      </w:hyperlink>
    </w:p>
    <w:p w14:paraId="6B242587" w14:textId="3A85BF3B" w:rsidR="00825198" w:rsidRPr="00825198" w:rsidRDefault="00825198">
      <w:pPr>
        <w:pStyle w:val="Obsah3"/>
        <w:rPr>
          <w:rFonts w:eastAsiaTheme="minorEastAsia" w:cstheme="minorBidi"/>
          <w:noProof/>
          <w:kern w:val="2"/>
          <w:sz w:val="16"/>
          <w:szCs w:val="16"/>
          <w14:ligatures w14:val="standardContextual"/>
        </w:rPr>
      </w:pPr>
      <w:hyperlink w:anchor="_Toc232612636" w:history="1">
        <w:r w:rsidRPr="00825198">
          <w:rPr>
            <w:rStyle w:val="Hypertextovodkaz"/>
            <w:rFonts w:eastAsia="HiddenHorzOCR"/>
            <w:noProof/>
            <w:sz w:val="16"/>
            <w:szCs w:val="16"/>
          </w:rPr>
          <w:t>IX.g/2</w:t>
        </w:r>
        <w:r w:rsidRPr="00825198">
          <w:rPr>
            <w:rFonts w:eastAsiaTheme="minorEastAsia" w:cstheme="minorBidi"/>
            <w:noProof/>
            <w:kern w:val="2"/>
            <w:sz w:val="16"/>
            <w:szCs w:val="16"/>
            <w14:ligatures w14:val="standardContextual"/>
          </w:rPr>
          <w:tab/>
        </w:r>
        <w:r w:rsidRPr="00825198">
          <w:rPr>
            <w:rStyle w:val="Hypertextovodkaz"/>
            <w:rFonts w:eastAsia="HiddenHorzOCR"/>
            <w:noProof/>
            <w:sz w:val="16"/>
            <w:szCs w:val="16"/>
          </w:rPr>
          <w:t>Veřejně prospěšná opatření s možností vyvlastnění</w:t>
        </w:r>
        <w:r w:rsidRPr="00825198">
          <w:rPr>
            <w:noProof/>
            <w:webHidden/>
            <w:sz w:val="16"/>
            <w:szCs w:val="16"/>
          </w:rPr>
          <w:tab/>
        </w:r>
        <w:r w:rsidRPr="00825198">
          <w:rPr>
            <w:noProof/>
            <w:webHidden/>
            <w:sz w:val="16"/>
            <w:szCs w:val="16"/>
          </w:rPr>
          <w:fldChar w:fldCharType="begin"/>
        </w:r>
        <w:r w:rsidRPr="00825198">
          <w:rPr>
            <w:noProof/>
            <w:webHidden/>
            <w:sz w:val="16"/>
            <w:szCs w:val="16"/>
          </w:rPr>
          <w:instrText xml:space="preserve"> PAGEREF _Toc232612636 \h </w:instrText>
        </w:r>
        <w:r w:rsidRPr="00825198">
          <w:rPr>
            <w:noProof/>
            <w:webHidden/>
            <w:sz w:val="16"/>
            <w:szCs w:val="16"/>
          </w:rPr>
        </w:r>
        <w:r w:rsidRPr="00825198">
          <w:rPr>
            <w:noProof/>
            <w:webHidden/>
            <w:sz w:val="16"/>
            <w:szCs w:val="16"/>
          </w:rPr>
          <w:fldChar w:fldCharType="separate"/>
        </w:r>
        <w:r w:rsidR="00B23DE1">
          <w:rPr>
            <w:noProof/>
            <w:webHidden/>
            <w:sz w:val="16"/>
            <w:szCs w:val="16"/>
          </w:rPr>
          <w:t>89</w:t>
        </w:r>
        <w:r w:rsidRPr="00825198">
          <w:rPr>
            <w:noProof/>
            <w:webHidden/>
            <w:sz w:val="16"/>
            <w:szCs w:val="16"/>
          </w:rPr>
          <w:fldChar w:fldCharType="end"/>
        </w:r>
      </w:hyperlink>
    </w:p>
    <w:p w14:paraId="64C09AB6" w14:textId="5C7E1083" w:rsidR="00825198" w:rsidRPr="00825198" w:rsidRDefault="00825198">
      <w:pPr>
        <w:pStyle w:val="Obsah3"/>
        <w:rPr>
          <w:rFonts w:eastAsiaTheme="minorEastAsia" w:cstheme="minorBidi"/>
          <w:noProof/>
          <w:kern w:val="2"/>
          <w:sz w:val="16"/>
          <w:szCs w:val="16"/>
          <w14:ligatures w14:val="standardContextual"/>
        </w:rPr>
      </w:pPr>
      <w:hyperlink w:anchor="_Toc232612637" w:history="1">
        <w:r w:rsidRPr="00825198">
          <w:rPr>
            <w:rStyle w:val="Hypertextovodkaz"/>
            <w:rFonts w:eastAsia="HiddenHorzOCR"/>
            <w:noProof/>
            <w:sz w:val="16"/>
            <w:szCs w:val="16"/>
          </w:rPr>
          <w:t>IX.g/3</w:t>
        </w:r>
        <w:r w:rsidRPr="00825198">
          <w:rPr>
            <w:rFonts w:eastAsiaTheme="minorEastAsia" w:cstheme="minorBidi"/>
            <w:noProof/>
            <w:kern w:val="2"/>
            <w:sz w:val="16"/>
            <w:szCs w:val="16"/>
            <w14:ligatures w14:val="standardContextual"/>
          </w:rPr>
          <w:tab/>
        </w:r>
        <w:r w:rsidRPr="00825198">
          <w:rPr>
            <w:rStyle w:val="Hypertextovodkaz"/>
            <w:rFonts w:eastAsia="HiddenHorzOCR"/>
            <w:noProof/>
            <w:sz w:val="16"/>
            <w:szCs w:val="16"/>
          </w:rPr>
          <w:t>Stavby a opatření k zajišťování obrany a bezpečnosti státu</w:t>
        </w:r>
        <w:r w:rsidRPr="00825198">
          <w:rPr>
            <w:noProof/>
            <w:webHidden/>
            <w:sz w:val="16"/>
            <w:szCs w:val="16"/>
          </w:rPr>
          <w:tab/>
        </w:r>
        <w:r w:rsidRPr="00825198">
          <w:rPr>
            <w:noProof/>
            <w:webHidden/>
            <w:sz w:val="16"/>
            <w:szCs w:val="16"/>
          </w:rPr>
          <w:fldChar w:fldCharType="begin"/>
        </w:r>
        <w:r w:rsidRPr="00825198">
          <w:rPr>
            <w:noProof/>
            <w:webHidden/>
            <w:sz w:val="16"/>
            <w:szCs w:val="16"/>
          </w:rPr>
          <w:instrText xml:space="preserve"> PAGEREF _Toc232612637 \h </w:instrText>
        </w:r>
        <w:r w:rsidRPr="00825198">
          <w:rPr>
            <w:noProof/>
            <w:webHidden/>
            <w:sz w:val="16"/>
            <w:szCs w:val="16"/>
          </w:rPr>
        </w:r>
        <w:r w:rsidRPr="00825198">
          <w:rPr>
            <w:noProof/>
            <w:webHidden/>
            <w:sz w:val="16"/>
            <w:szCs w:val="16"/>
          </w:rPr>
          <w:fldChar w:fldCharType="separate"/>
        </w:r>
        <w:r w:rsidR="00B23DE1">
          <w:rPr>
            <w:noProof/>
            <w:webHidden/>
            <w:sz w:val="16"/>
            <w:szCs w:val="16"/>
          </w:rPr>
          <w:t>89</w:t>
        </w:r>
        <w:r w:rsidRPr="00825198">
          <w:rPr>
            <w:noProof/>
            <w:webHidden/>
            <w:sz w:val="16"/>
            <w:szCs w:val="16"/>
          </w:rPr>
          <w:fldChar w:fldCharType="end"/>
        </w:r>
      </w:hyperlink>
    </w:p>
    <w:p w14:paraId="4BFC286F" w14:textId="6DCA9505" w:rsidR="00825198" w:rsidRPr="00825198" w:rsidRDefault="00825198">
      <w:pPr>
        <w:pStyle w:val="Obsah3"/>
        <w:rPr>
          <w:rFonts w:eastAsiaTheme="minorEastAsia" w:cstheme="minorBidi"/>
          <w:noProof/>
          <w:kern w:val="2"/>
          <w:sz w:val="16"/>
          <w:szCs w:val="16"/>
          <w14:ligatures w14:val="standardContextual"/>
        </w:rPr>
      </w:pPr>
      <w:hyperlink w:anchor="_Toc232612638" w:history="1">
        <w:r w:rsidRPr="00825198">
          <w:rPr>
            <w:rStyle w:val="Hypertextovodkaz"/>
            <w:rFonts w:eastAsia="HiddenHorzOCR"/>
            <w:noProof/>
            <w:sz w:val="16"/>
            <w:szCs w:val="16"/>
          </w:rPr>
          <w:t>IX.g/4</w:t>
        </w:r>
        <w:r w:rsidRPr="00825198">
          <w:rPr>
            <w:rFonts w:eastAsiaTheme="minorEastAsia" w:cstheme="minorBidi"/>
            <w:noProof/>
            <w:kern w:val="2"/>
            <w:sz w:val="16"/>
            <w:szCs w:val="16"/>
            <w14:ligatures w14:val="standardContextual"/>
          </w:rPr>
          <w:tab/>
        </w:r>
        <w:r w:rsidRPr="00825198">
          <w:rPr>
            <w:rStyle w:val="Hypertextovodkaz"/>
            <w:rFonts w:eastAsia="HiddenHorzOCR"/>
            <w:noProof/>
            <w:sz w:val="16"/>
            <w:szCs w:val="16"/>
          </w:rPr>
          <w:t>Plochy pro asanaci</w:t>
        </w:r>
        <w:r w:rsidRPr="00825198">
          <w:rPr>
            <w:noProof/>
            <w:webHidden/>
            <w:sz w:val="16"/>
            <w:szCs w:val="16"/>
          </w:rPr>
          <w:tab/>
        </w:r>
        <w:r w:rsidRPr="00825198">
          <w:rPr>
            <w:noProof/>
            <w:webHidden/>
            <w:sz w:val="16"/>
            <w:szCs w:val="16"/>
          </w:rPr>
          <w:fldChar w:fldCharType="begin"/>
        </w:r>
        <w:r w:rsidRPr="00825198">
          <w:rPr>
            <w:noProof/>
            <w:webHidden/>
            <w:sz w:val="16"/>
            <w:szCs w:val="16"/>
          </w:rPr>
          <w:instrText xml:space="preserve"> PAGEREF _Toc232612638 \h </w:instrText>
        </w:r>
        <w:r w:rsidRPr="00825198">
          <w:rPr>
            <w:noProof/>
            <w:webHidden/>
            <w:sz w:val="16"/>
            <w:szCs w:val="16"/>
          </w:rPr>
        </w:r>
        <w:r w:rsidRPr="00825198">
          <w:rPr>
            <w:noProof/>
            <w:webHidden/>
            <w:sz w:val="16"/>
            <w:szCs w:val="16"/>
          </w:rPr>
          <w:fldChar w:fldCharType="separate"/>
        </w:r>
        <w:r w:rsidR="00B23DE1">
          <w:rPr>
            <w:noProof/>
            <w:webHidden/>
            <w:sz w:val="16"/>
            <w:szCs w:val="16"/>
          </w:rPr>
          <w:t>89</w:t>
        </w:r>
        <w:r w:rsidRPr="00825198">
          <w:rPr>
            <w:noProof/>
            <w:webHidden/>
            <w:sz w:val="16"/>
            <w:szCs w:val="16"/>
          </w:rPr>
          <w:fldChar w:fldCharType="end"/>
        </w:r>
      </w:hyperlink>
    </w:p>
    <w:p w14:paraId="23A80EE1" w14:textId="67715C03" w:rsidR="00825198" w:rsidRPr="00825198" w:rsidRDefault="00825198">
      <w:pPr>
        <w:pStyle w:val="Obsah2"/>
        <w:rPr>
          <w:rFonts w:eastAsiaTheme="minorEastAsia" w:cstheme="minorBidi"/>
          <w:i w:val="0"/>
          <w:iCs w:val="0"/>
          <w:noProof/>
          <w:kern w:val="2"/>
          <w:sz w:val="16"/>
          <w:szCs w:val="16"/>
          <w14:ligatures w14:val="standardContextual"/>
        </w:rPr>
      </w:pPr>
      <w:hyperlink w:anchor="_Toc232612639" w:history="1">
        <w:r w:rsidRPr="00825198">
          <w:rPr>
            <w:rStyle w:val="Hypertextovodkaz"/>
            <w:noProof/>
            <w:sz w:val="16"/>
            <w:szCs w:val="16"/>
          </w:rPr>
          <w:t>IX.h</w:t>
        </w:r>
        <w:r w:rsidRPr="00825198">
          <w:rPr>
            <w:rFonts w:eastAsiaTheme="minorEastAsia" w:cstheme="minorBidi"/>
            <w:i w:val="0"/>
            <w:iCs w:val="0"/>
            <w:noProof/>
            <w:kern w:val="2"/>
            <w:sz w:val="16"/>
            <w:szCs w:val="16"/>
            <w14:ligatures w14:val="standardContextual"/>
          </w:rPr>
          <w:tab/>
        </w:r>
        <w:r w:rsidRPr="00825198">
          <w:rPr>
            <w:rStyle w:val="Hypertextovodkaz"/>
            <w:noProof/>
            <w:sz w:val="16"/>
            <w:szCs w:val="16"/>
          </w:rPr>
          <w:t>Vymezení ploch a koridorů, ve kterých je rozhodování o změnách v území podmíněno plánovací smlouvou</w:t>
        </w:r>
        <w:r w:rsidRPr="00825198">
          <w:rPr>
            <w:noProof/>
            <w:webHidden/>
            <w:sz w:val="16"/>
            <w:szCs w:val="16"/>
          </w:rPr>
          <w:tab/>
        </w:r>
        <w:r w:rsidRPr="00825198">
          <w:rPr>
            <w:noProof/>
            <w:webHidden/>
            <w:sz w:val="16"/>
            <w:szCs w:val="16"/>
          </w:rPr>
          <w:fldChar w:fldCharType="begin"/>
        </w:r>
        <w:r w:rsidRPr="00825198">
          <w:rPr>
            <w:noProof/>
            <w:webHidden/>
            <w:sz w:val="16"/>
            <w:szCs w:val="16"/>
          </w:rPr>
          <w:instrText xml:space="preserve"> PAGEREF _Toc232612639 \h </w:instrText>
        </w:r>
        <w:r w:rsidRPr="00825198">
          <w:rPr>
            <w:noProof/>
            <w:webHidden/>
            <w:sz w:val="16"/>
            <w:szCs w:val="16"/>
          </w:rPr>
        </w:r>
        <w:r w:rsidRPr="00825198">
          <w:rPr>
            <w:noProof/>
            <w:webHidden/>
            <w:sz w:val="16"/>
            <w:szCs w:val="16"/>
          </w:rPr>
          <w:fldChar w:fldCharType="separate"/>
        </w:r>
        <w:r w:rsidR="00B23DE1">
          <w:rPr>
            <w:noProof/>
            <w:webHidden/>
            <w:sz w:val="16"/>
            <w:szCs w:val="16"/>
          </w:rPr>
          <w:t>89</w:t>
        </w:r>
        <w:r w:rsidRPr="00825198">
          <w:rPr>
            <w:noProof/>
            <w:webHidden/>
            <w:sz w:val="16"/>
            <w:szCs w:val="16"/>
          </w:rPr>
          <w:fldChar w:fldCharType="end"/>
        </w:r>
      </w:hyperlink>
    </w:p>
    <w:p w14:paraId="014F9E71" w14:textId="77315D7F" w:rsidR="00825198" w:rsidRPr="00825198" w:rsidRDefault="00825198">
      <w:pPr>
        <w:pStyle w:val="Obsah2"/>
        <w:rPr>
          <w:rFonts w:eastAsiaTheme="minorEastAsia" w:cstheme="minorBidi"/>
          <w:i w:val="0"/>
          <w:iCs w:val="0"/>
          <w:noProof/>
          <w:kern w:val="2"/>
          <w:sz w:val="16"/>
          <w:szCs w:val="16"/>
          <w14:ligatures w14:val="standardContextual"/>
        </w:rPr>
      </w:pPr>
      <w:hyperlink w:anchor="_Toc232612640" w:history="1">
        <w:r w:rsidRPr="00825198">
          <w:rPr>
            <w:rStyle w:val="Hypertextovodkaz"/>
            <w:noProof/>
            <w:sz w:val="16"/>
            <w:szCs w:val="16"/>
          </w:rPr>
          <w:t>IX.i</w:t>
        </w:r>
        <w:r w:rsidRPr="00825198">
          <w:rPr>
            <w:rFonts w:eastAsiaTheme="minorEastAsia" w:cstheme="minorBidi"/>
            <w:i w:val="0"/>
            <w:iCs w:val="0"/>
            <w:noProof/>
            <w:kern w:val="2"/>
            <w:sz w:val="16"/>
            <w:szCs w:val="16"/>
            <w14:ligatures w14:val="standardContextual"/>
          </w:rPr>
          <w:tab/>
        </w:r>
        <w:r w:rsidRPr="00825198">
          <w:rPr>
            <w:rStyle w:val="Hypertextovodkaz"/>
            <w:noProof/>
            <w:sz w:val="16"/>
            <w:szCs w:val="16"/>
          </w:rPr>
          <w:t>Vymezení ploch a koridorů, ve kterých je rozhodování o změnách v území podmíněno zpracováním územní studie</w:t>
        </w:r>
        <w:r w:rsidRPr="00825198">
          <w:rPr>
            <w:noProof/>
            <w:webHidden/>
            <w:sz w:val="16"/>
            <w:szCs w:val="16"/>
          </w:rPr>
          <w:tab/>
        </w:r>
        <w:r w:rsidRPr="00825198">
          <w:rPr>
            <w:noProof/>
            <w:webHidden/>
            <w:sz w:val="16"/>
            <w:szCs w:val="16"/>
          </w:rPr>
          <w:fldChar w:fldCharType="begin"/>
        </w:r>
        <w:r w:rsidRPr="00825198">
          <w:rPr>
            <w:noProof/>
            <w:webHidden/>
            <w:sz w:val="16"/>
            <w:szCs w:val="16"/>
          </w:rPr>
          <w:instrText xml:space="preserve"> PAGEREF _Toc232612640 \h </w:instrText>
        </w:r>
        <w:r w:rsidRPr="00825198">
          <w:rPr>
            <w:noProof/>
            <w:webHidden/>
            <w:sz w:val="16"/>
            <w:szCs w:val="16"/>
          </w:rPr>
        </w:r>
        <w:r w:rsidRPr="00825198">
          <w:rPr>
            <w:noProof/>
            <w:webHidden/>
            <w:sz w:val="16"/>
            <w:szCs w:val="16"/>
          </w:rPr>
          <w:fldChar w:fldCharType="separate"/>
        </w:r>
        <w:r w:rsidR="00B23DE1">
          <w:rPr>
            <w:noProof/>
            <w:webHidden/>
            <w:sz w:val="16"/>
            <w:szCs w:val="16"/>
          </w:rPr>
          <w:t>90</w:t>
        </w:r>
        <w:r w:rsidRPr="00825198">
          <w:rPr>
            <w:noProof/>
            <w:webHidden/>
            <w:sz w:val="16"/>
            <w:szCs w:val="16"/>
          </w:rPr>
          <w:fldChar w:fldCharType="end"/>
        </w:r>
      </w:hyperlink>
    </w:p>
    <w:p w14:paraId="667DFA37" w14:textId="226EB2D0" w:rsidR="00825198" w:rsidRPr="00825198" w:rsidRDefault="00825198">
      <w:pPr>
        <w:pStyle w:val="Obsah2"/>
        <w:rPr>
          <w:rFonts w:eastAsiaTheme="minorEastAsia" w:cstheme="minorBidi"/>
          <w:i w:val="0"/>
          <w:iCs w:val="0"/>
          <w:noProof/>
          <w:kern w:val="2"/>
          <w:sz w:val="16"/>
          <w:szCs w:val="16"/>
          <w14:ligatures w14:val="standardContextual"/>
        </w:rPr>
      </w:pPr>
      <w:hyperlink w:anchor="_Toc232612641" w:history="1">
        <w:r w:rsidRPr="00825198">
          <w:rPr>
            <w:rStyle w:val="Hypertextovodkaz"/>
            <w:noProof/>
            <w:sz w:val="16"/>
            <w:szCs w:val="16"/>
          </w:rPr>
          <w:t>IX.j</w:t>
        </w:r>
        <w:r w:rsidRPr="00825198">
          <w:rPr>
            <w:rFonts w:eastAsiaTheme="minorEastAsia" w:cstheme="minorBidi"/>
            <w:i w:val="0"/>
            <w:iCs w:val="0"/>
            <w:noProof/>
            <w:kern w:val="2"/>
            <w:sz w:val="16"/>
            <w:szCs w:val="16"/>
            <w14:ligatures w14:val="standardContextual"/>
          </w:rPr>
          <w:tab/>
        </w:r>
        <w:r w:rsidRPr="00825198">
          <w:rPr>
            <w:rStyle w:val="Hypertextovodkaz"/>
            <w:noProof/>
            <w:sz w:val="16"/>
            <w:szCs w:val="16"/>
          </w:rPr>
          <w:t>Zdůvodnění vymezení architektonicky významných staveb nebo urbanisticky významných celků</w:t>
        </w:r>
        <w:r w:rsidRPr="00825198">
          <w:rPr>
            <w:noProof/>
            <w:webHidden/>
            <w:sz w:val="16"/>
            <w:szCs w:val="16"/>
          </w:rPr>
          <w:tab/>
        </w:r>
        <w:r w:rsidRPr="00825198">
          <w:rPr>
            <w:noProof/>
            <w:webHidden/>
            <w:sz w:val="16"/>
            <w:szCs w:val="16"/>
          </w:rPr>
          <w:fldChar w:fldCharType="begin"/>
        </w:r>
        <w:r w:rsidRPr="00825198">
          <w:rPr>
            <w:noProof/>
            <w:webHidden/>
            <w:sz w:val="16"/>
            <w:szCs w:val="16"/>
          </w:rPr>
          <w:instrText xml:space="preserve"> PAGEREF _Toc232612641 \h </w:instrText>
        </w:r>
        <w:r w:rsidRPr="00825198">
          <w:rPr>
            <w:noProof/>
            <w:webHidden/>
            <w:sz w:val="16"/>
            <w:szCs w:val="16"/>
          </w:rPr>
        </w:r>
        <w:r w:rsidRPr="00825198">
          <w:rPr>
            <w:noProof/>
            <w:webHidden/>
            <w:sz w:val="16"/>
            <w:szCs w:val="16"/>
          </w:rPr>
          <w:fldChar w:fldCharType="separate"/>
        </w:r>
        <w:r w:rsidR="00B23DE1">
          <w:rPr>
            <w:noProof/>
            <w:webHidden/>
            <w:sz w:val="16"/>
            <w:szCs w:val="16"/>
          </w:rPr>
          <w:t>90</w:t>
        </w:r>
        <w:r w:rsidRPr="00825198">
          <w:rPr>
            <w:noProof/>
            <w:webHidden/>
            <w:sz w:val="16"/>
            <w:szCs w:val="16"/>
          </w:rPr>
          <w:fldChar w:fldCharType="end"/>
        </w:r>
      </w:hyperlink>
    </w:p>
    <w:p w14:paraId="09F4ED6C" w14:textId="1060144C" w:rsidR="00825198" w:rsidRPr="00825198" w:rsidRDefault="00825198">
      <w:pPr>
        <w:pStyle w:val="Obsah2"/>
        <w:rPr>
          <w:rFonts w:eastAsiaTheme="minorEastAsia" w:cstheme="minorBidi"/>
          <w:i w:val="0"/>
          <w:iCs w:val="0"/>
          <w:noProof/>
          <w:kern w:val="2"/>
          <w:sz w:val="16"/>
          <w:szCs w:val="16"/>
          <w14:ligatures w14:val="standardContextual"/>
        </w:rPr>
      </w:pPr>
      <w:hyperlink w:anchor="_Toc232612642" w:history="1">
        <w:r w:rsidRPr="00825198">
          <w:rPr>
            <w:rStyle w:val="Hypertextovodkaz"/>
            <w:noProof/>
            <w:sz w:val="16"/>
            <w:szCs w:val="16"/>
          </w:rPr>
          <w:t>IX.k</w:t>
        </w:r>
        <w:r w:rsidRPr="00825198">
          <w:rPr>
            <w:rFonts w:eastAsiaTheme="minorEastAsia" w:cstheme="minorBidi"/>
            <w:i w:val="0"/>
            <w:iCs w:val="0"/>
            <w:noProof/>
            <w:kern w:val="2"/>
            <w:sz w:val="16"/>
            <w:szCs w:val="16"/>
            <w14:ligatures w14:val="standardContextual"/>
          </w:rPr>
          <w:tab/>
        </w:r>
        <w:r w:rsidRPr="00825198">
          <w:rPr>
            <w:rStyle w:val="Hypertextovodkaz"/>
            <w:noProof/>
            <w:sz w:val="16"/>
            <w:szCs w:val="16"/>
          </w:rPr>
          <w:t>Zdůvodnění stanovení pořadí provádění změn v území</w:t>
        </w:r>
        <w:r w:rsidRPr="00825198">
          <w:rPr>
            <w:noProof/>
            <w:webHidden/>
            <w:sz w:val="16"/>
            <w:szCs w:val="16"/>
          </w:rPr>
          <w:tab/>
        </w:r>
        <w:r w:rsidRPr="00825198">
          <w:rPr>
            <w:noProof/>
            <w:webHidden/>
            <w:sz w:val="16"/>
            <w:szCs w:val="16"/>
          </w:rPr>
          <w:fldChar w:fldCharType="begin"/>
        </w:r>
        <w:r w:rsidRPr="00825198">
          <w:rPr>
            <w:noProof/>
            <w:webHidden/>
            <w:sz w:val="16"/>
            <w:szCs w:val="16"/>
          </w:rPr>
          <w:instrText xml:space="preserve"> PAGEREF _Toc232612642 \h </w:instrText>
        </w:r>
        <w:r w:rsidRPr="00825198">
          <w:rPr>
            <w:noProof/>
            <w:webHidden/>
            <w:sz w:val="16"/>
            <w:szCs w:val="16"/>
          </w:rPr>
        </w:r>
        <w:r w:rsidRPr="00825198">
          <w:rPr>
            <w:noProof/>
            <w:webHidden/>
            <w:sz w:val="16"/>
            <w:szCs w:val="16"/>
          </w:rPr>
          <w:fldChar w:fldCharType="separate"/>
        </w:r>
        <w:r w:rsidR="00B23DE1">
          <w:rPr>
            <w:noProof/>
            <w:webHidden/>
            <w:sz w:val="16"/>
            <w:szCs w:val="16"/>
          </w:rPr>
          <w:t>90</w:t>
        </w:r>
        <w:r w:rsidRPr="00825198">
          <w:rPr>
            <w:noProof/>
            <w:webHidden/>
            <w:sz w:val="16"/>
            <w:szCs w:val="16"/>
          </w:rPr>
          <w:fldChar w:fldCharType="end"/>
        </w:r>
      </w:hyperlink>
    </w:p>
    <w:p w14:paraId="1444F438" w14:textId="3AEA1E20" w:rsidR="00825198" w:rsidRPr="00825198" w:rsidRDefault="00825198">
      <w:pPr>
        <w:pStyle w:val="Obsah2"/>
        <w:rPr>
          <w:rFonts w:eastAsiaTheme="minorEastAsia" w:cstheme="minorBidi"/>
          <w:i w:val="0"/>
          <w:iCs w:val="0"/>
          <w:noProof/>
          <w:kern w:val="2"/>
          <w:sz w:val="16"/>
          <w:szCs w:val="16"/>
          <w14:ligatures w14:val="standardContextual"/>
        </w:rPr>
      </w:pPr>
      <w:hyperlink w:anchor="_Toc232612643" w:history="1">
        <w:r w:rsidRPr="00825198">
          <w:rPr>
            <w:rStyle w:val="Hypertextovodkaz"/>
            <w:rFonts w:eastAsia="HiddenHorzOCR"/>
            <w:noProof/>
            <w:sz w:val="16"/>
            <w:szCs w:val="16"/>
          </w:rPr>
          <w:t>IX.l</w:t>
        </w:r>
        <w:r w:rsidRPr="00825198">
          <w:rPr>
            <w:rFonts w:eastAsiaTheme="minorEastAsia" w:cstheme="minorBidi"/>
            <w:i w:val="0"/>
            <w:iCs w:val="0"/>
            <w:noProof/>
            <w:kern w:val="2"/>
            <w:sz w:val="16"/>
            <w:szCs w:val="16"/>
            <w14:ligatures w14:val="standardContextual"/>
          </w:rPr>
          <w:tab/>
        </w:r>
        <w:r w:rsidRPr="00825198">
          <w:rPr>
            <w:rStyle w:val="Hypertextovodkaz"/>
            <w:rFonts w:eastAsia="HiddenHorzOCR"/>
            <w:noProof/>
            <w:sz w:val="16"/>
            <w:szCs w:val="16"/>
          </w:rPr>
          <w:t>Zdůvodnění stanovení požadavků na výstavbu odchylně od prováděcího právního předpisu u části území obce, pro které územní plán obsahuje prvky regulačního plánu</w:t>
        </w:r>
        <w:r w:rsidRPr="00825198">
          <w:rPr>
            <w:noProof/>
            <w:webHidden/>
            <w:sz w:val="16"/>
            <w:szCs w:val="16"/>
          </w:rPr>
          <w:tab/>
        </w:r>
        <w:r w:rsidRPr="00825198">
          <w:rPr>
            <w:noProof/>
            <w:webHidden/>
            <w:sz w:val="16"/>
            <w:szCs w:val="16"/>
          </w:rPr>
          <w:fldChar w:fldCharType="begin"/>
        </w:r>
        <w:r w:rsidRPr="00825198">
          <w:rPr>
            <w:noProof/>
            <w:webHidden/>
            <w:sz w:val="16"/>
            <w:szCs w:val="16"/>
          </w:rPr>
          <w:instrText xml:space="preserve"> PAGEREF _Toc232612643 \h </w:instrText>
        </w:r>
        <w:r w:rsidRPr="00825198">
          <w:rPr>
            <w:noProof/>
            <w:webHidden/>
            <w:sz w:val="16"/>
            <w:szCs w:val="16"/>
          </w:rPr>
        </w:r>
        <w:r w:rsidRPr="00825198">
          <w:rPr>
            <w:noProof/>
            <w:webHidden/>
            <w:sz w:val="16"/>
            <w:szCs w:val="16"/>
          </w:rPr>
          <w:fldChar w:fldCharType="separate"/>
        </w:r>
        <w:r w:rsidR="00B23DE1">
          <w:rPr>
            <w:noProof/>
            <w:webHidden/>
            <w:sz w:val="16"/>
            <w:szCs w:val="16"/>
          </w:rPr>
          <w:t>90</w:t>
        </w:r>
        <w:r w:rsidRPr="00825198">
          <w:rPr>
            <w:noProof/>
            <w:webHidden/>
            <w:sz w:val="16"/>
            <w:szCs w:val="16"/>
          </w:rPr>
          <w:fldChar w:fldCharType="end"/>
        </w:r>
      </w:hyperlink>
    </w:p>
    <w:p w14:paraId="3459D3B9" w14:textId="080EE7A9" w:rsidR="00825198" w:rsidRPr="00825198" w:rsidRDefault="00825198">
      <w:pPr>
        <w:pStyle w:val="Obsah1"/>
        <w:rPr>
          <w:rFonts w:eastAsiaTheme="minorEastAsia" w:cstheme="minorBidi"/>
          <w:b w:val="0"/>
          <w:bCs w:val="0"/>
          <w:noProof/>
          <w:kern w:val="2"/>
          <w:sz w:val="16"/>
          <w:szCs w:val="16"/>
          <w14:ligatures w14:val="standardContextual"/>
        </w:rPr>
      </w:pPr>
      <w:hyperlink w:anchor="_Toc232612644" w:history="1">
        <w:r w:rsidRPr="00825198">
          <w:rPr>
            <w:rStyle w:val="Hypertextovodkaz"/>
            <w:noProof/>
            <w:sz w:val="16"/>
            <w:szCs w:val="16"/>
          </w:rPr>
          <w:t>X</w:t>
        </w:r>
        <w:r w:rsidRPr="00825198">
          <w:rPr>
            <w:rFonts w:eastAsiaTheme="minorEastAsia" w:cstheme="minorBidi"/>
            <w:b w:val="0"/>
            <w:bCs w:val="0"/>
            <w:noProof/>
            <w:kern w:val="2"/>
            <w:sz w:val="16"/>
            <w:szCs w:val="16"/>
            <w14:ligatures w14:val="standardContextual"/>
          </w:rPr>
          <w:tab/>
        </w:r>
        <w:r w:rsidRPr="00825198">
          <w:rPr>
            <w:rStyle w:val="Hypertextovodkaz"/>
            <w:noProof/>
            <w:sz w:val="16"/>
            <w:szCs w:val="16"/>
          </w:rPr>
          <w:t>Výčet záležitostí nadmístního významu, které nejsou obsaženy v zásadách územního rozvoje, s odůvodněním potřeby jejich vymezení.</w:t>
        </w:r>
        <w:r w:rsidRPr="00825198">
          <w:rPr>
            <w:noProof/>
            <w:webHidden/>
            <w:sz w:val="16"/>
            <w:szCs w:val="16"/>
          </w:rPr>
          <w:tab/>
        </w:r>
        <w:r w:rsidRPr="00825198">
          <w:rPr>
            <w:noProof/>
            <w:webHidden/>
            <w:sz w:val="16"/>
            <w:szCs w:val="16"/>
          </w:rPr>
          <w:fldChar w:fldCharType="begin"/>
        </w:r>
        <w:r w:rsidRPr="00825198">
          <w:rPr>
            <w:noProof/>
            <w:webHidden/>
            <w:sz w:val="16"/>
            <w:szCs w:val="16"/>
          </w:rPr>
          <w:instrText xml:space="preserve"> PAGEREF _Toc232612644 \h </w:instrText>
        </w:r>
        <w:r w:rsidRPr="00825198">
          <w:rPr>
            <w:noProof/>
            <w:webHidden/>
            <w:sz w:val="16"/>
            <w:szCs w:val="16"/>
          </w:rPr>
        </w:r>
        <w:r w:rsidRPr="00825198">
          <w:rPr>
            <w:noProof/>
            <w:webHidden/>
            <w:sz w:val="16"/>
            <w:szCs w:val="16"/>
          </w:rPr>
          <w:fldChar w:fldCharType="separate"/>
        </w:r>
        <w:r w:rsidR="00B23DE1">
          <w:rPr>
            <w:noProof/>
            <w:webHidden/>
            <w:sz w:val="16"/>
            <w:szCs w:val="16"/>
          </w:rPr>
          <w:t>91</w:t>
        </w:r>
        <w:r w:rsidRPr="00825198">
          <w:rPr>
            <w:noProof/>
            <w:webHidden/>
            <w:sz w:val="16"/>
            <w:szCs w:val="16"/>
          </w:rPr>
          <w:fldChar w:fldCharType="end"/>
        </w:r>
      </w:hyperlink>
    </w:p>
    <w:p w14:paraId="751C2FB4" w14:textId="4A462801" w:rsidR="00825198" w:rsidRPr="00825198" w:rsidRDefault="00825198">
      <w:pPr>
        <w:pStyle w:val="Obsah1"/>
        <w:rPr>
          <w:rFonts w:eastAsiaTheme="minorEastAsia" w:cstheme="minorBidi"/>
          <w:b w:val="0"/>
          <w:bCs w:val="0"/>
          <w:noProof/>
          <w:kern w:val="2"/>
          <w:sz w:val="16"/>
          <w:szCs w:val="16"/>
          <w14:ligatures w14:val="standardContextual"/>
        </w:rPr>
      </w:pPr>
      <w:hyperlink w:anchor="_Toc232612645" w:history="1">
        <w:r w:rsidRPr="00825198">
          <w:rPr>
            <w:rStyle w:val="Hypertextovodkaz"/>
            <w:noProof/>
            <w:sz w:val="16"/>
            <w:szCs w:val="16"/>
          </w:rPr>
          <w:t>XI</w:t>
        </w:r>
        <w:r w:rsidRPr="00825198">
          <w:rPr>
            <w:rFonts w:eastAsiaTheme="minorEastAsia" w:cstheme="minorBidi"/>
            <w:b w:val="0"/>
            <w:bCs w:val="0"/>
            <w:noProof/>
            <w:kern w:val="2"/>
            <w:sz w:val="16"/>
            <w:szCs w:val="16"/>
            <w14:ligatures w14:val="standardContextual"/>
          </w:rPr>
          <w:tab/>
        </w:r>
        <w:r w:rsidRPr="00825198">
          <w:rPr>
            <w:rStyle w:val="Hypertextovodkaz"/>
            <w:noProof/>
            <w:sz w:val="16"/>
            <w:szCs w:val="16"/>
          </w:rPr>
          <w:t>Vyhodnocení koordinace využívání území z hlediska širších vztahů v území</w:t>
        </w:r>
        <w:r w:rsidRPr="00825198">
          <w:rPr>
            <w:noProof/>
            <w:webHidden/>
            <w:sz w:val="16"/>
            <w:szCs w:val="16"/>
          </w:rPr>
          <w:tab/>
        </w:r>
        <w:r w:rsidRPr="00825198">
          <w:rPr>
            <w:noProof/>
            <w:webHidden/>
            <w:sz w:val="16"/>
            <w:szCs w:val="16"/>
          </w:rPr>
          <w:fldChar w:fldCharType="begin"/>
        </w:r>
        <w:r w:rsidRPr="00825198">
          <w:rPr>
            <w:noProof/>
            <w:webHidden/>
            <w:sz w:val="16"/>
            <w:szCs w:val="16"/>
          </w:rPr>
          <w:instrText xml:space="preserve"> PAGEREF _Toc232612645 \h </w:instrText>
        </w:r>
        <w:r w:rsidRPr="00825198">
          <w:rPr>
            <w:noProof/>
            <w:webHidden/>
            <w:sz w:val="16"/>
            <w:szCs w:val="16"/>
          </w:rPr>
        </w:r>
        <w:r w:rsidRPr="00825198">
          <w:rPr>
            <w:noProof/>
            <w:webHidden/>
            <w:sz w:val="16"/>
            <w:szCs w:val="16"/>
          </w:rPr>
          <w:fldChar w:fldCharType="separate"/>
        </w:r>
        <w:r w:rsidR="00B23DE1">
          <w:rPr>
            <w:noProof/>
            <w:webHidden/>
            <w:sz w:val="16"/>
            <w:szCs w:val="16"/>
          </w:rPr>
          <w:t>91</w:t>
        </w:r>
        <w:r w:rsidRPr="00825198">
          <w:rPr>
            <w:noProof/>
            <w:webHidden/>
            <w:sz w:val="16"/>
            <w:szCs w:val="16"/>
          </w:rPr>
          <w:fldChar w:fldCharType="end"/>
        </w:r>
      </w:hyperlink>
    </w:p>
    <w:p w14:paraId="555F01E1" w14:textId="4F123F97" w:rsidR="00825198" w:rsidRPr="00825198" w:rsidRDefault="00825198">
      <w:pPr>
        <w:pStyle w:val="Obsah2"/>
        <w:rPr>
          <w:rFonts w:eastAsiaTheme="minorEastAsia" w:cstheme="minorBidi"/>
          <w:i w:val="0"/>
          <w:iCs w:val="0"/>
          <w:noProof/>
          <w:kern w:val="2"/>
          <w:sz w:val="16"/>
          <w:szCs w:val="16"/>
          <w14:ligatures w14:val="standardContextual"/>
        </w:rPr>
      </w:pPr>
      <w:hyperlink w:anchor="_Toc232612646" w:history="1">
        <w:r w:rsidRPr="00825198">
          <w:rPr>
            <w:rStyle w:val="Hypertextovodkaz"/>
            <w:noProof/>
            <w:sz w:val="16"/>
            <w:szCs w:val="16"/>
          </w:rPr>
          <w:t>XI.a</w:t>
        </w:r>
        <w:r w:rsidRPr="00825198">
          <w:rPr>
            <w:rFonts w:eastAsiaTheme="minorEastAsia" w:cstheme="minorBidi"/>
            <w:i w:val="0"/>
            <w:iCs w:val="0"/>
            <w:noProof/>
            <w:kern w:val="2"/>
            <w:sz w:val="16"/>
            <w:szCs w:val="16"/>
            <w14:ligatures w14:val="standardContextual"/>
          </w:rPr>
          <w:tab/>
        </w:r>
        <w:r w:rsidRPr="00825198">
          <w:rPr>
            <w:rStyle w:val="Hypertextovodkaz"/>
            <w:noProof/>
            <w:sz w:val="16"/>
            <w:szCs w:val="16"/>
          </w:rPr>
          <w:t>Vyhodnocení širších vztahů v území</w:t>
        </w:r>
        <w:r w:rsidRPr="00825198">
          <w:rPr>
            <w:noProof/>
            <w:webHidden/>
            <w:sz w:val="16"/>
            <w:szCs w:val="16"/>
          </w:rPr>
          <w:tab/>
        </w:r>
        <w:r w:rsidRPr="00825198">
          <w:rPr>
            <w:noProof/>
            <w:webHidden/>
            <w:sz w:val="16"/>
            <w:szCs w:val="16"/>
          </w:rPr>
          <w:fldChar w:fldCharType="begin"/>
        </w:r>
        <w:r w:rsidRPr="00825198">
          <w:rPr>
            <w:noProof/>
            <w:webHidden/>
            <w:sz w:val="16"/>
            <w:szCs w:val="16"/>
          </w:rPr>
          <w:instrText xml:space="preserve"> PAGEREF _Toc232612646 \h </w:instrText>
        </w:r>
        <w:r w:rsidRPr="00825198">
          <w:rPr>
            <w:noProof/>
            <w:webHidden/>
            <w:sz w:val="16"/>
            <w:szCs w:val="16"/>
          </w:rPr>
        </w:r>
        <w:r w:rsidRPr="00825198">
          <w:rPr>
            <w:noProof/>
            <w:webHidden/>
            <w:sz w:val="16"/>
            <w:szCs w:val="16"/>
          </w:rPr>
          <w:fldChar w:fldCharType="separate"/>
        </w:r>
        <w:r w:rsidR="00B23DE1">
          <w:rPr>
            <w:noProof/>
            <w:webHidden/>
            <w:sz w:val="16"/>
            <w:szCs w:val="16"/>
          </w:rPr>
          <w:t>91</w:t>
        </w:r>
        <w:r w:rsidRPr="00825198">
          <w:rPr>
            <w:noProof/>
            <w:webHidden/>
            <w:sz w:val="16"/>
            <w:szCs w:val="16"/>
          </w:rPr>
          <w:fldChar w:fldCharType="end"/>
        </w:r>
      </w:hyperlink>
    </w:p>
    <w:p w14:paraId="38D7E763" w14:textId="4C8415B3" w:rsidR="00825198" w:rsidRPr="00825198" w:rsidRDefault="00825198">
      <w:pPr>
        <w:pStyle w:val="Obsah3"/>
        <w:rPr>
          <w:rFonts w:eastAsiaTheme="minorEastAsia" w:cstheme="minorBidi"/>
          <w:noProof/>
          <w:kern w:val="2"/>
          <w:sz w:val="16"/>
          <w:szCs w:val="16"/>
          <w14:ligatures w14:val="standardContextual"/>
        </w:rPr>
      </w:pPr>
      <w:hyperlink w:anchor="_Toc232612647" w:history="1">
        <w:r w:rsidRPr="00825198">
          <w:rPr>
            <w:rStyle w:val="Hypertextovodkaz"/>
            <w:noProof/>
            <w:sz w:val="16"/>
            <w:szCs w:val="16"/>
          </w:rPr>
          <w:t>XI.a/1</w:t>
        </w:r>
        <w:r w:rsidRPr="00825198">
          <w:rPr>
            <w:rFonts w:eastAsiaTheme="minorEastAsia" w:cstheme="minorBidi"/>
            <w:noProof/>
            <w:kern w:val="2"/>
            <w:sz w:val="16"/>
            <w:szCs w:val="16"/>
            <w14:ligatures w14:val="standardContextual"/>
          </w:rPr>
          <w:tab/>
        </w:r>
        <w:r w:rsidRPr="00825198">
          <w:rPr>
            <w:rStyle w:val="Hypertextovodkaz"/>
            <w:noProof/>
            <w:sz w:val="16"/>
            <w:szCs w:val="16"/>
          </w:rPr>
          <w:t>Situování řešeného území</w:t>
        </w:r>
        <w:r w:rsidRPr="00825198">
          <w:rPr>
            <w:noProof/>
            <w:webHidden/>
            <w:sz w:val="16"/>
            <w:szCs w:val="16"/>
          </w:rPr>
          <w:tab/>
        </w:r>
        <w:r w:rsidRPr="00825198">
          <w:rPr>
            <w:noProof/>
            <w:webHidden/>
            <w:sz w:val="16"/>
            <w:szCs w:val="16"/>
          </w:rPr>
          <w:fldChar w:fldCharType="begin"/>
        </w:r>
        <w:r w:rsidRPr="00825198">
          <w:rPr>
            <w:noProof/>
            <w:webHidden/>
            <w:sz w:val="16"/>
            <w:szCs w:val="16"/>
          </w:rPr>
          <w:instrText xml:space="preserve"> PAGEREF _Toc232612647 \h </w:instrText>
        </w:r>
        <w:r w:rsidRPr="00825198">
          <w:rPr>
            <w:noProof/>
            <w:webHidden/>
            <w:sz w:val="16"/>
            <w:szCs w:val="16"/>
          </w:rPr>
        </w:r>
        <w:r w:rsidRPr="00825198">
          <w:rPr>
            <w:noProof/>
            <w:webHidden/>
            <w:sz w:val="16"/>
            <w:szCs w:val="16"/>
          </w:rPr>
          <w:fldChar w:fldCharType="separate"/>
        </w:r>
        <w:r w:rsidR="00B23DE1">
          <w:rPr>
            <w:noProof/>
            <w:webHidden/>
            <w:sz w:val="16"/>
            <w:szCs w:val="16"/>
          </w:rPr>
          <w:t>91</w:t>
        </w:r>
        <w:r w:rsidRPr="00825198">
          <w:rPr>
            <w:noProof/>
            <w:webHidden/>
            <w:sz w:val="16"/>
            <w:szCs w:val="16"/>
          </w:rPr>
          <w:fldChar w:fldCharType="end"/>
        </w:r>
      </w:hyperlink>
    </w:p>
    <w:p w14:paraId="4DD481DA" w14:textId="21D5E6F9" w:rsidR="00825198" w:rsidRPr="00825198" w:rsidRDefault="00825198">
      <w:pPr>
        <w:pStyle w:val="Obsah3"/>
        <w:rPr>
          <w:rFonts w:eastAsiaTheme="minorEastAsia" w:cstheme="minorBidi"/>
          <w:noProof/>
          <w:kern w:val="2"/>
          <w:sz w:val="16"/>
          <w:szCs w:val="16"/>
          <w14:ligatures w14:val="standardContextual"/>
        </w:rPr>
      </w:pPr>
      <w:hyperlink w:anchor="_Toc232612648" w:history="1">
        <w:r w:rsidRPr="00825198">
          <w:rPr>
            <w:rStyle w:val="Hypertextovodkaz"/>
            <w:noProof/>
            <w:sz w:val="16"/>
            <w:szCs w:val="16"/>
          </w:rPr>
          <w:t>XI.a/2</w:t>
        </w:r>
        <w:r w:rsidRPr="00825198">
          <w:rPr>
            <w:rFonts w:eastAsiaTheme="minorEastAsia" w:cstheme="minorBidi"/>
            <w:noProof/>
            <w:kern w:val="2"/>
            <w:sz w:val="16"/>
            <w:szCs w:val="16"/>
            <w14:ligatures w14:val="standardContextual"/>
          </w:rPr>
          <w:tab/>
        </w:r>
        <w:r w:rsidRPr="00825198">
          <w:rPr>
            <w:rStyle w:val="Hypertextovodkaz"/>
            <w:noProof/>
            <w:sz w:val="16"/>
            <w:szCs w:val="16"/>
          </w:rPr>
          <w:t>Místo v sídelní struktuře</w:t>
        </w:r>
        <w:r w:rsidRPr="00825198">
          <w:rPr>
            <w:noProof/>
            <w:webHidden/>
            <w:sz w:val="16"/>
            <w:szCs w:val="16"/>
          </w:rPr>
          <w:tab/>
        </w:r>
        <w:r w:rsidRPr="00825198">
          <w:rPr>
            <w:noProof/>
            <w:webHidden/>
            <w:sz w:val="16"/>
            <w:szCs w:val="16"/>
          </w:rPr>
          <w:fldChar w:fldCharType="begin"/>
        </w:r>
        <w:r w:rsidRPr="00825198">
          <w:rPr>
            <w:noProof/>
            <w:webHidden/>
            <w:sz w:val="16"/>
            <w:szCs w:val="16"/>
          </w:rPr>
          <w:instrText xml:space="preserve"> PAGEREF _Toc232612648 \h </w:instrText>
        </w:r>
        <w:r w:rsidRPr="00825198">
          <w:rPr>
            <w:noProof/>
            <w:webHidden/>
            <w:sz w:val="16"/>
            <w:szCs w:val="16"/>
          </w:rPr>
        </w:r>
        <w:r w:rsidRPr="00825198">
          <w:rPr>
            <w:noProof/>
            <w:webHidden/>
            <w:sz w:val="16"/>
            <w:szCs w:val="16"/>
          </w:rPr>
          <w:fldChar w:fldCharType="separate"/>
        </w:r>
        <w:r w:rsidR="00B23DE1">
          <w:rPr>
            <w:noProof/>
            <w:webHidden/>
            <w:sz w:val="16"/>
            <w:szCs w:val="16"/>
          </w:rPr>
          <w:t>91</w:t>
        </w:r>
        <w:r w:rsidRPr="00825198">
          <w:rPr>
            <w:noProof/>
            <w:webHidden/>
            <w:sz w:val="16"/>
            <w:szCs w:val="16"/>
          </w:rPr>
          <w:fldChar w:fldCharType="end"/>
        </w:r>
      </w:hyperlink>
    </w:p>
    <w:p w14:paraId="6C866D92" w14:textId="01450735" w:rsidR="00825198" w:rsidRPr="00825198" w:rsidRDefault="00825198">
      <w:pPr>
        <w:pStyle w:val="Obsah3"/>
        <w:rPr>
          <w:rFonts w:eastAsiaTheme="minorEastAsia" w:cstheme="minorBidi"/>
          <w:noProof/>
          <w:kern w:val="2"/>
          <w:sz w:val="16"/>
          <w:szCs w:val="16"/>
          <w14:ligatures w14:val="standardContextual"/>
        </w:rPr>
      </w:pPr>
      <w:hyperlink w:anchor="_Toc232612649" w:history="1">
        <w:r w:rsidRPr="00825198">
          <w:rPr>
            <w:rStyle w:val="Hypertextovodkaz"/>
            <w:noProof/>
            <w:sz w:val="16"/>
            <w:szCs w:val="16"/>
          </w:rPr>
          <w:t>XI.a/3</w:t>
        </w:r>
        <w:r w:rsidRPr="00825198">
          <w:rPr>
            <w:rFonts w:eastAsiaTheme="minorEastAsia" w:cstheme="minorBidi"/>
            <w:noProof/>
            <w:kern w:val="2"/>
            <w:sz w:val="16"/>
            <w:szCs w:val="16"/>
            <w14:ligatures w14:val="standardContextual"/>
          </w:rPr>
          <w:tab/>
        </w:r>
        <w:r w:rsidRPr="00825198">
          <w:rPr>
            <w:rStyle w:val="Hypertextovodkaz"/>
            <w:noProof/>
            <w:sz w:val="16"/>
            <w:szCs w:val="16"/>
          </w:rPr>
          <w:t>Komunikační vazby</w:t>
        </w:r>
        <w:r w:rsidRPr="00825198">
          <w:rPr>
            <w:noProof/>
            <w:webHidden/>
            <w:sz w:val="16"/>
            <w:szCs w:val="16"/>
          </w:rPr>
          <w:tab/>
        </w:r>
        <w:r w:rsidRPr="00825198">
          <w:rPr>
            <w:noProof/>
            <w:webHidden/>
            <w:sz w:val="16"/>
            <w:szCs w:val="16"/>
          </w:rPr>
          <w:fldChar w:fldCharType="begin"/>
        </w:r>
        <w:r w:rsidRPr="00825198">
          <w:rPr>
            <w:noProof/>
            <w:webHidden/>
            <w:sz w:val="16"/>
            <w:szCs w:val="16"/>
          </w:rPr>
          <w:instrText xml:space="preserve"> PAGEREF _Toc232612649 \h </w:instrText>
        </w:r>
        <w:r w:rsidRPr="00825198">
          <w:rPr>
            <w:noProof/>
            <w:webHidden/>
            <w:sz w:val="16"/>
            <w:szCs w:val="16"/>
          </w:rPr>
        </w:r>
        <w:r w:rsidRPr="00825198">
          <w:rPr>
            <w:noProof/>
            <w:webHidden/>
            <w:sz w:val="16"/>
            <w:szCs w:val="16"/>
          </w:rPr>
          <w:fldChar w:fldCharType="separate"/>
        </w:r>
        <w:r w:rsidR="00B23DE1">
          <w:rPr>
            <w:noProof/>
            <w:webHidden/>
            <w:sz w:val="16"/>
            <w:szCs w:val="16"/>
          </w:rPr>
          <w:t>91</w:t>
        </w:r>
        <w:r w:rsidRPr="00825198">
          <w:rPr>
            <w:noProof/>
            <w:webHidden/>
            <w:sz w:val="16"/>
            <w:szCs w:val="16"/>
          </w:rPr>
          <w:fldChar w:fldCharType="end"/>
        </w:r>
      </w:hyperlink>
    </w:p>
    <w:p w14:paraId="7C267106" w14:textId="2EF69AC6" w:rsidR="00825198" w:rsidRPr="00825198" w:rsidRDefault="00825198">
      <w:pPr>
        <w:pStyle w:val="Obsah3"/>
        <w:rPr>
          <w:rFonts w:eastAsiaTheme="minorEastAsia" w:cstheme="minorBidi"/>
          <w:noProof/>
          <w:kern w:val="2"/>
          <w:sz w:val="16"/>
          <w:szCs w:val="16"/>
          <w14:ligatures w14:val="standardContextual"/>
        </w:rPr>
      </w:pPr>
      <w:hyperlink w:anchor="_Toc232612650" w:history="1">
        <w:r w:rsidRPr="00825198">
          <w:rPr>
            <w:rStyle w:val="Hypertextovodkaz"/>
            <w:noProof/>
            <w:sz w:val="16"/>
            <w:szCs w:val="16"/>
          </w:rPr>
          <w:t>XI.a/4</w:t>
        </w:r>
        <w:r w:rsidRPr="00825198">
          <w:rPr>
            <w:rFonts w:eastAsiaTheme="minorEastAsia" w:cstheme="minorBidi"/>
            <w:noProof/>
            <w:kern w:val="2"/>
            <w:sz w:val="16"/>
            <w:szCs w:val="16"/>
            <w14:ligatures w14:val="standardContextual"/>
          </w:rPr>
          <w:tab/>
        </w:r>
        <w:r w:rsidRPr="00825198">
          <w:rPr>
            <w:rStyle w:val="Hypertextovodkaz"/>
            <w:noProof/>
            <w:sz w:val="16"/>
            <w:szCs w:val="16"/>
          </w:rPr>
          <w:t>Podněty na koordinaci se sousedními obcemi</w:t>
        </w:r>
        <w:r w:rsidRPr="00825198">
          <w:rPr>
            <w:noProof/>
            <w:webHidden/>
            <w:sz w:val="16"/>
            <w:szCs w:val="16"/>
          </w:rPr>
          <w:tab/>
        </w:r>
        <w:r w:rsidRPr="00825198">
          <w:rPr>
            <w:noProof/>
            <w:webHidden/>
            <w:sz w:val="16"/>
            <w:szCs w:val="16"/>
          </w:rPr>
          <w:fldChar w:fldCharType="begin"/>
        </w:r>
        <w:r w:rsidRPr="00825198">
          <w:rPr>
            <w:noProof/>
            <w:webHidden/>
            <w:sz w:val="16"/>
            <w:szCs w:val="16"/>
          </w:rPr>
          <w:instrText xml:space="preserve"> PAGEREF _Toc232612650 \h </w:instrText>
        </w:r>
        <w:r w:rsidRPr="00825198">
          <w:rPr>
            <w:noProof/>
            <w:webHidden/>
            <w:sz w:val="16"/>
            <w:szCs w:val="16"/>
          </w:rPr>
        </w:r>
        <w:r w:rsidRPr="00825198">
          <w:rPr>
            <w:noProof/>
            <w:webHidden/>
            <w:sz w:val="16"/>
            <w:szCs w:val="16"/>
          </w:rPr>
          <w:fldChar w:fldCharType="separate"/>
        </w:r>
        <w:r w:rsidR="00B23DE1">
          <w:rPr>
            <w:noProof/>
            <w:webHidden/>
            <w:sz w:val="16"/>
            <w:szCs w:val="16"/>
          </w:rPr>
          <w:t>91</w:t>
        </w:r>
        <w:r w:rsidRPr="00825198">
          <w:rPr>
            <w:noProof/>
            <w:webHidden/>
            <w:sz w:val="16"/>
            <w:szCs w:val="16"/>
          </w:rPr>
          <w:fldChar w:fldCharType="end"/>
        </w:r>
      </w:hyperlink>
    </w:p>
    <w:p w14:paraId="69CADE1A" w14:textId="1D07E51F" w:rsidR="00825198" w:rsidRPr="00825198" w:rsidRDefault="00825198">
      <w:pPr>
        <w:pStyle w:val="Obsah1"/>
        <w:tabs>
          <w:tab w:val="left" w:pos="540"/>
        </w:tabs>
        <w:rPr>
          <w:rFonts w:eastAsiaTheme="minorEastAsia" w:cstheme="minorBidi"/>
          <w:b w:val="0"/>
          <w:bCs w:val="0"/>
          <w:noProof/>
          <w:kern w:val="2"/>
          <w:sz w:val="16"/>
          <w:szCs w:val="16"/>
          <w14:ligatures w14:val="standardContextual"/>
        </w:rPr>
      </w:pPr>
      <w:hyperlink w:anchor="_Toc232612651" w:history="1">
        <w:r w:rsidRPr="00825198">
          <w:rPr>
            <w:rStyle w:val="Hypertextovodkaz"/>
            <w:noProof/>
            <w:sz w:val="16"/>
            <w:szCs w:val="16"/>
          </w:rPr>
          <w:t>XII</w:t>
        </w:r>
        <w:r w:rsidRPr="00825198">
          <w:rPr>
            <w:rFonts w:eastAsiaTheme="minorEastAsia" w:cstheme="minorBidi"/>
            <w:b w:val="0"/>
            <w:bCs w:val="0"/>
            <w:noProof/>
            <w:kern w:val="2"/>
            <w:sz w:val="16"/>
            <w:szCs w:val="16"/>
            <w14:ligatures w14:val="standardContextual"/>
          </w:rPr>
          <w:tab/>
        </w:r>
        <w:r w:rsidRPr="00825198">
          <w:rPr>
            <w:rStyle w:val="Hypertextovodkaz"/>
            <w:noProof/>
            <w:sz w:val="16"/>
            <w:szCs w:val="16"/>
          </w:rPr>
          <w:t>Vyhodnocení účelného využití zastavěného území a vyhodnocení potřeby vymezení zastavitelných ploch</w:t>
        </w:r>
        <w:r w:rsidRPr="00825198">
          <w:rPr>
            <w:noProof/>
            <w:webHidden/>
            <w:sz w:val="16"/>
            <w:szCs w:val="16"/>
          </w:rPr>
          <w:tab/>
        </w:r>
        <w:r w:rsidRPr="00825198">
          <w:rPr>
            <w:noProof/>
            <w:webHidden/>
            <w:sz w:val="16"/>
            <w:szCs w:val="16"/>
          </w:rPr>
          <w:fldChar w:fldCharType="begin"/>
        </w:r>
        <w:r w:rsidRPr="00825198">
          <w:rPr>
            <w:noProof/>
            <w:webHidden/>
            <w:sz w:val="16"/>
            <w:szCs w:val="16"/>
          </w:rPr>
          <w:instrText xml:space="preserve"> PAGEREF _Toc232612651 \h </w:instrText>
        </w:r>
        <w:r w:rsidRPr="00825198">
          <w:rPr>
            <w:noProof/>
            <w:webHidden/>
            <w:sz w:val="16"/>
            <w:szCs w:val="16"/>
          </w:rPr>
        </w:r>
        <w:r w:rsidRPr="00825198">
          <w:rPr>
            <w:noProof/>
            <w:webHidden/>
            <w:sz w:val="16"/>
            <w:szCs w:val="16"/>
          </w:rPr>
          <w:fldChar w:fldCharType="separate"/>
        </w:r>
        <w:r w:rsidR="00B23DE1">
          <w:rPr>
            <w:noProof/>
            <w:webHidden/>
            <w:sz w:val="16"/>
            <w:szCs w:val="16"/>
          </w:rPr>
          <w:t>92</w:t>
        </w:r>
        <w:r w:rsidRPr="00825198">
          <w:rPr>
            <w:noProof/>
            <w:webHidden/>
            <w:sz w:val="16"/>
            <w:szCs w:val="16"/>
          </w:rPr>
          <w:fldChar w:fldCharType="end"/>
        </w:r>
      </w:hyperlink>
    </w:p>
    <w:p w14:paraId="26B76D14" w14:textId="01A6BCD9" w:rsidR="00825198" w:rsidRPr="00825198" w:rsidRDefault="00825198">
      <w:pPr>
        <w:pStyle w:val="Obsah2"/>
        <w:rPr>
          <w:rFonts w:eastAsiaTheme="minorEastAsia" w:cstheme="minorBidi"/>
          <w:i w:val="0"/>
          <w:iCs w:val="0"/>
          <w:noProof/>
          <w:kern w:val="2"/>
          <w:sz w:val="16"/>
          <w:szCs w:val="16"/>
          <w14:ligatures w14:val="standardContextual"/>
        </w:rPr>
      </w:pPr>
      <w:hyperlink w:anchor="_Toc232612652" w:history="1">
        <w:r w:rsidRPr="00825198">
          <w:rPr>
            <w:rStyle w:val="Hypertextovodkaz"/>
            <w:noProof/>
            <w:sz w:val="16"/>
            <w:szCs w:val="16"/>
          </w:rPr>
          <w:t>XII.a</w:t>
        </w:r>
        <w:r w:rsidRPr="00825198">
          <w:rPr>
            <w:rFonts w:eastAsiaTheme="minorEastAsia" w:cstheme="minorBidi"/>
            <w:i w:val="0"/>
            <w:iCs w:val="0"/>
            <w:noProof/>
            <w:kern w:val="2"/>
            <w:sz w:val="16"/>
            <w:szCs w:val="16"/>
            <w14:ligatures w14:val="standardContextual"/>
          </w:rPr>
          <w:tab/>
        </w:r>
        <w:r w:rsidRPr="00825198">
          <w:rPr>
            <w:rStyle w:val="Hypertextovodkaz"/>
            <w:noProof/>
            <w:sz w:val="16"/>
            <w:szCs w:val="16"/>
          </w:rPr>
          <w:t>Vyhodnocení využití území dle Zprávy o uplatňování ÚP Hlubočky</w:t>
        </w:r>
        <w:r w:rsidRPr="00825198">
          <w:rPr>
            <w:noProof/>
            <w:webHidden/>
            <w:sz w:val="16"/>
            <w:szCs w:val="16"/>
          </w:rPr>
          <w:tab/>
        </w:r>
        <w:r w:rsidRPr="00825198">
          <w:rPr>
            <w:noProof/>
            <w:webHidden/>
            <w:sz w:val="16"/>
            <w:szCs w:val="16"/>
          </w:rPr>
          <w:fldChar w:fldCharType="begin"/>
        </w:r>
        <w:r w:rsidRPr="00825198">
          <w:rPr>
            <w:noProof/>
            <w:webHidden/>
            <w:sz w:val="16"/>
            <w:szCs w:val="16"/>
          </w:rPr>
          <w:instrText xml:space="preserve"> PAGEREF _Toc232612652 \h </w:instrText>
        </w:r>
        <w:r w:rsidRPr="00825198">
          <w:rPr>
            <w:noProof/>
            <w:webHidden/>
            <w:sz w:val="16"/>
            <w:szCs w:val="16"/>
          </w:rPr>
        </w:r>
        <w:r w:rsidRPr="00825198">
          <w:rPr>
            <w:noProof/>
            <w:webHidden/>
            <w:sz w:val="16"/>
            <w:szCs w:val="16"/>
          </w:rPr>
          <w:fldChar w:fldCharType="separate"/>
        </w:r>
        <w:r w:rsidR="00B23DE1">
          <w:rPr>
            <w:noProof/>
            <w:webHidden/>
            <w:sz w:val="16"/>
            <w:szCs w:val="16"/>
          </w:rPr>
          <w:t>92</w:t>
        </w:r>
        <w:r w:rsidRPr="00825198">
          <w:rPr>
            <w:noProof/>
            <w:webHidden/>
            <w:sz w:val="16"/>
            <w:szCs w:val="16"/>
          </w:rPr>
          <w:fldChar w:fldCharType="end"/>
        </w:r>
      </w:hyperlink>
    </w:p>
    <w:p w14:paraId="65E065BD" w14:textId="59BF5A0B" w:rsidR="00825198" w:rsidRPr="00825198" w:rsidRDefault="00825198">
      <w:pPr>
        <w:pStyle w:val="Obsah3"/>
        <w:rPr>
          <w:rFonts w:eastAsiaTheme="minorEastAsia" w:cstheme="minorBidi"/>
          <w:noProof/>
          <w:kern w:val="2"/>
          <w:sz w:val="16"/>
          <w:szCs w:val="16"/>
          <w14:ligatures w14:val="standardContextual"/>
        </w:rPr>
      </w:pPr>
      <w:hyperlink w:anchor="_Toc232612653" w:history="1">
        <w:r w:rsidRPr="00825198">
          <w:rPr>
            <w:rStyle w:val="Hypertextovodkaz"/>
            <w:noProof/>
            <w:sz w:val="16"/>
            <w:szCs w:val="16"/>
          </w:rPr>
          <w:t>XII.a/1</w:t>
        </w:r>
        <w:r w:rsidRPr="00825198">
          <w:rPr>
            <w:rFonts w:eastAsiaTheme="minorEastAsia" w:cstheme="minorBidi"/>
            <w:noProof/>
            <w:kern w:val="2"/>
            <w:sz w:val="16"/>
            <w:szCs w:val="16"/>
            <w14:ligatures w14:val="standardContextual"/>
          </w:rPr>
          <w:tab/>
        </w:r>
        <w:r w:rsidRPr="00825198">
          <w:rPr>
            <w:rStyle w:val="Hypertextovodkaz"/>
            <w:noProof/>
            <w:sz w:val="16"/>
            <w:szCs w:val="16"/>
          </w:rPr>
          <w:t>Plochy bydlení</w:t>
        </w:r>
        <w:r w:rsidRPr="00825198">
          <w:rPr>
            <w:noProof/>
            <w:webHidden/>
            <w:sz w:val="16"/>
            <w:szCs w:val="16"/>
          </w:rPr>
          <w:tab/>
        </w:r>
        <w:r w:rsidRPr="00825198">
          <w:rPr>
            <w:noProof/>
            <w:webHidden/>
            <w:sz w:val="16"/>
            <w:szCs w:val="16"/>
          </w:rPr>
          <w:fldChar w:fldCharType="begin"/>
        </w:r>
        <w:r w:rsidRPr="00825198">
          <w:rPr>
            <w:noProof/>
            <w:webHidden/>
            <w:sz w:val="16"/>
            <w:szCs w:val="16"/>
          </w:rPr>
          <w:instrText xml:space="preserve"> PAGEREF _Toc232612653 \h </w:instrText>
        </w:r>
        <w:r w:rsidRPr="00825198">
          <w:rPr>
            <w:noProof/>
            <w:webHidden/>
            <w:sz w:val="16"/>
            <w:szCs w:val="16"/>
          </w:rPr>
        </w:r>
        <w:r w:rsidRPr="00825198">
          <w:rPr>
            <w:noProof/>
            <w:webHidden/>
            <w:sz w:val="16"/>
            <w:szCs w:val="16"/>
          </w:rPr>
          <w:fldChar w:fldCharType="separate"/>
        </w:r>
        <w:r w:rsidR="00B23DE1">
          <w:rPr>
            <w:noProof/>
            <w:webHidden/>
            <w:sz w:val="16"/>
            <w:szCs w:val="16"/>
          </w:rPr>
          <w:t>92</w:t>
        </w:r>
        <w:r w:rsidRPr="00825198">
          <w:rPr>
            <w:noProof/>
            <w:webHidden/>
            <w:sz w:val="16"/>
            <w:szCs w:val="16"/>
          </w:rPr>
          <w:fldChar w:fldCharType="end"/>
        </w:r>
      </w:hyperlink>
    </w:p>
    <w:p w14:paraId="6CABFCD1" w14:textId="7B05D8E0" w:rsidR="00825198" w:rsidRPr="00825198" w:rsidRDefault="00825198">
      <w:pPr>
        <w:pStyle w:val="Obsah3"/>
        <w:rPr>
          <w:rFonts w:eastAsiaTheme="minorEastAsia" w:cstheme="minorBidi"/>
          <w:noProof/>
          <w:kern w:val="2"/>
          <w:sz w:val="16"/>
          <w:szCs w:val="16"/>
          <w14:ligatures w14:val="standardContextual"/>
        </w:rPr>
      </w:pPr>
      <w:hyperlink w:anchor="_Toc232612654" w:history="1">
        <w:r w:rsidRPr="00825198">
          <w:rPr>
            <w:rStyle w:val="Hypertextovodkaz"/>
            <w:noProof/>
            <w:sz w:val="16"/>
            <w:szCs w:val="16"/>
          </w:rPr>
          <w:t>XII.a/2</w:t>
        </w:r>
        <w:r w:rsidRPr="00825198">
          <w:rPr>
            <w:rFonts w:eastAsiaTheme="minorEastAsia" w:cstheme="minorBidi"/>
            <w:noProof/>
            <w:kern w:val="2"/>
            <w:sz w:val="16"/>
            <w:szCs w:val="16"/>
            <w14:ligatures w14:val="standardContextual"/>
          </w:rPr>
          <w:tab/>
        </w:r>
        <w:r w:rsidRPr="00825198">
          <w:rPr>
            <w:rStyle w:val="Hypertextovodkaz"/>
            <w:noProof/>
            <w:sz w:val="16"/>
            <w:szCs w:val="16"/>
          </w:rPr>
          <w:t>Plochy rekreace</w:t>
        </w:r>
        <w:r w:rsidRPr="00825198">
          <w:rPr>
            <w:noProof/>
            <w:webHidden/>
            <w:sz w:val="16"/>
            <w:szCs w:val="16"/>
          </w:rPr>
          <w:tab/>
        </w:r>
        <w:r w:rsidRPr="00825198">
          <w:rPr>
            <w:noProof/>
            <w:webHidden/>
            <w:sz w:val="16"/>
            <w:szCs w:val="16"/>
          </w:rPr>
          <w:fldChar w:fldCharType="begin"/>
        </w:r>
        <w:r w:rsidRPr="00825198">
          <w:rPr>
            <w:noProof/>
            <w:webHidden/>
            <w:sz w:val="16"/>
            <w:szCs w:val="16"/>
          </w:rPr>
          <w:instrText xml:space="preserve"> PAGEREF _Toc232612654 \h </w:instrText>
        </w:r>
        <w:r w:rsidRPr="00825198">
          <w:rPr>
            <w:noProof/>
            <w:webHidden/>
            <w:sz w:val="16"/>
            <w:szCs w:val="16"/>
          </w:rPr>
        </w:r>
        <w:r w:rsidRPr="00825198">
          <w:rPr>
            <w:noProof/>
            <w:webHidden/>
            <w:sz w:val="16"/>
            <w:szCs w:val="16"/>
          </w:rPr>
          <w:fldChar w:fldCharType="separate"/>
        </w:r>
        <w:r w:rsidR="00B23DE1">
          <w:rPr>
            <w:noProof/>
            <w:webHidden/>
            <w:sz w:val="16"/>
            <w:szCs w:val="16"/>
          </w:rPr>
          <w:t>92</w:t>
        </w:r>
        <w:r w:rsidRPr="00825198">
          <w:rPr>
            <w:noProof/>
            <w:webHidden/>
            <w:sz w:val="16"/>
            <w:szCs w:val="16"/>
          </w:rPr>
          <w:fldChar w:fldCharType="end"/>
        </w:r>
      </w:hyperlink>
    </w:p>
    <w:p w14:paraId="1D0ED31E" w14:textId="716669C1" w:rsidR="00825198" w:rsidRPr="00825198" w:rsidRDefault="00825198">
      <w:pPr>
        <w:pStyle w:val="Obsah3"/>
        <w:rPr>
          <w:rFonts w:eastAsiaTheme="minorEastAsia" w:cstheme="minorBidi"/>
          <w:noProof/>
          <w:kern w:val="2"/>
          <w:sz w:val="16"/>
          <w:szCs w:val="16"/>
          <w14:ligatures w14:val="standardContextual"/>
        </w:rPr>
      </w:pPr>
      <w:hyperlink w:anchor="_Toc232612655" w:history="1">
        <w:r w:rsidRPr="00825198">
          <w:rPr>
            <w:rStyle w:val="Hypertextovodkaz"/>
            <w:noProof/>
            <w:sz w:val="16"/>
            <w:szCs w:val="16"/>
          </w:rPr>
          <w:t>XII.a/3</w:t>
        </w:r>
        <w:r w:rsidRPr="00825198">
          <w:rPr>
            <w:rFonts w:eastAsiaTheme="minorEastAsia" w:cstheme="minorBidi"/>
            <w:noProof/>
            <w:kern w:val="2"/>
            <w:sz w:val="16"/>
            <w:szCs w:val="16"/>
            <w14:ligatures w14:val="standardContextual"/>
          </w:rPr>
          <w:tab/>
        </w:r>
        <w:r w:rsidRPr="00825198">
          <w:rPr>
            <w:rStyle w:val="Hypertextovodkaz"/>
            <w:noProof/>
            <w:sz w:val="16"/>
            <w:szCs w:val="16"/>
          </w:rPr>
          <w:t>Plochy občanského vybavení</w:t>
        </w:r>
        <w:r w:rsidRPr="00825198">
          <w:rPr>
            <w:noProof/>
            <w:webHidden/>
            <w:sz w:val="16"/>
            <w:szCs w:val="16"/>
          </w:rPr>
          <w:tab/>
        </w:r>
        <w:r w:rsidRPr="00825198">
          <w:rPr>
            <w:noProof/>
            <w:webHidden/>
            <w:sz w:val="16"/>
            <w:szCs w:val="16"/>
          </w:rPr>
          <w:fldChar w:fldCharType="begin"/>
        </w:r>
        <w:r w:rsidRPr="00825198">
          <w:rPr>
            <w:noProof/>
            <w:webHidden/>
            <w:sz w:val="16"/>
            <w:szCs w:val="16"/>
          </w:rPr>
          <w:instrText xml:space="preserve"> PAGEREF _Toc232612655 \h </w:instrText>
        </w:r>
        <w:r w:rsidRPr="00825198">
          <w:rPr>
            <w:noProof/>
            <w:webHidden/>
            <w:sz w:val="16"/>
            <w:szCs w:val="16"/>
          </w:rPr>
        </w:r>
        <w:r w:rsidRPr="00825198">
          <w:rPr>
            <w:noProof/>
            <w:webHidden/>
            <w:sz w:val="16"/>
            <w:szCs w:val="16"/>
          </w:rPr>
          <w:fldChar w:fldCharType="separate"/>
        </w:r>
        <w:r w:rsidR="00B23DE1">
          <w:rPr>
            <w:noProof/>
            <w:webHidden/>
            <w:sz w:val="16"/>
            <w:szCs w:val="16"/>
          </w:rPr>
          <w:t>92</w:t>
        </w:r>
        <w:r w:rsidRPr="00825198">
          <w:rPr>
            <w:noProof/>
            <w:webHidden/>
            <w:sz w:val="16"/>
            <w:szCs w:val="16"/>
          </w:rPr>
          <w:fldChar w:fldCharType="end"/>
        </w:r>
      </w:hyperlink>
    </w:p>
    <w:p w14:paraId="5CC5DCAB" w14:textId="2EE73B23" w:rsidR="00825198" w:rsidRPr="00825198" w:rsidRDefault="00825198">
      <w:pPr>
        <w:pStyle w:val="Obsah3"/>
        <w:rPr>
          <w:rFonts w:eastAsiaTheme="minorEastAsia" w:cstheme="minorBidi"/>
          <w:noProof/>
          <w:kern w:val="2"/>
          <w:sz w:val="16"/>
          <w:szCs w:val="16"/>
          <w14:ligatures w14:val="standardContextual"/>
        </w:rPr>
      </w:pPr>
      <w:hyperlink w:anchor="_Toc232612656" w:history="1">
        <w:r w:rsidRPr="00825198">
          <w:rPr>
            <w:rStyle w:val="Hypertextovodkaz"/>
            <w:noProof/>
            <w:sz w:val="16"/>
            <w:szCs w:val="16"/>
          </w:rPr>
          <w:t>XII.a/4</w:t>
        </w:r>
        <w:r w:rsidRPr="00825198">
          <w:rPr>
            <w:rFonts w:eastAsiaTheme="minorEastAsia" w:cstheme="minorBidi"/>
            <w:noProof/>
            <w:kern w:val="2"/>
            <w:sz w:val="16"/>
            <w:szCs w:val="16"/>
            <w14:ligatures w14:val="standardContextual"/>
          </w:rPr>
          <w:tab/>
        </w:r>
        <w:r w:rsidRPr="00825198">
          <w:rPr>
            <w:rStyle w:val="Hypertextovodkaz"/>
            <w:noProof/>
            <w:sz w:val="16"/>
            <w:szCs w:val="16"/>
          </w:rPr>
          <w:t>Plochy dopravní infrastruktury</w:t>
        </w:r>
        <w:r w:rsidRPr="00825198">
          <w:rPr>
            <w:noProof/>
            <w:webHidden/>
            <w:sz w:val="16"/>
            <w:szCs w:val="16"/>
          </w:rPr>
          <w:tab/>
        </w:r>
        <w:r w:rsidRPr="00825198">
          <w:rPr>
            <w:noProof/>
            <w:webHidden/>
            <w:sz w:val="16"/>
            <w:szCs w:val="16"/>
          </w:rPr>
          <w:fldChar w:fldCharType="begin"/>
        </w:r>
        <w:r w:rsidRPr="00825198">
          <w:rPr>
            <w:noProof/>
            <w:webHidden/>
            <w:sz w:val="16"/>
            <w:szCs w:val="16"/>
          </w:rPr>
          <w:instrText xml:space="preserve"> PAGEREF _Toc232612656 \h </w:instrText>
        </w:r>
        <w:r w:rsidRPr="00825198">
          <w:rPr>
            <w:noProof/>
            <w:webHidden/>
            <w:sz w:val="16"/>
            <w:szCs w:val="16"/>
          </w:rPr>
        </w:r>
        <w:r w:rsidRPr="00825198">
          <w:rPr>
            <w:noProof/>
            <w:webHidden/>
            <w:sz w:val="16"/>
            <w:szCs w:val="16"/>
          </w:rPr>
          <w:fldChar w:fldCharType="separate"/>
        </w:r>
        <w:r w:rsidR="00B23DE1">
          <w:rPr>
            <w:noProof/>
            <w:webHidden/>
            <w:sz w:val="16"/>
            <w:szCs w:val="16"/>
          </w:rPr>
          <w:t>92</w:t>
        </w:r>
        <w:r w:rsidRPr="00825198">
          <w:rPr>
            <w:noProof/>
            <w:webHidden/>
            <w:sz w:val="16"/>
            <w:szCs w:val="16"/>
          </w:rPr>
          <w:fldChar w:fldCharType="end"/>
        </w:r>
      </w:hyperlink>
    </w:p>
    <w:p w14:paraId="2DAF83DC" w14:textId="2C2DF49E" w:rsidR="00825198" w:rsidRPr="00825198" w:rsidRDefault="00825198">
      <w:pPr>
        <w:pStyle w:val="Obsah3"/>
        <w:rPr>
          <w:rFonts w:eastAsiaTheme="minorEastAsia" w:cstheme="minorBidi"/>
          <w:noProof/>
          <w:kern w:val="2"/>
          <w:sz w:val="16"/>
          <w:szCs w:val="16"/>
          <w14:ligatures w14:val="standardContextual"/>
        </w:rPr>
      </w:pPr>
      <w:hyperlink w:anchor="_Toc232612657" w:history="1">
        <w:r w:rsidRPr="00825198">
          <w:rPr>
            <w:rStyle w:val="Hypertextovodkaz"/>
            <w:noProof/>
            <w:sz w:val="16"/>
            <w:szCs w:val="16"/>
          </w:rPr>
          <w:t>XII.a/5</w:t>
        </w:r>
        <w:r w:rsidRPr="00825198">
          <w:rPr>
            <w:rFonts w:eastAsiaTheme="minorEastAsia" w:cstheme="minorBidi"/>
            <w:noProof/>
            <w:kern w:val="2"/>
            <w:sz w:val="16"/>
            <w:szCs w:val="16"/>
            <w14:ligatures w14:val="standardContextual"/>
          </w:rPr>
          <w:tab/>
        </w:r>
        <w:r w:rsidRPr="00825198">
          <w:rPr>
            <w:rStyle w:val="Hypertextovodkaz"/>
            <w:noProof/>
            <w:sz w:val="16"/>
            <w:szCs w:val="16"/>
          </w:rPr>
          <w:t>Plochy technické infrastruktury</w:t>
        </w:r>
        <w:r w:rsidRPr="00825198">
          <w:rPr>
            <w:noProof/>
            <w:webHidden/>
            <w:sz w:val="16"/>
            <w:szCs w:val="16"/>
          </w:rPr>
          <w:tab/>
        </w:r>
        <w:r w:rsidRPr="00825198">
          <w:rPr>
            <w:noProof/>
            <w:webHidden/>
            <w:sz w:val="16"/>
            <w:szCs w:val="16"/>
          </w:rPr>
          <w:fldChar w:fldCharType="begin"/>
        </w:r>
        <w:r w:rsidRPr="00825198">
          <w:rPr>
            <w:noProof/>
            <w:webHidden/>
            <w:sz w:val="16"/>
            <w:szCs w:val="16"/>
          </w:rPr>
          <w:instrText xml:space="preserve"> PAGEREF _Toc232612657 \h </w:instrText>
        </w:r>
        <w:r w:rsidRPr="00825198">
          <w:rPr>
            <w:noProof/>
            <w:webHidden/>
            <w:sz w:val="16"/>
            <w:szCs w:val="16"/>
          </w:rPr>
        </w:r>
        <w:r w:rsidRPr="00825198">
          <w:rPr>
            <w:noProof/>
            <w:webHidden/>
            <w:sz w:val="16"/>
            <w:szCs w:val="16"/>
          </w:rPr>
          <w:fldChar w:fldCharType="separate"/>
        </w:r>
        <w:r w:rsidR="00B23DE1">
          <w:rPr>
            <w:noProof/>
            <w:webHidden/>
            <w:sz w:val="16"/>
            <w:szCs w:val="16"/>
          </w:rPr>
          <w:t>93</w:t>
        </w:r>
        <w:r w:rsidRPr="00825198">
          <w:rPr>
            <w:noProof/>
            <w:webHidden/>
            <w:sz w:val="16"/>
            <w:szCs w:val="16"/>
          </w:rPr>
          <w:fldChar w:fldCharType="end"/>
        </w:r>
      </w:hyperlink>
    </w:p>
    <w:p w14:paraId="41624C70" w14:textId="0C8C559D" w:rsidR="00825198" w:rsidRPr="00825198" w:rsidRDefault="00825198">
      <w:pPr>
        <w:pStyle w:val="Obsah3"/>
        <w:rPr>
          <w:rFonts w:eastAsiaTheme="minorEastAsia" w:cstheme="minorBidi"/>
          <w:noProof/>
          <w:kern w:val="2"/>
          <w:sz w:val="16"/>
          <w:szCs w:val="16"/>
          <w14:ligatures w14:val="standardContextual"/>
        </w:rPr>
      </w:pPr>
      <w:hyperlink w:anchor="_Toc232612658" w:history="1">
        <w:r w:rsidRPr="00825198">
          <w:rPr>
            <w:rStyle w:val="Hypertextovodkaz"/>
            <w:noProof/>
            <w:sz w:val="16"/>
            <w:szCs w:val="16"/>
          </w:rPr>
          <w:t>XII.a/6</w:t>
        </w:r>
        <w:r w:rsidRPr="00825198">
          <w:rPr>
            <w:rFonts w:eastAsiaTheme="minorEastAsia" w:cstheme="minorBidi"/>
            <w:noProof/>
            <w:kern w:val="2"/>
            <w:sz w:val="16"/>
            <w:szCs w:val="16"/>
            <w14:ligatures w14:val="standardContextual"/>
          </w:rPr>
          <w:tab/>
        </w:r>
        <w:r w:rsidRPr="00825198">
          <w:rPr>
            <w:rStyle w:val="Hypertextovodkaz"/>
            <w:noProof/>
            <w:sz w:val="16"/>
            <w:szCs w:val="16"/>
          </w:rPr>
          <w:t>Plochy výroby a skladování</w:t>
        </w:r>
        <w:r w:rsidRPr="00825198">
          <w:rPr>
            <w:noProof/>
            <w:webHidden/>
            <w:sz w:val="16"/>
            <w:szCs w:val="16"/>
          </w:rPr>
          <w:tab/>
        </w:r>
        <w:r w:rsidRPr="00825198">
          <w:rPr>
            <w:noProof/>
            <w:webHidden/>
            <w:sz w:val="16"/>
            <w:szCs w:val="16"/>
          </w:rPr>
          <w:fldChar w:fldCharType="begin"/>
        </w:r>
        <w:r w:rsidRPr="00825198">
          <w:rPr>
            <w:noProof/>
            <w:webHidden/>
            <w:sz w:val="16"/>
            <w:szCs w:val="16"/>
          </w:rPr>
          <w:instrText xml:space="preserve"> PAGEREF _Toc232612658 \h </w:instrText>
        </w:r>
        <w:r w:rsidRPr="00825198">
          <w:rPr>
            <w:noProof/>
            <w:webHidden/>
            <w:sz w:val="16"/>
            <w:szCs w:val="16"/>
          </w:rPr>
        </w:r>
        <w:r w:rsidRPr="00825198">
          <w:rPr>
            <w:noProof/>
            <w:webHidden/>
            <w:sz w:val="16"/>
            <w:szCs w:val="16"/>
          </w:rPr>
          <w:fldChar w:fldCharType="separate"/>
        </w:r>
        <w:r w:rsidR="00B23DE1">
          <w:rPr>
            <w:noProof/>
            <w:webHidden/>
            <w:sz w:val="16"/>
            <w:szCs w:val="16"/>
          </w:rPr>
          <w:t>93</w:t>
        </w:r>
        <w:r w:rsidRPr="00825198">
          <w:rPr>
            <w:noProof/>
            <w:webHidden/>
            <w:sz w:val="16"/>
            <w:szCs w:val="16"/>
          </w:rPr>
          <w:fldChar w:fldCharType="end"/>
        </w:r>
      </w:hyperlink>
    </w:p>
    <w:p w14:paraId="731B4365" w14:textId="35B8DA93" w:rsidR="00825198" w:rsidRPr="00825198" w:rsidRDefault="00825198">
      <w:pPr>
        <w:pStyle w:val="Obsah3"/>
        <w:rPr>
          <w:rFonts w:eastAsiaTheme="minorEastAsia" w:cstheme="minorBidi"/>
          <w:noProof/>
          <w:kern w:val="2"/>
          <w:sz w:val="16"/>
          <w:szCs w:val="16"/>
          <w14:ligatures w14:val="standardContextual"/>
        </w:rPr>
      </w:pPr>
      <w:hyperlink w:anchor="_Toc232612659" w:history="1">
        <w:r w:rsidRPr="00825198">
          <w:rPr>
            <w:rStyle w:val="Hypertextovodkaz"/>
            <w:noProof/>
            <w:sz w:val="16"/>
            <w:szCs w:val="16"/>
          </w:rPr>
          <w:t>XII.a/7</w:t>
        </w:r>
        <w:r w:rsidRPr="00825198">
          <w:rPr>
            <w:rFonts w:eastAsiaTheme="minorEastAsia" w:cstheme="minorBidi"/>
            <w:noProof/>
            <w:kern w:val="2"/>
            <w:sz w:val="16"/>
            <w:szCs w:val="16"/>
            <w14:ligatures w14:val="standardContextual"/>
          </w:rPr>
          <w:tab/>
        </w:r>
        <w:r w:rsidRPr="00825198">
          <w:rPr>
            <w:rStyle w:val="Hypertextovodkaz"/>
            <w:noProof/>
            <w:sz w:val="16"/>
            <w:szCs w:val="16"/>
          </w:rPr>
          <w:t>Plochy veřejných prostranství</w:t>
        </w:r>
        <w:r w:rsidRPr="00825198">
          <w:rPr>
            <w:noProof/>
            <w:webHidden/>
            <w:sz w:val="16"/>
            <w:szCs w:val="16"/>
          </w:rPr>
          <w:tab/>
        </w:r>
        <w:r w:rsidRPr="00825198">
          <w:rPr>
            <w:noProof/>
            <w:webHidden/>
            <w:sz w:val="16"/>
            <w:szCs w:val="16"/>
          </w:rPr>
          <w:fldChar w:fldCharType="begin"/>
        </w:r>
        <w:r w:rsidRPr="00825198">
          <w:rPr>
            <w:noProof/>
            <w:webHidden/>
            <w:sz w:val="16"/>
            <w:szCs w:val="16"/>
          </w:rPr>
          <w:instrText xml:space="preserve"> PAGEREF _Toc232612659 \h </w:instrText>
        </w:r>
        <w:r w:rsidRPr="00825198">
          <w:rPr>
            <w:noProof/>
            <w:webHidden/>
            <w:sz w:val="16"/>
            <w:szCs w:val="16"/>
          </w:rPr>
        </w:r>
        <w:r w:rsidRPr="00825198">
          <w:rPr>
            <w:noProof/>
            <w:webHidden/>
            <w:sz w:val="16"/>
            <w:szCs w:val="16"/>
          </w:rPr>
          <w:fldChar w:fldCharType="separate"/>
        </w:r>
        <w:r w:rsidR="00B23DE1">
          <w:rPr>
            <w:noProof/>
            <w:webHidden/>
            <w:sz w:val="16"/>
            <w:szCs w:val="16"/>
          </w:rPr>
          <w:t>93</w:t>
        </w:r>
        <w:r w:rsidRPr="00825198">
          <w:rPr>
            <w:noProof/>
            <w:webHidden/>
            <w:sz w:val="16"/>
            <w:szCs w:val="16"/>
          </w:rPr>
          <w:fldChar w:fldCharType="end"/>
        </w:r>
      </w:hyperlink>
    </w:p>
    <w:p w14:paraId="77F56A4E" w14:textId="7250F6C7" w:rsidR="00825198" w:rsidRPr="00825198" w:rsidRDefault="00825198">
      <w:pPr>
        <w:pStyle w:val="Obsah3"/>
        <w:rPr>
          <w:rFonts w:eastAsiaTheme="minorEastAsia" w:cstheme="minorBidi"/>
          <w:noProof/>
          <w:kern w:val="2"/>
          <w:sz w:val="16"/>
          <w:szCs w:val="16"/>
          <w14:ligatures w14:val="standardContextual"/>
        </w:rPr>
      </w:pPr>
      <w:hyperlink w:anchor="_Toc232612660" w:history="1">
        <w:r w:rsidRPr="00825198">
          <w:rPr>
            <w:rStyle w:val="Hypertextovodkaz"/>
            <w:noProof/>
            <w:sz w:val="16"/>
            <w:szCs w:val="16"/>
          </w:rPr>
          <w:t>XII.a/8</w:t>
        </w:r>
        <w:r w:rsidRPr="00825198">
          <w:rPr>
            <w:rFonts w:eastAsiaTheme="minorEastAsia" w:cstheme="minorBidi"/>
            <w:noProof/>
            <w:kern w:val="2"/>
            <w:sz w:val="16"/>
            <w:szCs w:val="16"/>
            <w14:ligatures w14:val="standardContextual"/>
          </w:rPr>
          <w:tab/>
        </w:r>
        <w:r w:rsidRPr="00825198">
          <w:rPr>
            <w:rStyle w:val="Hypertextovodkaz"/>
            <w:noProof/>
            <w:sz w:val="16"/>
            <w:szCs w:val="16"/>
          </w:rPr>
          <w:t>Plochy vodní a vodohospodářské</w:t>
        </w:r>
        <w:r w:rsidRPr="00825198">
          <w:rPr>
            <w:noProof/>
            <w:webHidden/>
            <w:sz w:val="16"/>
            <w:szCs w:val="16"/>
          </w:rPr>
          <w:tab/>
        </w:r>
        <w:r w:rsidRPr="00825198">
          <w:rPr>
            <w:noProof/>
            <w:webHidden/>
            <w:sz w:val="16"/>
            <w:szCs w:val="16"/>
          </w:rPr>
          <w:fldChar w:fldCharType="begin"/>
        </w:r>
        <w:r w:rsidRPr="00825198">
          <w:rPr>
            <w:noProof/>
            <w:webHidden/>
            <w:sz w:val="16"/>
            <w:szCs w:val="16"/>
          </w:rPr>
          <w:instrText xml:space="preserve"> PAGEREF _Toc232612660 \h </w:instrText>
        </w:r>
        <w:r w:rsidRPr="00825198">
          <w:rPr>
            <w:noProof/>
            <w:webHidden/>
            <w:sz w:val="16"/>
            <w:szCs w:val="16"/>
          </w:rPr>
        </w:r>
        <w:r w:rsidRPr="00825198">
          <w:rPr>
            <w:noProof/>
            <w:webHidden/>
            <w:sz w:val="16"/>
            <w:szCs w:val="16"/>
          </w:rPr>
          <w:fldChar w:fldCharType="separate"/>
        </w:r>
        <w:r w:rsidR="00B23DE1">
          <w:rPr>
            <w:noProof/>
            <w:webHidden/>
            <w:sz w:val="16"/>
            <w:szCs w:val="16"/>
          </w:rPr>
          <w:t>93</w:t>
        </w:r>
        <w:r w:rsidRPr="00825198">
          <w:rPr>
            <w:noProof/>
            <w:webHidden/>
            <w:sz w:val="16"/>
            <w:szCs w:val="16"/>
          </w:rPr>
          <w:fldChar w:fldCharType="end"/>
        </w:r>
      </w:hyperlink>
    </w:p>
    <w:p w14:paraId="1CFC32D7" w14:textId="642C1F5A" w:rsidR="00825198" w:rsidRPr="00825198" w:rsidRDefault="00825198">
      <w:pPr>
        <w:pStyle w:val="Obsah3"/>
        <w:rPr>
          <w:rFonts w:eastAsiaTheme="minorEastAsia" w:cstheme="minorBidi"/>
          <w:noProof/>
          <w:kern w:val="2"/>
          <w:sz w:val="16"/>
          <w:szCs w:val="16"/>
          <w14:ligatures w14:val="standardContextual"/>
        </w:rPr>
      </w:pPr>
      <w:hyperlink w:anchor="_Toc232612661" w:history="1">
        <w:r w:rsidRPr="00825198">
          <w:rPr>
            <w:rStyle w:val="Hypertextovodkaz"/>
            <w:noProof/>
            <w:sz w:val="16"/>
            <w:szCs w:val="16"/>
          </w:rPr>
          <w:t>XII.a/9</w:t>
        </w:r>
        <w:r w:rsidRPr="00825198">
          <w:rPr>
            <w:rFonts w:eastAsiaTheme="minorEastAsia" w:cstheme="minorBidi"/>
            <w:noProof/>
            <w:kern w:val="2"/>
            <w:sz w:val="16"/>
            <w:szCs w:val="16"/>
            <w14:ligatures w14:val="standardContextual"/>
          </w:rPr>
          <w:tab/>
        </w:r>
        <w:r w:rsidRPr="00825198">
          <w:rPr>
            <w:rStyle w:val="Hypertextovodkaz"/>
            <w:noProof/>
            <w:sz w:val="16"/>
            <w:szCs w:val="16"/>
          </w:rPr>
          <w:t>Plochy ostatní v krajině</w:t>
        </w:r>
        <w:r w:rsidRPr="00825198">
          <w:rPr>
            <w:noProof/>
            <w:webHidden/>
            <w:sz w:val="16"/>
            <w:szCs w:val="16"/>
          </w:rPr>
          <w:tab/>
        </w:r>
        <w:r w:rsidRPr="00825198">
          <w:rPr>
            <w:noProof/>
            <w:webHidden/>
            <w:sz w:val="16"/>
            <w:szCs w:val="16"/>
          </w:rPr>
          <w:fldChar w:fldCharType="begin"/>
        </w:r>
        <w:r w:rsidRPr="00825198">
          <w:rPr>
            <w:noProof/>
            <w:webHidden/>
            <w:sz w:val="16"/>
            <w:szCs w:val="16"/>
          </w:rPr>
          <w:instrText xml:space="preserve"> PAGEREF _Toc232612661 \h </w:instrText>
        </w:r>
        <w:r w:rsidRPr="00825198">
          <w:rPr>
            <w:noProof/>
            <w:webHidden/>
            <w:sz w:val="16"/>
            <w:szCs w:val="16"/>
          </w:rPr>
        </w:r>
        <w:r w:rsidRPr="00825198">
          <w:rPr>
            <w:noProof/>
            <w:webHidden/>
            <w:sz w:val="16"/>
            <w:szCs w:val="16"/>
          </w:rPr>
          <w:fldChar w:fldCharType="separate"/>
        </w:r>
        <w:r w:rsidR="00B23DE1">
          <w:rPr>
            <w:noProof/>
            <w:webHidden/>
            <w:sz w:val="16"/>
            <w:szCs w:val="16"/>
          </w:rPr>
          <w:t>93</w:t>
        </w:r>
        <w:r w:rsidRPr="00825198">
          <w:rPr>
            <w:noProof/>
            <w:webHidden/>
            <w:sz w:val="16"/>
            <w:szCs w:val="16"/>
          </w:rPr>
          <w:fldChar w:fldCharType="end"/>
        </w:r>
      </w:hyperlink>
    </w:p>
    <w:p w14:paraId="1237295E" w14:textId="3700CE50" w:rsidR="00825198" w:rsidRPr="00825198" w:rsidRDefault="00825198">
      <w:pPr>
        <w:pStyle w:val="Obsah2"/>
        <w:rPr>
          <w:rFonts w:eastAsiaTheme="minorEastAsia" w:cstheme="minorBidi"/>
          <w:i w:val="0"/>
          <w:iCs w:val="0"/>
          <w:noProof/>
          <w:kern w:val="2"/>
          <w:sz w:val="16"/>
          <w:szCs w:val="16"/>
          <w14:ligatures w14:val="standardContextual"/>
        </w:rPr>
      </w:pPr>
      <w:hyperlink w:anchor="_Toc232612662" w:history="1">
        <w:r w:rsidRPr="00825198">
          <w:rPr>
            <w:rStyle w:val="Hypertextovodkaz"/>
            <w:noProof/>
            <w:sz w:val="16"/>
            <w:szCs w:val="16"/>
          </w:rPr>
          <w:t>XII.b</w:t>
        </w:r>
        <w:r w:rsidRPr="00825198">
          <w:rPr>
            <w:rFonts w:eastAsiaTheme="minorEastAsia" w:cstheme="minorBidi"/>
            <w:i w:val="0"/>
            <w:iCs w:val="0"/>
            <w:noProof/>
            <w:kern w:val="2"/>
            <w:sz w:val="16"/>
            <w:szCs w:val="16"/>
            <w14:ligatures w14:val="standardContextual"/>
          </w:rPr>
          <w:tab/>
        </w:r>
        <w:r w:rsidRPr="00825198">
          <w:rPr>
            <w:rStyle w:val="Hypertextovodkaz"/>
            <w:noProof/>
            <w:sz w:val="16"/>
            <w:szCs w:val="16"/>
          </w:rPr>
          <w:t>Východiska</w:t>
        </w:r>
        <w:r w:rsidRPr="00825198">
          <w:rPr>
            <w:noProof/>
            <w:webHidden/>
            <w:sz w:val="16"/>
            <w:szCs w:val="16"/>
          </w:rPr>
          <w:tab/>
        </w:r>
        <w:r w:rsidRPr="00825198">
          <w:rPr>
            <w:noProof/>
            <w:webHidden/>
            <w:sz w:val="16"/>
            <w:szCs w:val="16"/>
          </w:rPr>
          <w:fldChar w:fldCharType="begin"/>
        </w:r>
        <w:r w:rsidRPr="00825198">
          <w:rPr>
            <w:noProof/>
            <w:webHidden/>
            <w:sz w:val="16"/>
            <w:szCs w:val="16"/>
          </w:rPr>
          <w:instrText xml:space="preserve"> PAGEREF _Toc232612662 \h </w:instrText>
        </w:r>
        <w:r w:rsidRPr="00825198">
          <w:rPr>
            <w:noProof/>
            <w:webHidden/>
            <w:sz w:val="16"/>
            <w:szCs w:val="16"/>
          </w:rPr>
        </w:r>
        <w:r w:rsidRPr="00825198">
          <w:rPr>
            <w:noProof/>
            <w:webHidden/>
            <w:sz w:val="16"/>
            <w:szCs w:val="16"/>
          </w:rPr>
          <w:fldChar w:fldCharType="separate"/>
        </w:r>
        <w:r w:rsidR="00B23DE1">
          <w:rPr>
            <w:noProof/>
            <w:webHidden/>
            <w:sz w:val="16"/>
            <w:szCs w:val="16"/>
          </w:rPr>
          <w:t>94</w:t>
        </w:r>
        <w:r w:rsidRPr="00825198">
          <w:rPr>
            <w:noProof/>
            <w:webHidden/>
            <w:sz w:val="16"/>
            <w:szCs w:val="16"/>
          </w:rPr>
          <w:fldChar w:fldCharType="end"/>
        </w:r>
      </w:hyperlink>
    </w:p>
    <w:p w14:paraId="693AA4A8" w14:textId="1C01937B" w:rsidR="00825198" w:rsidRPr="00825198" w:rsidRDefault="00825198">
      <w:pPr>
        <w:pStyle w:val="Obsah3"/>
        <w:rPr>
          <w:rFonts w:eastAsiaTheme="minorEastAsia" w:cstheme="minorBidi"/>
          <w:noProof/>
          <w:kern w:val="2"/>
          <w:sz w:val="16"/>
          <w:szCs w:val="16"/>
          <w14:ligatures w14:val="standardContextual"/>
        </w:rPr>
      </w:pPr>
      <w:hyperlink w:anchor="_Toc232612663" w:history="1">
        <w:r w:rsidRPr="00825198">
          <w:rPr>
            <w:rStyle w:val="Hypertextovodkaz"/>
            <w:noProof/>
            <w:sz w:val="16"/>
            <w:szCs w:val="16"/>
          </w:rPr>
          <w:t>XII.b/1</w:t>
        </w:r>
        <w:r w:rsidRPr="00825198">
          <w:rPr>
            <w:rFonts w:eastAsiaTheme="minorEastAsia" w:cstheme="minorBidi"/>
            <w:noProof/>
            <w:kern w:val="2"/>
            <w:sz w:val="16"/>
            <w:szCs w:val="16"/>
            <w14:ligatures w14:val="standardContextual"/>
          </w:rPr>
          <w:tab/>
        </w:r>
        <w:r w:rsidRPr="00825198">
          <w:rPr>
            <w:rStyle w:val="Hypertextovodkaz"/>
            <w:noProof/>
            <w:sz w:val="16"/>
            <w:szCs w:val="16"/>
          </w:rPr>
          <w:t>Sociodemografické podmínky</w:t>
        </w:r>
        <w:r w:rsidRPr="00825198">
          <w:rPr>
            <w:noProof/>
            <w:webHidden/>
            <w:sz w:val="16"/>
            <w:szCs w:val="16"/>
          </w:rPr>
          <w:tab/>
        </w:r>
        <w:r w:rsidRPr="00825198">
          <w:rPr>
            <w:noProof/>
            <w:webHidden/>
            <w:sz w:val="16"/>
            <w:szCs w:val="16"/>
          </w:rPr>
          <w:fldChar w:fldCharType="begin"/>
        </w:r>
        <w:r w:rsidRPr="00825198">
          <w:rPr>
            <w:noProof/>
            <w:webHidden/>
            <w:sz w:val="16"/>
            <w:szCs w:val="16"/>
          </w:rPr>
          <w:instrText xml:space="preserve"> PAGEREF _Toc232612663 \h </w:instrText>
        </w:r>
        <w:r w:rsidRPr="00825198">
          <w:rPr>
            <w:noProof/>
            <w:webHidden/>
            <w:sz w:val="16"/>
            <w:szCs w:val="16"/>
          </w:rPr>
        </w:r>
        <w:r w:rsidRPr="00825198">
          <w:rPr>
            <w:noProof/>
            <w:webHidden/>
            <w:sz w:val="16"/>
            <w:szCs w:val="16"/>
          </w:rPr>
          <w:fldChar w:fldCharType="separate"/>
        </w:r>
        <w:r w:rsidR="00B23DE1">
          <w:rPr>
            <w:noProof/>
            <w:webHidden/>
            <w:sz w:val="16"/>
            <w:szCs w:val="16"/>
          </w:rPr>
          <w:t>94</w:t>
        </w:r>
        <w:r w:rsidRPr="00825198">
          <w:rPr>
            <w:noProof/>
            <w:webHidden/>
            <w:sz w:val="16"/>
            <w:szCs w:val="16"/>
          </w:rPr>
          <w:fldChar w:fldCharType="end"/>
        </w:r>
      </w:hyperlink>
    </w:p>
    <w:p w14:paraId="09CBB300" w14:textId="6B4DF7BE" w:rsidR="00825198" w:rsidRPr="00825198" w:rsidRDefault="00825198">
      <w:pPr>
        <w:pStyle w:val="Obsah3"/>
        <w:rPr>
          <w:rFonts w:eastAsiaTheme="minorEastAsia" w:cstheme="minorBidi"/>
          <w:noProof/>
          <w:kern w:val="2"/>
          <w:sz w:val="16"/>
          <w:szCs w:val="16"/>
          <w14:ligatures w14:val="standardContextual"/>
        </w:rPr>
      </w:pPr>
      <w:hyperlink w:anchor="_Toc232612664" w:history="1">
        <w:r w:rsidRPr="00825198">
          <w:rPr>
            <w:rStyle w:val="Hypertextovodkaz"/>
            <w:noProof/>
            <w:sz w:val="16"/>
            <w:szCs w:val="16"/>
          </w:rPr>
          <w:t>XII.b/2</w:t>
        </w:r>
        <w:r w:rsidRPr="00825198">
          <w:rPr>
            <w:rFonts w:eastAsiaTheme="minorEastAsia" w:cstheme="minorBidi"/>
            <w:noProof/>
            <w:kern w:val="2"/>
            <w:sz w:val="16"/>
            <w:szCs w:val="16"/>
            <w14:ligatures w14:val="standardContextual"/>
          </w:rPr>
          <w:tab/>
        </w:r>
        <w:r w:rsidRPr="00825198">
          <w:rPr>
            <w:rStyle w:val="Hypertextovodkaz"/>
            <w:noProof/>
            <w:sz w:val="16"/>
            <w:szCs w:val="16"/>
          </w:rPr>
          <w:t>Bydlení</w:t>
        </w:r>
        <w:r w:rsidRPr="00825198">
          <w:rPr>
            <w:noProof/>
            <w:webHidden/>
            <w:sz w:val="16"/>
            <w:szCs w:val="16"/>
          </w:rPr>
          <w:tab/>
        </w:r>
        <w:r w:rsidRPr="00825198">
          <w:rPr>
            <w:noProof/>
            <w:webHidden/>
            <w:sz w:val="16"/>
            <w:szCs w:val="16"/>
          </w:rPr>
          <w:fldChar w:fldCharType="begin"/>
        </w:r>
        <w:r w:rsidRPr="00825198">
          <w:rPr>
            <w:noProof/>
            <w:webHidden/>
            <w:sz w:val="16"/>
            <w:szCs w:val="16"/>
          </w:rPr>
          <w:instrText xml:space="preserve"> PAGEREF _Toc232612664 \h </w:instrText>
        </w:r>
        <w:r w:rsidRPr="00825198">
          <w:rPr>
            <w:noProof/>
            <w:webHidden/>
            <w:sz w:val="16"/>
            <w:szCs w:val="16"/>
          </w:rPr>
        </w:r>
        <w:r w:rsidRPr="00825198">
          <w:rPr>
            <w:noProof/>
            <w:webHidden/>
            <w:sz w:val="16"/>
            <w:szCs w:val="16"/>
          </w:rPr>
          <w:fldChar w:fldCharType="separate"/>
        </w:r>
        <w:r w:rsidR="00B23DE1">
          <w:rPr>
            <w:noProof/>
            <w:webHidden/>
            <w:sz w:val="16"/>
            <w:szCs w:val="16"/>
          </w:rPr>
          <w:t>95</w:t>
        </w:r>
        <w:r w:rsidRPr="00825198">
          <w:rPr>
            <w:noProof/>
            <w:webHidden/>
            <w:sz w:val="16"/>
            <w:szCs w:val="16"/>
          </w:rPr>
          <w:fldChar w:fldCharType="end"/>
        </w:r>
      </w:hyperlink>
    </w:p>
    <w:p w14:paraId="669EC50A" w14:textId="3544B9B8" w:rsidR="00825198" w:rsidRPr="00825198" w:rsidRDefault="00825198">
      <w:pPr>
        <w:pStyle w:val="Obsah3"/>
        <w:rPr>
          <w:rFonts w:eastAsiaTheme="minorEastAsia" w:cstheme="minorBidi"/>
          <w:noProof/>
          <w:kern w:val="2"/>
          <w:sz w:val="16"/>
          <w:szCs w:val="16"/>
          <w14:ligatures w14:val="standardContextual"/>
        </w:rPr>
      </w:pPr>
      <w:hyperlink w:anchor="_Toc232612665" w:history="1">
        <w:r w:rsidRPr="00825198">
          <w:rPr>
            <w:rStyle w:val="Hypertextovodkaz"/>
            <w:noProof/>
            <w:sz w:val="16"/>
            <w:szCs w:val="16"/>
          </w:rPr>
          <w:t>XII.b/3</w:t>
        </w:r>
        <w:r w:rsidRPr="00825198">
          <w:rPr>
            <w:rFonts w:eastAsiaTheme="minorEastAsia" w:cstheme="minorBidi"/>
            <w:noProof/>
            <w:kern w:val="2"/>
            <w:sz w:val="16"/>
            <w:szCs w:val="16"/>
            <w14:ligatures w14:val="standardContextual"/>
          </w:rPr>
          <w:tab/>
        </w:r>
        <w:r w:rsidRPr="00825198">
          <w:rPr>
            <w:rStyle w:val="Hypertextovodkaz"/>
            <w:noProof/>
            <w:sz w:val="16"/>
            <w:szCs w:val="16"/>
          </w:rPr>
          <w:t>Hospodářské podmínky</w:t>
        </w:r>
        <w:r w:rsidRPr="00825198">
          <w:rPr>
            <w:noProof/>
            <w:webHidden/>
            <w:sz w:val="16"/>
            <w:szCs w:val="16"/>
          </w:rPr>
          <w:tab/>
        </w:r>
        <w:r w:rsidRPr="00825198">
          <w:rPr>
            <w:noProof/>
            <w:webHidden/>
            <w:sz w:val="16"/>
            <w:szCs w:val="16"/>
          </w:rPr>
          <w:fldChar w:fldCharType="begin"/>
        </w:r>
        <w:r w:rsidRPr="00825198">
          <w:rPr>
            <w:noProof/>
            <w:webHidden/>
            <w:sz w:val="16"/>
            <w:szCs w:val="16"/>
          </w:rPr>
          <w:instrText xml:space="preserve"> PAGEREF _Toc232612665 \h </w:instrText>
        </w:r>
        <w:r w:rsidRPr="00825198">
          <w:rPr>
            <w:noProof/>
            <w:webHidden/>
            <w:sz w:val="16"/>
            <w:szCs w:val="16"/>
          </w:rPr>
        </w:r>
        <w:r w:rsidRPr="00825198">
          <w:rPr>
            <w:noProof/>
            <w:webHidden/>
            <w:sz w:val="16"/>
            <w:szCs w:val="16"/>
          </w:rPr>
          <w:fldChar w:fldCharType="separate"/>
        </w:r>
        <w:r w:rsidR="00B23DE1">
          <w:rPr>
            <w:noProof/>
            <w:webHidden/>
            <w:sz w:val="16"/>
            <w:szCs w:val="16"/>
          </w:rPr>
          <w:t>96</w:t>
        </w:r>
        <w:r w:rsidRPr="00825198">
          <w:rPr>
            <w:noProof/>
            <w:webHidden/>
            <w:sz w:val="16"/>
            <w:szCs w:val="16"/>
          </w:rPr>
          <w:fldChar w:fldCharType="end"/>
        </w:r>
      </w:hyperlink>
    </w:p>
    <w:p w14:paraId="73F9F9C1" w14:textId="0CED44D5" w:rsidR="00825198" w:rsidRPr="00825198" w:rsidRDefault="00825198">
      <w:pPr>
        <w:pStyle w:val="Obsah3"/>
        <w:rPr>
          <w:rFonts w:eastAsiaTheme="minorEastAsia" w:cstheme="minorBidi"/>
          <w:noProof/>
          <w:kern w:val="2"/>
          <w:sz w:val="16"/>
          <w:szCs w:val="16"/>
          <w14:ligatures w14:val="standardContextual"/>
        </w:rPr>
      </w:pPr>
      <w:hyperlink w:anchor="_Toc232612666" w:history="1">
        <w:r w:rsidRPr="00825198">
          <w:rPr>
            <w:rStyle w:val="Hypertextovodkaz"/>
            <w:noProof/>
            <w:sz w:val="16"/>
            <w:szCs w:val="16"/>
          </w:rPr>
          <w:t>XII.b/4</w:t>
        </w:r>
        <w:r w:rsidRPr="00825198">
          <w:rPr>
            <w:rFonts w:eastAsiaTheme="minorEastAsia" w:cstheme="minorBidi"/>
            <w:noProof/>
            <w:kern w:val="2"/>
            <w:sz w:val="16"/>
            <w:szCs w:val="16"/>
            <w14:ligatures w14:val="standardContextual"/>
          </w:rPr>
          <w:tab/>
        </w:r>
        <w:r w:rsidRPr="00825198">
          <w:rPr>
            <w:rStyle w:val="Hypertextovodkaz"/>
            <w:noProof/>
            <w:sz w:val="16"/>
            <w:szCs w:val="16"/>
          </w:rPr>
          <w:t>Využití zastavěného území</w:t>
        </w:r>
        <w:r w:rsidRPr="00825198">
          <w:rPr>
            <w:noProof/>
            <w:webHidden/>
            <w:sz w:val="16"/>
            <w:szCs w:val="16"/>
          </w:rPr>
          <w:tab/>
        </w:r>
        <w:r w:rsidRPr="00825198">
          <w:rPr>
            <w:noProof/>
            <w:webHidden/>
            <w:sz w:val="16"/>
            <w:szCs w:val="16"/>
          </w:rPr>
          <w:fldChar w:fldCharType="begin"/>
        </w:r>
        <w:r w:rsidRPr="00825198">
          <w:rPr>
            <w:noProof/>
            <w:webHidden/>
            <w:sz w:val="16"/>
            <w:szCs w:val="16"/>
          </w:rPr>
          <w:instrText xml:space="preserve"> PAGEREF _Toc232612666 \h </w:instrText>
        </w:r>
        <w:r w:rsidRPr="00825198">
          <w:rPr>
            <w:noProof/>
            <w:webHidden/>
            <w:sz w:val="16"/>
            <w:szCs w:val="16"/>
          </w:rPr>
        </w:r>
        <w:r w:rsidRPr="00825198">
          <w:rPr>
            <w:noProof/>
            <w:webHidden/>
            <w:sz w:val="16"/>
            <w:szCs w:val="16"/>
          </w:rPr>
          <w:fldChar w:fldCharType="separate"/>
        </w:r>
        <w:r w:rsidR="00B23DE1">
          <w:rPr>
            <w:noProof/>
            <w:webHidden/>
            <w:sz w:val="16"/>
            <w:szCs w:val="16"/>
          </w:rPr>
          <w:t>98</w:t>
        </w:r>
        <w:r w:rsidRPr="00825198">
          <w:rPr>
            <w:noProof/>
            <w:webHidden/>
            <w:sz w:val="16"/>
            <w:szCs w:val="16"/>
          </w:rPr>
          <w:fldChar w:fldCharType="end"/>
        </w:r>
      </w:hyperlink>
    </w:p>
    <w:p w14:paraId="57EF5B3F" w14:textId="25C5DF35" w:rsidR="00825198" w:rsidRPr="00825198" w:rsidRDefault="00825198">
      <w:pPr>
        <w:pStyle w:val="Obsah2"/>
        <w:rPr>
          <w:rFonts w:eastAsiaTheme="minorEastAsia" w:cstheme="minorBidi"/>
          <w:i w:val="0"/>
          <w:iCs w:val="0"/>
          <w:noProof/>
          <w:kern w:val="2"/>
          <w:sz w:val="16"/>
          <w:szCs w:val="16"/>
          <w14:ligatures w14:val="standardContextual"/>
        </w:rPr>
      </w:pPr>
      <w:hyperlink w:anchor="_Toc232612667" w:history="1">
        <w:r w:rsidRPr="00825198">
          <w:rPr>
            <w:rStyle w:val="Hypertextovodkaz"/>
            <w:noProof/>
            <w:sz w:val="16"/>
            <w:szCs w:val="16"/>
          </w:rPr>
          <w:t>XII.c</w:t>
        </w:r>
        <w:r w:rsidRPr="00825198">
          <w:rPr>
            <w:rFonts w:eastAsiaTheme="minorEastAsia" w:cstheme="minorBidi"/>
            <w:i w:val="0"/>
            <w:iCs w:val="0"/>
            <w:noProof/>
            <w:kern w:val="2"/>
            <w:sz w:val="16"/>
            <w:szCs w:val="16"/>
            <w14:ligatures w14:val="standardContextual"/>
          </w:rPr>
          <w:tab/>
        </w:r>
        <w:r w:rsidRPr="00825198">
          <w:rPr>
            <w:rStyle w:val="Hypertextovodkaz"/>
            <w:noProof/>
            <w:sz w:val="16"/>
            <w:szCs w:val="16"/>
          </w:rPr>
          <w:t>Vyhodnocení</w:t>
        </w:r>
        <w:r w:rsidRPr="00825198">
          <w:rPr>
            <w:noProof/>
            <w:webHidden/>
            <w:sz w:val="16"/>
            <w:szCs w:val="16"/>
          </w:rPr>
          <w:tab/>
        </w:r>
        <w:r w:rsidRPr="00825198">
          <w:rPr>
            <w:noProof/>
            <w:webHidden/>
            <w:sz w:val="16"/>
            <w:szCs w:val="16"/>
          </w:rPr>
          <w:fldChar w:fldCharType="begin"/>
        </w:r>
        <w:r w:rsidRPr="00825198">
          <w:rPr>
            <w:noProof/>
            <w:webHidden/>
            <w:sz w:val="16"/>
            <w:szCs w:val="16"/>
          </w:rPr>
          <w:instrText xml:space="preserve"> PAGEREF _Toc232612667 \h </w:instrText>
        </w:r>
        <w:r w:rsidRPr="00825198">
          <w:rPr>
            <w:noProof/>
            <w:webHidden/>
            <w:sz w:val="16"/>
            <w:szCs w:val="16"/>
          </w:rPr>
        </w:r>
        <w:r w:rsidRPr="00825198">
          <w:rPr>
            <w:noProof/>
            <w:webHidden/>
            <w:sz w:val="16"/>
            <w:szCs w:val="16"/>
          </w:rPr>
          <w:fldChar w:fldCharType="separate"/>
        </w:r>
        <w:r w:rsidR="00B23DE1">
          <w:rPr>
            <w:noProof/>
            <w:webHidden/>
            <w:sz w:val="16"/>
            <w:szCs w:val="16"/>
          </w:rPr>
          <w:t>99</w:t>
        </w:r>
        <w:r w:rsidRPr="00825198">
          <w:rPr>
            <w:noProof/>
            <w:webHidden/>
            <w:sz w:val="16"/>
            <w:szCs w:val="16"/>
          </w:rPr>
          <w:fldChar w:fldCharType="end"/>
        </w:r>
      </w:hyperlink>
    </w:p>
    <w:p w14:paraId="148C5CBA" w14:textId="264965B2" w:rsidR="00825198" w:rsidRPr="00825198" w:rsidRDefault="00825198">
      <w:pPr>
        <w:pStyle w:val="Obsah3"/>
        <w:rPr>
          <w:rFonts w:eastAsiaTheme="minorEastAsia" w:cstheme="minorBidi"/>
          <w:noProof/>
          <w:kern w:val="2"/>
          <w:sz w:val="16"/>
          <w:szCs w:val="16"/>
          <w14:ligatures w14:val="standardContextual"/>
        </w:rPr>
      </w:pPr>
      <w:hyperlink w:anchor="_Toc232612668" w:history="1">
        <w:r w:rsidRPr="00825198">
          <w:rPr>
            <w:rStyle w:val="Hypertextovodkaz"/>
            <w:noProof/>
            <w:sz w:val="16"/>
            <w:szCs w:val="16"/>
          </w:rPr>
          <w:t>XII.c/1</w:t>
        </w:r>
        <w:r w:rsidRPr="00825198">
          <w:rPr>
            <w:rFonts w:eastAsiaTheme="minorEastAsia" w:cstheme="minorBidi"/>
            <w:noProof/>
            <w:kern w:val="2"/>
            <w:sz w:val="16"/>
            <w:szCs w:val="16"/>
            <w14:ligatures w14:val="standardContextual"/>
          </w:rPr>
          <w:tab/>
        </w:r>
        <w:r w:rsidRPr="00825198">
          <w:rPr>
            <w:rStyle w:val="Hypertextovodkaz"/>
            <w:noProof/>
            <w:sz w:val="16"/>
            <w:szCs w:val="16"/>
          </w:rPr>
          <w:t>Vyhodnocení potřeby zastavitelných ploch pro bydlení</w:t>
        </w:r>
        <w:r w:rsidRPr="00825198">
          <w:rPr>
            <w:noProof/>
            <w:webHidden/>
            <w:sz w:val="16"/>
            <w:szCs w:val="16"/>
          </w:rPr>
          <w:tab/>
        </w:r>
        <w:r w:rsidRPr="00825198">
          <w:rPr>
            <w:noProof/>
            <w:webHidden/>
            <w:sz w:val="16"/>
            <w:szCs w:val="16"/>
          </w:rPr>
          <w:fldChar w:fldCharType="begin"/>
        </w:r>
        <w:r w:rsidRPr="00825198">
          <w:rPr>
            <w:noProof/>
            <w:webHidden/>
            <w:sz w:val="16"/>
            <w:szCs w:val="16"/>
          </w:rPr>
          <w:instrText xml:space="preserve"> PAGEREF _Toc232612668 \h </w:instrText>
        </w:r>
        <w:r w:rsidRPr="00825198">
          <w:rPr>
            <w:noProof/>
            <w:webHidden/>
            <w:sz w:val="16"/>
            <w:szCs w:val="16"/>
          </w:rPr>
        </w:r>
        <w:r w:rsidRPr="00825198">
          <w:rPr>
            <w:noProof/>
            <w:webHidden/>
            <w:sz w:val="16"/>
            <w:szCs w:val="16"/>
          </w:rPr>
          <w:fldChar w:fldCharType="separate"/>
        </w:r>
        <w:r w:rsidR="00B23DE1">
          <w:rPr>
            <w:noProof/>
            <w:webHidden/>
            <w:sz w:val="16"/>
            <w:szCs w:val="16"/>
          </w:rPr>
          <w:t>99</w:t>
        </w:r>
        <w:r w:rsidRPr="00825198">
          <w:rPr>
            <w:noProof/>
            <w:webHidden/>
            <w:sz w:val="16"/>
            <w:szCs w:val="16"/>
          </w:rPr>
          <w:fldChar w:fldCharType="end"/>
        </w:r>
      </w:hyperlink>
    </w:p>
    <w:p w14:paraId="67CE0111" w14:textId="6D1329C1" w:rsidR="00825198" w:rsidRPr="00825198" w:rsidRDefault="00825198">
      <w:pPr>
        <w:pStyle w:val="Obsah3"/>
        <w:rPr>
          <w:rFonts w:eastAsiaTheme="minorEastAsia" w:cstheme="minorBidi"/>
          <w:noProof/>
          <w:kern w:val="2"/>
          <w:sz w:val="16"/>
          <w:szCs w:val="16"/>
          <w14:ligatures w14:val="standardContextual"/>
        </w:rPr>
      </w:pPr>
      <w:hyperlink w:anchor="_Toc232612669" w:history="1">
        <w:r w:rsidRPr="00825198">
          <w:rPr>
            <w:rStyle w:val="Hypertextovodkaz"/>
            <w:noProof/>
            <w:sz w:val="16"/>
            <w:szCs w:val="16"/>
          </w:rPr>
          <w:t>XII.c/2</w:t>
        </w:r>
        <w:r w:rsidRPr="00825198">
          <w:rPr>
            <w:rFonts w:eastAsiaTheme="minorEastAsia" w:cstheme="minorBidi"/>
            <w:noProof/>
            <w:kern w:val="2"/>
            <w:sz w:val="16"/>
            <w:szCs w:val="16"/>
            <w14:ligatures w14:val="standardContextual"/>
          </w:rPr>
          <w:tab/>
        </w:r>
        <w:r w:rsidRPr="00825198">
          <w:rPr>
            <w:rStyle w:val="Hypertextovodkaz"/>
            <w:noProof/>
            <w:sz w:val="16"/>
            <w:szCs w:val="16"/>
          </w:rPr>
          <w:t>Vyhodnocení potřeby ploch rekreace</w:t>
        </w:r>
        <w:r w:rsidRPr="00825198">
          <w:rPr>
            <w:noProof/>
            <w:webHidden/>
            <w:sz w:val="16"/>
            <w:szCs w:val="16"/>
          </w:rPr>
          <w:tab/>
        </w:r>
        <w:r w:rsidRPr="00825198">
          <w:rPr>
            <w:noProof/>
            <w:webHidden/>
            <w:sz w:val="16"/>
            <w:szCs w:val="16"/>
          </w:rPr>
          <w:fldChar w:fldCharType="begin"/>
        </w:r>
        <w:r w:rsidRPr="00825198">
          <w:rPr>
            <w:noProof/>
            <w:webHidden/>
            <w:sz w:val="16"/>
            <w:szCs w:val="16"/>
          </w:rPr>
          <w:instrText xml:space="preserve"> PAGEREF _Toc232612669 \h </w:instrText>
        </w:r>
        <w:r w:rsidRPr="00825198">
          <w:rPr>
            <w:noProof/>
            <w:webHidden/>
            <w:sz w:val="16"/>
            <w:szCs w:val="16"/>
          </w:rPr>
        </w:r>
        <w:r w:rsidRPr="00825198">
          <w:rPr>
            <w:noProof/>
            <w:webHidden/>
            <w:sz w:val="16"/>
            <w:szCs w:val="16"/>
          </w:rPr>
          <w:fldChar w:fldCharType="separate"/>
        </w:r>
        <w:r w:rsidR="00B23DE1">
          <w:rPr>
            <w:noProof/>
            <w:webHidden/>
            <w:sz w:val="16"/>
            <w:szCs w:val="16"/>
          </w:rPr>
          <w:t>99</w:t>
        </w:r>
        <w:r w:rsidRPr="00825198">
          <w:rPr>
            <w:noProof/>
            <w:webHidden/>
            <w:sz w:val="16"/>
            <w:szCs w:val="16"/>
          </w:rPr>
          <w:fldChar w:fldCharType="end"/>
        </w:r>
      </w:hyperlink>
    </w:p>
    <w:p w14:paraId="650BDD8A" w14:textId="0F33AA36" w:rsidR="00825198" w:rsidRPr="00825198" w:rsidRDefault="00825198">
      <w:pPr>
        <w:pStyle w:val="Obsah3"/>
        <w:rPr>
          <w:rFonts w:eastAsiaTheme="minorEastAsia" w:cstheme="minorBidi"/>
          <w:noProof/>
          <w:kern w:val="2"/>
          <w:sz w:val="16"/>
          <w:szCs w:val="16"/>
          <w14:ligatures w14:val="standardContextual"/>
        </w:rPr>
      </w:pPr>
      <w:hyperlink w:anchor="_Toc232612670" w:history="1">
        <w:r w:rsidRPr="00825198">
          <w:rPr>
            <w:rStyle w:val="Hypertextovodkaz"/>
            <w:noProof/>
            <w:sz w:val="16"/>
            <w:szCs w:val="16"/>
          </w:rPr>
          <w:t>XII.c/3</w:t>
        </w:r>
        <w:r w:rsidRPr="00825198">
          <w:rPr>
            <w:rFonts w:eastAsiaTheme="minorEastAsia" w:cstheme="minorBidi"/>
            <w:noProof/>
            <w:kern w:val="2"/>
            <w:sz w:val="16"/>
            <w:szCs w:val="16"/>
            <w14:ligatures w14:val="standardContextual"/>
          </w:rPr>
          <w:tab/>
        </w:r>
        <w:r w:rsidRPr="00825198">
          <w:rPr>
            <w:rStyle w:val="Hypertextovodkaz"/>
            <w:noProof/>
            <w:sz w:val="16"/>
            <w:szCs w:val="16"/>
          </w:rPr>
          <w:t>Vyhodnocení potřeby zastavitelných pro komerční činnosti a podnikání</w:t>
        </w:r>
        <w:r w:rsidRPr="00825198">
          <w:rPr>
            <w:noProof/>
            <w:webHidden/>
            <w:sz w:val="16"/>
            <w:szCs w:val="16"/>
          </w:rPr>
          <w:tab/>
        </w:r>
        <w:r w:rsidRPr="00825198">
          <w:rPr>
            <w:noProof/>
            <w:webHidden/>
            <w:sz w:val="16"/>
            <w:szCs w:val="16"/>
          </w:rPr>
          <w:fldChar w:fldCharType="begin"/>
        </w:r>
        <w:r w:rsidRPr="00825198">
          <w:rPr>
            <w:noProof/>
            <w:webHidden/>
            <w:sz w:val="16"/>
            <w:szCs w:val="16"/>
          </w:rPr>
          <w:instrText xml:space="preserve"> PAGEREF _Toc232612670 \h </w:instrText>
        </w:r>
        <w:r w:rsidRPr="00825198">
          <w:rPr>
            <w:noProof/>
            <w:webHidden/>
            <w:sz w:val="16"/>
            <w:szCs w:val="16"/>
          </w:rPr>
        </w:r>
        <w:r w:rsidRPr="00825198">
          <w:rPr>
            <w:noProof/>
            <w:webHidden/>
            <w:sz w:val="16"/>
            <w:szCs w:val="16"/>
          </w:rPr>
          <w:fldChar w:fldCharType="separate"/>
        </w:r>
        <w:r w:rsidR="00B23DE1">
          <w:rPr>
            <w:noProof/>
            <w:webHidden/>
            <w:sz w:val="16"/>
            <w:szCs w:val="16"/>
          </w:rPr>
          <w:t>99</w:t>
        </w:r>
        <w:r w:rsidRPr="00825198">
          <w:rPr>
            <w:noProof/>
            <w:webHidden/>
            <w:sz w:val="16"/>
            <w:szCs w:val="16"/>
          </w:rPr>
          <w:fldChar w:fldCharType="end"/>
        </w:r>
      </w:hyperlink>
    </w:p>
    <w:p w14:paraId="133ED459" w14:textId="74F49F4E" w:rsidR="00825198" w:rsidRPr="00825198" w:rsidRDefault="00825198">
      <w:pPr>
        <w:pStyle w:val="Obsah1"/>
        <w:tabs>
          <w:tab w:val="left" w:pos="720"/>
        </w:tabs>
        <w:rPr>
          <w:rFonts w:eastAsiaTheme="minorEastAsia" w:cstheme="minorBidi"/>
          <w:b w:val="0"/>
          <w:bCs w:val="0"/>
          <w:noProof/>
          <w:kern w:val="2"/>
          <w:sz w:val="16"/>
          <w:szCs w:val="16"/>
          <w14:ligatures w14:val="standardContextual"/>
        </w:rPr>
      </w:pPr>
      <w:hyperlink w:anchor="_Toc232612671" w:history="1">
        <w:r w:rsidRPr="00825198">
          <w:rPr>
            <w:rStyle w:val="Hypertextovodkaz"/>
            <w:noProof/>
            <w:sz w:val="16"/>
            <w:szCs w:val="16"/>
          </w:rPr>
          <w:t>XIII</w:t>
        </w:r>
        <w:r w:rsidRPr="00825198">
          <w:rPr>
            <w:rFonts w:eastAsiaTheme="minorEastAsia" w:cstheme="minorBidi"/>
            <w:b w:val="0"/>
            <w:bCs w:val="0"/>
            <w:noProof/>
            <w:kern w:val="2"/>
            <w:sz w:val="16"/>
            <w:szCs w:val="16"/>
            <w14:ligatures w14:val="standardContextual"/>
          </w:rPr>
          <w:tab/>
        </w:r>
        <w:r w:rsidRPr="00825198">
          <w:rPr>
            <w:rStyle w:val="Hypertextovodkaz"/>
            <w:noProof/>
            <w:sz w:val="16"/>
            <w:szCs w:val="16"/>
          </w:rPr>
          <w:t>Výčet prvků regulačního plánu, případně s odchylně stanovenými požadavky na výstavbu s odůvodněním jejich vymezení</w:t>
        </w:r>
        <w:r w:rsidRPr="00825198">
          <w:rPr>
            <w:noProof/>
            <w:webHidden/>
            <w:sz w:val="16"/>
            <w:szCs w:val="16"/>
          </w:rPr>
          <w:tab/>
        </w:r>
        <w:r w:rsidRPr="00825198">
          <w:rPr>
            <w:noProof/>
            <w:webHidden/>
            <w:sz w:val="16"/>
            <w:szCs w:val="16"/>
          </w:rPr>
          <w:fldChar w:fldCharType="begin"/>
        </w:r>
        <w:r w:rsidRPr="00825198">
          <w:rPr>
            <w:noProof/>
            <w:webHidden/>
            <w:sz w:val="16"/>
            <w:szCs w:val="16"/>
          </w:rPr>
          <w:instrText xml:space="preserve"> PAGEREF _Toc232612671 \h </w:instrText>
        </w:r>
        <w:r w:rsidRPr="00825198">
          <w:rPr>
            <w:noProof/>
            <w:webHidden/>
            <w:sz w:val="16"/>
            <w:szCs w:val="16"/>
          </w:rPr>
        </w:r>
        <w:r w:rsidRPr="00825198">
          <w:rPr>
            <w:noProof/>
            <w:webHidden/>
            <w:sz w:val="16"/>
            <w:szCs w:val="16"/>
          </w:rPr>
          <w:fldChar w:fldCharType="separate"/>
        </w:r>
        <w:r w:rsidR="00B23DE1">
          <w:rPr>
            <w:noProof/>
            <w:webHidden/>
            <w:sz w:val="16"/>
            <w:szCs w:val="16"/>
          </w:rPr>
          <w:t>100</w:t>
        </w:r>
        <w:r w:rsidRPr="00825198">
          <w:rPr>
            <w:noProof/>
            <w:webHidden/>
            <w:sz w:val="16"/>
            <w:szCs w:val="16"/>
          </w:rPr>
          <w:fldChar w:fldCharType="end"/>
        </w:r>
      </w:hyperlink>
    </w:p>
    <w:p w14:paraId="6C650C4F" w14:textId="2BC725A4" w:rsidR="00825198" w:rsidRPr="00825198" w:rsidRDefault="00825198">
      <w:pPr>
        <w:pStyle w:val="Obsah1"/>
        <w:tabs>
          <w:tab w:val="left" w:pos="720"/>
        </w:tabs>
        <w:rPr>
          <w:rFonts w:eastAsiaTheme="minorEastAsia" w:cstheme="minorBidi"/>
          <w:b w:val="0"/>
          <w:bCs w:val="0"/>
          <w:noProof/>
          <w:kern w:val="2"/>
          <w:sz w:val="16"/>
          <w:szCs w:val="16"/>
          <w14:ligatures w14:val="standardContextual"/>
        </w:rPr>
      </w:pPr>
      <w:hyperlink w:anchor="_Toc232612672" w:history="1">
        <w:r w:rsidRPr="00825198">
          <w:rPr>
            <w:rStyle w:val="Hypertextovodkaz"/>
            <w:noProof/>
            <w:sz w:val="16"/>
            <w:szCs w:val="16"/>
          </w:rPr>
          <w:t>XIV</w:t>
        </w:r>
        <w:r w:rsidRPr="00825198">
          <w:rPr>
            <w:rFonts w:eastAsiaTheme="minorEastAsia" w:cstheme="minorBidi"/>
            <w:b w:val="0"/>
            <w:bCs w:val="0"/>
            <w:noProof/>
            <w:kern w:val="2"/>
            <w:sz w:val="16"/>
            <w:szCs w:val="16"/>
            <w14:ligatures w14:val="standardContextual"/>
          </w:rPr>
          <w:tab/>
        </w:r>
        <w:r w:rsidRPr="00825198">
          <w:rPr>
            <w:rStyle w:val="Hypertextovodkaz"/>
            <w:noProof/>
            <w:sz w:val="16"/>
            <w:szCs w:val="16"/>
          </w:rPr>
          <w:t>Vyhodnocení předpokládaných důsledků navrhovaného řešení na zemědělský půdní fond a pozemky určené k plnění funkce lesa</w:t>
        </w:r>
        <w:r w:rsidRPr="00825198">
          <w:rPr>
            <w:noProof/>
            <w:webHidden/>
            <w:sz w:val="16"/>
            <w:szCs w:val="16"/>
          </w:rPr>
          <w:tab/>
        </w:r>
        <w:r>
          <w:rPr>
            <w:noProof/>
            <w:webHidden/>
            <w:sz w:val="16"/>
            <w:szCs w:val="16"/>
          </w:rPr>
          <w:tab/>
        </w:r>
        <w:r>
          <w:rPr>
            <w:noProof/>
            <w:webHidden/>
            <w:sz w:val="16"/>
            <w:szCs w:val="16"/>
          </w:rPr>
          <w:tab/>
        </w:r>
        <w:r w:rsidRPr="00825198">
          <w:rPr>
            <w:noProof/>
            <w:webHidden/>
            <w:sz w:val="16"/>
            <w:szCs w:val="16"/>
          </w:rPr>
          <w:fldChar w:fldCharType="begin"/>
        </w:r>
        <w:r w:rsidRPr="00825198">
          <w:rPr>
            <w:noProof/>
            <w:webHidden/>
            <w:sz w:val="16"/>
            <w:szCs w:val="16"/>
          </w:rPr>
          <w:instrText xml:space="preserve"> PAGEREF _Toc232612672 \h </w:instrText>
        </w:r>
        <w:r w:rsidRPr="00825198">
          <w:rPr>
            <w:noProof/>
            <w:webHidden/>
            <w:sz w:val="16"/>
            <w:szCs w:val="16"/>
          </w:rPr>
        </w:r>
        <w:r w:rsidRPr="00825198">
          <w:rPr>
            <w:noProof/>
            <w:webHidden/>
            <w:sz w:val="16"/>
            <w:szCs w:val="16"/>
          </w:rPr>
          <w:fldChar w:fldCharType="separate"/>
        </w:r>
        <w:r w:rsidR="00B23DE1">
          <w:rPr>
            <w:noProof/>
            <w:webHidden/>
            <w:sz w:val="16"/>
            <w:szCs w:val="16"/>
          </w:rPr>
          <w:t>101</w:t>
        </w:r>
        <w:r w:rsidRPr="00825198">
          <w:rPr>
            <w:noProof/>
            <w:webHidden/>
            <w:sz w:val="16"/>
            <w:szCs w:val="16"/>
          </w:rPr>
          <w:fldChar w:fldCharType="end"/>
        </w:r>
      </w:hyperlink>
    </w:p>
    <w:p w14:paraId="7B961274" w14:textId="06B01F20" w:rsidR="00825198" w:rsidRPr="00825198" w:rsidRDefault="00825198">
      <w:pPr>
        <w:pStyle w:val="Obsah2"/>
        <w:tabs>
          <w:tab w:val="left" w:pos="900"/>
        </w:tabs>
        <w:rPr>
          <w:rFonts w:eastAsiaTheme="minorEastAsia" w:cstheme="minorBidi"/>
          <w:i w:val="0"/>
          <w:iCs w:val="0"/>
          <w:noProof/>
          <w:kern w:val="2"/>
          <w:sz w:val="16"/>
          <w:szCs w:val="16"/>
          <w14:ligatures w14:val="standardContextual"/>
        </w:rPr>
      </w:pPr>
      <w:hyperlink w:anchor="_Toc232612673" w:history="1">
        <w:r w:rsidRPr="00825198">
          <w:rPr>
            <w:rStyle w:val="Hypertextovodkaz"/>
            <w:noProof/>
            <w:sz w:val="16"/>
            <w:szCs w:val="16"/>
          </w:rPr>
          <w:t>XIV.a</w:t>
        </w:r>
        <w:r w:rsidRPr="00825198">
          <w:rPr>
            <w:rFonts w:eastAsiaTheme="minorEastAsia" w:cstheme="minorBidi"/>
            <w:i w:val="0"/>
            <w:iCs w:val="0"/>
            <w:noProof/>
            <w:kern w:val="2"/>
            <w:sz w:val="16"/>
            <w:szCs w:val="16"/>
            <w14:ligatures w14:val="standardContextual"/>
          </w:rPr>
          <w:tab/>
        </w:r>
        <w:r w:rsidRPr="00825198">
          <w:rPr>
            <w:rStyle w:val="Hypertextovodkaz"/>
            <w:noProof/>
            <w:sz w:val="16"/>
            <w:szCs w:val="16"/>
          </w:rPr>
          <w:t>Vyhodnocení záborů ZPF</w:t>
        </w:r>
        <w:r w:rsidRPr="00825198">
          <w:rPr>
            <w:noProof/>
            <w:webHidden/>
            <w:sz w:val="16"/>
            <w:szCs w:val="16"/>
          </w:rPr>
          <w:tab/>
        </w:r>
        <w:r w:rsidRPr="00825198">
          <w:rPr>
            <w:noProof/>
            <w:webHidden/>
            <w:sz w:val="16"/>
            <w:szCs w:val="16"/>
          </w:rPr>
          <w:fldChar w:fldCharType="begin"/>
        </w:r>
        <w:r w:rsidRPr="00825198">
          <w:rPr>
            <w:noProof/>
            <w:webHidden/>
            <w:sz w:val="16"/>
            <w:szCs w:val="16"/>
          </w:rPr>
          <w:instrText xml:space="preserve"> PAGEREF _Toc232612673 \h </w:instrText>
        </w:r>
        <w:r w:rsidRPr="00825198">
          <w:rPr>
            <w:noProof/>
            <w:webHidden/>
            <w:sz w:val="16"/>
            <w:szCs w:val="16"/>
          </w:rPr>
        </w:r>
        <w:r w:rsidRPr="00825198">
          <w:rPr>
            <w:noProof/>
            <w:webHidden/>
            <w:sz w:val="16"/>
            <w:szCs w:val="16"/>
          </w:rPr>
          <w:fldChar w:fldCharType="separate"/>
        </w:r>
        <w:r w:rsidR="00B23DE1">
          <w:rPr>
            <w:noProof/>
            <w:webHidden/>
            <w:sz w:val="16"/>
            <w:szCs w:val="16"/>
          </w:rPr>
          <w:t>101</w:t>
        </w:r>
        <w:r w:rsidRPr="00825198">
          <w:rPr>
            <w:noProof/>
            <w:webHidden/>
            <w:sz w:val="16"/>
            <w:szCs w:val="16"/>
          </w:rPr>
          <w:fldChar w:fldCharType="end"/>
        </w:r>
      </w:hyperlink>
    </w:p>
    <w:p w14:paraId="474EF1BD" w14:textId="70549DEB" w:rsidR="00825198" w:rsidRPr="00825198" w:rsidRDefault="00825198">
      <w:pPr>
        <w:pStyle w:val="Obsah3"/>
        <w:rPr>
          <w:rFonts w:eastAsiaTheme="minorEastAsia" w:cstheme="minorBidi"/>
          <w:noProof/>
          <w:kern w:val="2"/>
          <w:sz w:val="16"/>
          <w:szCs w:val="16"/>
          <w14:ligatures w14:val="standardContextual"/>
        </w:rPr>
      </w:pPr>
      <w:hyperlink w:anchor="_Toc232612674" w:history="1">
        <w:r w:rsidRPr="00825198">
          <w:rPr>
            <w:rStyle w:val="Hypertextovodkaz"/>
            <w:noProof/>
            <w:sz w:val="16"/>
            <w:szCs w:val="16"/>
          </w:rPr>
          <w:t>XIV.a/1</w:t>
        </w:r>
        <w:r w:rsidRPr="00825198">
          <w:rPr>
            <w:rFonts w:eastAsiaTheme="minorEastAsia" w:cstheme="minorBidi"/>
            <w:noProof/>
            <w:kern w:val="2"/>
            <w:sz w:val="16"/>
            <w:szCs w:val="16"/>
            <w14:ligatures w14:val="standardContextual"/>
          </w:rPr>
          <w:tab/>
        </w:r>
        <w:r w:rsidRPr="00825198">
          <w:rPr>
            <w:rStyle w:val="Hypertextovodkaz"/>
            <w:noProof/>
            <w:sz w:val="16"/>
            <w:szCs w:val="16"/>
          </w:rPr>
          <w:t>Údaje o zemědělském půdním fondu</w:t>
        </w:r>
        <w:r w:rsidRPr="00825198">
          <w:rPr>
            <w:noProof/>
            <w:webHidden/>
            <w:sz w:val="16"/>
            <w:szCs w:val="16"/>
          </w:rPr>
          <w:tab/>
        </w:r>
        <w:r w:rsidRPr="00825198">
          <w:rPr>
            <w:noProof/>
            <w:webHidden/>
            <w:sz w:val="16"/>
            <w:szCs w:val="16"/>
          </w:rPr>
          <w:fldChar w:fldCharType="begin"/>
        </w:r>
        <w:r w:rsidRPr="00825198">
          <w:rPr>
            <w:noProof/>
            <w:webHidden/>
            <w:sz w:val="16"/>
            <w:szCs w:val="16"/>
          </w:rPr>
          <w:instrText xml:space="preserve"> PAGEREF _Toc232612674 \h </w:instrText>
        </w:r>
        <w:r w:rsidRPr="00825198">
          <w:rPr>
            <w:noProof/>
            <w:webHidden/>
            <w:sz w:val="16"/>
            <w:szCs w:val="16"/>
          </w:rPr>
        </w:r>
        <w:r w:rsidRPr="00825198">
          <w:rPr>
            <w:noProof/>
            <w:webHidden/>
            <w:sz w:val="16"/>
            <w:szCs w:val="16"/>
          </w:rPr>
          <w:fldChar w:fldCharType="separate"/>
        </w:r>
        <w:r w:rsidR="00B23DE1">
          <w:rPr>
            <w:noProof/>
            <w:webHidden/>
            <w:sz w:val="16"/>
            <w:szCs w:val="16"/>
          </w:rPr>
          <w:t>101</w:t>
        </w:r>
        <w:r w:rsidRPr="00825198">
          <w:rPr>
            <w:noProof/>
            <w:webHidden/>
            <w:sz w:val="16"/>
            <w:szCs w:val="16"/>
          </w:rPr>
          <w:fldChar w:fldCharType="end"/>
        </w:r>
      </w:hyperlink>
    </w:p>
    <w:p w14:paraId="3A9CB468" w14:textId="6EFE522E" w:rsidR="00825198" w:rsidRPr="00825198" w:rsidRDefault="00825198">
      <w:pPr>
        <w:pStyle w:val="Obsah3"/>
        <w:rPr>
          <w:rFonts w:eastAsiaTheme="minorEastAsia" w:cstheme="minorBidi"/>
          <w:noProof/>
          <w:kern w:val="2"/>
          <w:sz w:val="16"/>
          <w:szCs w:val="16"/>
          <w14:ligatures w14:val="standardContextual"/>
        </w:rPr>
      </w:pPr>
      <w:hyperlink w:anchor="_Toc232612675" w:history="1">
        <w:r w:rsidRPr="00825198">
          <w:rPr>
            <w:rStyle w:val="Hypertextovodkaz"/>
            <w:noProof/>
            <w:sz w:val="16"/>
            <w:szCs w:val="16"/>
          </w:rPr>
          <w:t>XIV.a/2</w:t>
        </w:r>
        <w:r w:rsidRPr="00825198">
          <w:rPr>
            <w:rFonts w:eastAsiaTheme="minorEastAsia" w:cstheme="minorBidi"/>
            <w:noProof/>
            <w:kern w:val="2"/>
            <w:sz w:val="16"/>
            <w:szCs w:val="16"/>
            <w14:ligatures w14:val="standardContextual"/>
          </w:rPr>
          <w:tab/>
        </w:r>
        <w:r w:rsidRPr="00825198">
          <w:rPr>
            <w:rStyle w:val="Hypertextovodkaz"/>
            <w:noProof/>
            <w:sz w:val="16"/>
            <w:szCs w:val="16"/>
          </w:rPr>
          <w:t>Celkové vyhodnocení záboru ZPF včetně zdůvodnění</w:t>
        </w:r>
        <w:r w:rsidRPr="00825198">
          <w:rPr>
            <w:noProof/>
            <w:webHidden/>
            <w:sz w:val="16"/>
            <w:szCs w:val="16"/>
          </w:rPr>
          <w:tab/>
        </w:r>
        <w:r w:rsidRPr="00825198">
          <w:rPr>
            <w:noProof/>
            <w:webHidden/>
            <w:sz w:val="16"/>
            <w:szCs w:val="16"/>
          </w:rPr>
          <w:fldChar w:fldCharType="begin"/>
        </w:r>
        <w:r w:rsidRPr="00825198">
          <w:rPr>
            <w:noProof/>
            <w:webHidden/>
            <w:sz w:val="16"/>
            <w:szCs w:val="16"/>
          </w:rPr>
          <w:instrText xml:space="preserve"> PAGEREF _Toc232612675 \h </w:instrText>
        </w:r>
        <w:r w:rsidRPr="00825198">
          <w:rPr>
            <w:noProof/>
            <w:webHidden/>
            <w:sz w:val="16"/>
            <w:szCs w:val="16"/>
          </w:rPr>
        </w:r>
        <w:r w:rsidRPr="00825198">
          <w:rPr>
            <w:noProof/>
            <w:webHidden/>
            <w:sz w:val="16"/>
            <w:szCs w:val="16"/>
          </w:rPr>
          <w:fldChar w:fldCharType="separate"/>
        </w:r>
        <w:r w:rsidR="00B23DE1">
          <w:rPr>
            <w:noProof/>
            <w:webHidden/>
            <w:sz w:val="16"/>
            <w:szCs w:val="16"/>
          </w:rPr>
          <w:t>106</w:t>
        </w:r>
        <w:r w:rsidRPr="00825198">
          <w:rPr>
            <w:noProof/>
            <w:webHidden/>
            <w:sz w:val="16"/>
            <w:szCs w:val="16"/>
          </w:rPr>
          <w:fldChar w:fldCharType="end"/>
        </w:r>
      </w:hyperlink>
    </w:p>
    <w:p w14:paraId="28C1BDF8" w14:textId="7BF89310" w:rsidR="00825198" w:rsidRPr="00825198" w:rsidRDefault="00825198">
      <w:pPr>
        <w:pStyle w:val="Obsah3"/>
        <w:rPr>
          <w:rFonts w:eastAsiaTheme="minorEastAsia" w:cstheme="minorBidi"/>
          <w:noProof/>
          <w:kern w:val="2"/>
          <w:sz w:val="16"/>
          <w:szCs w:val="16"/>
          <w14:ligatures w14:val="standardContextual"/>
        </w:rPr>
      </w:pPr>
      <w:hyperlink w:anchor="_Toc232612676" w:history="1">
        <w:r w:rsidRPr="00825198">
          <w:rPr>
            <w:rStyle w:val="Hypertextovodkaz"/>
            <w:noProof/>
            <w:sz w:val="16"/>
            <w:szCs w:val="16"/>
          </w:rPr>
          <w:t>XIV.a/3</w:t>
        </w:r>
        <w:r w:rsidRPr="00825198">
          <w:rPr>
            <w:rFonts w:eastAsiaTheme="minorEastAsia" w:cstheme="minorBidi"/>
            <w:noProof/>
            <w:kern w:val="2"/>
            <w:sz w:val="16"/>
            <w:szCs w:val="16"/>
            <w14:ligatures w14:val="standardContextual"/>
          </w:rPr>
          <w:tab/>
        </w:r>
        <w:r w:rsidRPr="00825198">
          <w:rPr>
            <w:rStyle w:val="Hypertextovodkaz"/>
            <w:noProof/>
            <w:sz w:val="16"/>
            <w:szCs w:val="16"/>
          </w:rPr>
          <w:t>Zdůvodnění řešení požadovaného záboru ZPF dle navrhovaného způsobu využití</w:t>
        </w:r>
        <w:r w:rsidRPr="00825198">
          <w:rPr>
            <w:noProof/>
            <w:webHidden/>
            <w:sz w:val="16"/>
            <w:szCs w:val="16"/>
          </w:rPr>
          <w:tab/>
        </w:r>
        <w:r w:rsidRPr="00825198">
          <w:rPr>
            <w:noProof/>
            <w:webHidden/>
            <w:sz w:val="16"/>
            <w:szCs w:val="16"/>
          </w:rPr>
          <w:fldChar w:fldCharType="begin"/>
        </w:r>
        <w:r w:rsidRPr="00825198">
          <w:rPr>
            <w:noProof/>
            <w:webHidden/>
            <w:sz w:val="16"/>
            <w:szCs w:val="16"/>
          </w:rPr>
          <w:instrText xml:space="preserve"> PAGEREF _Toc232612676 \h </w:instrText>
        </w:r>
        <w:r w:rsidRPr="00825198">
          <w:rPr>
            <w:noProof/>
            <w:webHidden/>
            <w:sz w:val="16"/>
            <w:szCs w:val="16"/>
          </w:rPr>
        </w:r>
        <w:r w:rsidRPr="00825198">
          <w:rPr>
            <w:noProof/>
            <w:webHidden/>
            <w:sz w:val="16"/>
            <w:szCs w:val="16"/>
          </w:rPr>
          <w:fldChar w:fldCharType="separate"/>
        </w:r>
        <w:r w:rsidR="00B23DE1">
          <w:rPr>
            <w:noProof/>
            <w:webHidden/>
            <w:sz w:val="16"/>
            <w:szCs w:val="16"/>
          </w:rPr>
          <w:t>107</w:t>
        </w:r>
        <w:r w:rsidRPr="00825198">
          <w:rPr>
            <w:noProof/>
            <w:webHidden/>
            <w:sz w:val="16"/>
            <w:szCs w:val="16"/>
          </w:rPr>
          <w:fldChar w:fldCharType="end"/>
        </w:r>
      </w:hyperlink>
    </w:p>
    <w:p w14:paraId="2BA191CF" w14:textId="3D48A922" w:rsidR="00825198" w:rsidRPr="00825198" w:rsidRDefault="00825198">
      <w:pPr>
        <w:pStyle w:val="Obsah2"/>
        <w:tabs>
          <w:tab w:val="left" w:pos="900"/>
        </w:tabs>
        <w:rPr>
          <w:rFonts w:eastAsiaTheme="minorEastAsia" w:cstheme="minorBidi"/>
          <w:i w:val="0"/>
          <w:iCs w:val="0"/>
          <w:noProof/>
          <w:kern w:val="2"/>
          <w:sz w:val="16"/>
          <w:szCs w:val="16"/>
          <w14:ligatures w14:val="standardContextual"/>
        </w:rPr>
      </w:pPr>
      <w:hyperlink w:anchor="_Toc232612677" w:history="1">
        <w:r w:rsidRPr="00825198">
          <w:rPr>
            <w:rStyle w:val="Hypertextovodkaz"/>
            <w:noProof/>
            <w:sz w:val="16"/>
            <w:szCs w:val="16"/>
          </w:rPr>
          <w:t>XIV.b</w:t>
        </w:r>
        <w:r w:rsidRPr="00825198">
          <w:rPr>
            <w:rFonts w:eastAsiaTheme="minorEastAsia" w:cstheme="minorBidi"/>
            <w:i w:val="0"/>
            <w:iCs w:val="0"/>
            <w:noProof/>
            <w:kern w:val="2"/>
            <w:sz w:val="16"/>
            <w:szCs w:val="16"/>
            <w14:ligatures w14:val="standardContextual"/>
          </w:rPr>
          <w:tab/>
        </w:r>
        <w:r w:rsidRPr="00825198">
          <w:rPr>
            <w:rStyle w:val="Hypertextovodkaz"/>
            <w:noProof/>
            <w:sz w:val="16"/>
            <w:szCs w:val="16"/>
          </w:rPr>
          <w:t>Vyhodnocení předpokládaných důsledků navrhovaného řešení na pozemky určené k plnění funkcí lesa (PUPFL)</w:t>
        </w:r>
        <w:r w:rsidRPr="00825198">
          <w:rPr>
            <w:noProof/>
            <w:webHidden/>
            <w:sz w:val="16"/>
            <w:szCs w:val="16"/>
          </w:rPr>
          <w:tab/>
        </w:r>
        <w:r w:rsidRPr="00825198">
          <w:rPr>
            <w:noProof/>
            <w:webHidden/>
            <w:sz w:val="16"/>
            <w:szCs w:val="16"/>
          </w:rPr>
          <w:fldChar w:fldCharType="begin"/>
        </w:r>
        <w:r w:rsidRPr="00825198">
          <w:rPr>
            <w:noProof/>
            <w:webHidden/>
            <w:sz w:val="16"/>
            <w:szCs w:val="16"/>
          </w:rPr>
          <w:instrText xml:space="preserve"> PAGEREF _Toc232612677 \h </w:instrText>
        </w:r>
        <w:r w:rsidRPr="00825198">
          <w:rPr>
            <w:noProof/>
            <w:webHidden/>
            <w:sz w:val="16"/>
            <w:szCs w:val="16"/>
          </w:rPr>
        </w:r>
        <w:r w:rsidRPr="00825198">
          <w:rPr>
            <w:noProof/>
            <w:webHidden/>
            <w:sz w:val="16"/>
            <w:szCs w:val="16"/>
          </w:rPr>
          <w:fldChar w:fldCharType="separate"/>
        </w:r>
        <w:r w:rsidR="00B23DE1">
          <w:rPr>
            <w:noProof/>
            <w:webHidden/>
            <w:sz w:val="16"/>
            <w:szCs w:val="16"/>
          </w:rPr>
          <w:t>114</w:t>
        </w:r>
        <w:r w:rsidRPr="00825198">
          <w:rPr>
            <w:noProof/>
            <w:webHidden/>
            <w:sz w:val="16"/>
            <w:szCs w:val="16"/>
          </w:rPr>
          <w:fldChar w:fldCharType="end"/>
        </w:r>
      </w:hyperlink>
    </w:p>
    <w:p w14:paraId="70638D4F" w14:textId="7425E6AB" w:rsidR="00825198" w:rsidRPr="00825198" w:rsidRDefault="00825198">
      <w:pPr>
        <w:pStyle w:val="Obsah1"/>
        <w:tabs>
          <w:tab w:val="left" w:pos="540"/>
        </w:tabs>
        <w:rPr>
          <w:rFonts w:eastAsiaTheme="minorEastAsia" w:cstheme="minorBidi"/>
          <w:b w:val="0"/>
          <w:bCs w:val="0"/>
          <w:noProof/>
          <w:kern w:val="2"/>
          <w:sz w:val="16"/>
          <w:szCs w:val="16"/>
          <w14:ligatures w14:val="standardContextual"/>
        </w:rPr>
      </w:pPr>
      <w:hyperlink w:anchor="_Toc232612678" w:history="1">
        <w:r w:rsidRPr="00825198">
          <w:rPr>
            <w:rStyle w:val="Hypertextovodkaz"/>
            <w:noProof/>
            <w:sz w:val="16"/>
            <w:szCs w:val="16"/>
          </w:rPr>
          <w:t>XV</w:t>
        </w:r>
        <w:r w:rsidRPr="00825198">
          <w:rPr>
            <w:rFonts w:eastAsiaTheme="minorEastAsia" w:cstheme="minorBidi"/>
            <w:b w:val="0"/>
            <w:bCs w:val="0"/>
            <w:noProof/>
            <w:kern w:val="2"/>
            <w:sz w:val="16"/>
            <w:szCs w:val="16"/>
            <w14:ligatures w14:val="standardContextual"/>
          </w:rPr>
          <w:tab/>
        </w:r>
        <w:r w:rsidRPr="00825198">
          <w:rPr>
            <w:rStyle w:val="Hypertextovodkaz"/>
            <w:noProof/>
            <w:sz w:val="16"/>
            <w:szCs w:val="16"/>
          </w:rPr>
          <w:t>Vyhodnocení připomínek, včetně jeho odůvodnění</w:t>
        </w:r>
        <w:r w:rsidRPr="00825198">
          <w:rPr>
            <w:noProof/>
            <w:webHidden/>
            <w:sz w:val="16"/>
            <w:szCs w:val="16"/>
          </w:rPr>
          <w:tab/>
        </w:r>
        <w:r w:rsidRPr="00825198">
          <w:rPr>
            <w:noProof/>
            <w:webHidden/>
            <w:sz w:val="16"/>
            <w:szCs w:val="16"/>
          </w:rPr>
          <w:fldChar w:fldCharType="begin"/>
        </w:r>
        <w:r w:rsidRPr="00825198">
          <w:rPr>
            <w:noProof/>
            <w:webHidden/>
            <w:sz w:val="16"/>
            <w:szCs w:val="16"/>
          </w:rPr>
          <w:instrText xml:space="preserve"> PAGEREF _Toc232612678 \h </w:instrText>
        </w:r>
        <w:r w:rsidRPr="00825198">
          <w:rPr>
            <w:noProof/>
            <w:webHidden/>
            <w:sz w:val="16"/>
            <w:szCs w:val="16"/>
          </w:rPr>
        </w:r>
        <w:r w:rsidRPr="00825198">
          <w:rPr>
            <w:noProof/>
            <w:webHidden/>
            <w:sz w:val="16"/>
            <w:szCs w:val="16"/>
          </w:rPr>
          <w:fldChar w:fldCharType="separate"/>
        </w:r>
        <w:r w:rsidR="00B23DE1">
          <w:rPr>
            <w:noProof/>
            <w:webHidden/>
            <w:sz w:val="16"/>
            <w:szCs w:val="16"/>
          </w:rPr>
          <w:t>117</w:t>
        </w:r>
        <w:r w:rsidRPr="00825198">
          <w:rPr>
            <w:noProof/>
            <w:webHidden/>
            <w:sz w:val="16"/>
            <w:szCs w:val="16"/>
          </w:rPr>
          <w:fldChar w:fldCharType="end"/>
        </w:r>
      </w:hyperlink>
    </w:p>
    <w:p w14:paraId="36310B1B" w14:textId="795FE41B" w:rsidR="00825198" w:rsidRPr="00825198" w:rsidRDefault="00825198">
      <w:pPr>
        <w:pStyle w:val="Obsah1"/>
        <w:tabs>
          <w:tab w:val="left" w:pos="720"/>
        </w:tabs>
        <w:rPr>
          <w:rFonts w:eastAsiaTheme="minorEastAsia" w:cstheme="minorBidi"/>
          <w:b w:val="0"/>
          <w:bCs w:val="0"/>
          <w:noProof/>
          <w:kern w:val="2"/>
          <w:sz w:val="16"/>
          <w:szCs w:val="16"/>
          <w14:ligatures w14:val="standardContextual"/>
        </w:rPr>
      </w:pPr>
      <w:hyperlink w:anchor="_Toc232612679" w:history="1">
        <w:r w:rsidRPr="00825198">
          <w:rPr>
            <w:rStyle w:val="Hypertextovodkaz"/>
            <w:noProof/>
            <w:sz w:val="16"/>
            <w:szCs w:val="16"/>
          </w:rPr>
          <w:t>XVI</w:t>
        </w:r>
        <w:r w:rsidRPr="00825198">
          <w:rPr>
            <w:rFonts w:eastAsiaTheme="minorEastAsia" w:cstheme="minorBidi"/>
            <w:b w:val="0"/>
            <w:bCs w:val="0"/>
            <w:noProof/>
            <w:kern w:val="2"/>
            <w:sz w:val="16"/>
            <w:szCs w:val="16"/>
            <w14:ligatures w14:val="standardContextual"/>
          </w:rPr>
          <w:tab/>
        </w:r>
        <w:r w:rsidRPr="00825198">
          <w:rPr>
            <w:rStyle w:val="Hypertextovodkaz"/>
            <w:noProof/>
            <w:sz w:val="16"/>
            <w:szCs w:val="16"/>
          </w:rPr>
          <w:t>Posouzení souladu územního plánu s jednotným standardem</w:t>
        </w:r>
        <w:r w:rsidRPr="00825198">
          <w:rPr>
            <w:noProof/>
            <w:webHidden/>
            <w:sz w:val="16"/>
            <w:szCs w:val="16"/>
          </w:rPr>
          <w:tab/>
        </w:r>
        <w:r w:rsidRPr="00825198">
          <w:rPr>
            <w:noProof/>
            <w:webHidden/>
            <w:sz w:val="16"/>
            <w:szCs w:val="16"/>
          </w:rPr>
          <w:fldChar w:fldCharType="begin"/>
        </w:r>
        <w:r w:rsidRPr="00825198">
          <w:rPr>
            <w:noProof/>
            <w:webHidden/>
            <w:sz w:val="16"/>
            <w:szCs w:val="16"/>
          </w:rPr>
          <w:instrText xml:space="preserve"> PAGEREF _Toc232612679 \h </w:instrText>
        </w:r>
        <w:r w:rsidRPr="00825198">
          <w:rPr>
            <w:noProof/>
            <w:webHidden/>
            <w:sz w:val="16"/>
            <w:szCs w:val="16"/>
          </w:rPr>
        </w:r>
        <w:r w:rsidRPr="00825198">
          <w:rPr>
            <w:noProof/>
            <w:webHidden/>
            <w:sz w:val="16"/>
            <w:szCs w:val="16"/>
          </w:rPr>
          <w:fldChar w:fldCharType="separate"/>
        </w:r>
        <w:r w:rsidR="00B23DE1">
          <w:rPr>
            <w:noProof/>
            <w:webHidden/>
            <w:sz w:val="16"/>
            <w:szCs w:val="16"/>
          </w:rPr>
          <w:t>117</w:t>
        </w:r>
        <w:r w:rsidRPr="00825198">
          <w:rPr>
            <w:noProof/>
            <w:webHidden/>
            <w:sz w:val="16"/>
            <w:szCs w:val="16"/>
          </w:rPr>
          <w:fldChar w:fldCharType="end"/>
        </w:r>
      </w:hyperlink>
    </w:p>
    <w:p w14:paraId="1283EAF2" w14:textId="2CC417E8" w:rsidR="00825198" w:rsidRPr="00825198" w:rsidRDefault="00825198">
      <w:pPr>
        <w:pStyle w:val="Obsah1"/>
        <w:tabs>
          <w:tab w:val="left" w:pos="720"/>
        </w:tabs>
        <w:rPr>
          <w:rFonts w:eastAsiaTheme="minorEastAsia" w:cstheme="minorBidi"/>
          <w:b w:val="0"/>
          <w:bCs w:val="0"/>
          <w:noProof/>
          <w:kern w:val="2"/>
          <w:sz w:val="16"/>
          <w:szCs w:val="16"/>
          <w14:ligatures w14:val="standardContextual"/>
        </w:rPr>
      </w:pPr>
      <w:hyperlink w:anchor="_Toc232612680" w:history="1">
        <w:r w:rsidRPr="00825198">
          <w:rPr>
            <w:rStyle w:val="Hypertextovodkaz"/>
            <w:noProof/>
            <w:sz w:val="16"/>
            <w:szCs w:val="16"/>
          </w:rPr>
          <w:t>XVII</w:t>
        </w:r>
        <w:r w:rsidRPr="00825198">
          <w:rPr>
            <w:rFonts w:eastAsiaTheme="minorEastAsia" w:cstheme="minorBidi"/>
            <w:b w:val="0"/>
            <w:bCs w:val="0"/>
            <w:noProof/>
            <w:kern w:val="2"/>
            <w:sz w:val="16"/>
            <w:szCs w:val="16"/>
            <w14:ligatures w14:val="standardContextual"/>
          </w:rPr>
          <w:tab/>
        </w:r>
        <w:r w:rsidRPr="00825198">
          <w:rPr>
            <w:rStyle w:val="Hypertextovodkaz"/>
            <w:noProof/>
            <w:sz w:val="16"/>
            <w:szCs w:val="16"/>
          </w:rPr>
          <w:t>Údaje o počtu listů odůvodnění územního plánu a počtu výkresů k němu připojené grafické části</w:t>
        </w:r>
        <w:r w:rsidRPr="00825198">
          <w:rPr>
            <w:noProof/>
            <w:webHidden/>
            <w:sz w:val="16"/>
            <w:szCs w:val="16"/>
          </w:rPr>
          <w:tab/>
        </w:r>
        <w:r w:rsidRPr="00825198">
          <w:rPr>
            <w:noProof/>
            <w:webHidden/>
            <w:sz w:val="16"/>
            <w:szCs w:val="16"/>
          </w:rPr>
          <w:fldChar w:fldCharType="begin"/>
        </w:r>
        <w:r w:rsidRPr="00825198">
          <w:rPr>
            <w:noProof/>
            <w:webHidden/>
            <w:sz w:val="16"/>
            <w:szCs w:val="16"/>
          </w:rPr>
          <w:instrText xml:space="preserve"> PAGEREF _Toc232612680 \h </w:instrText>
        </w:r>
        <w:r w:rsidRPr="00825198">
          <w:rPr>
            <w:noProof/>
            <w:webHidden/>
            <w:sz w:val="16"/>
            <w:szCs w:val="16"/>
          </w:rPr>
        </w:r>
        <w:r w:rsidRPr="00825198">
          <w:rPr>
            <w:noProof/>
            <w:webHidden/>
            <w:sz w:val="16"/>
            <w:szCs w:val="16"/>
          </w:rPr>
          <w:fldChar w:fldCharType="separate"/>
        </w:r>
        <w:r w:rsidR="00B23DE1">
          <w:rPr>
            <w:noProof/>
            <w:webHidden/>
            <w:sz w:val="16"/>
            <w:szCs w:val="16"/>
          </w:rPr>
          <w:t>117</w:t>
        </w:r>
        <w:r w:rsidRPr="00825198">
          <w:rPr>
            <w:noProof/>
            <w:webHidden/>
            <w:sz w:val="16"/>
            <w:szCs w:val="16"/>
          </w:rPr>
          <w:fldChar w:fldCharType="end"/>
        </w:r>
      </w:hyperlink>
    </w:p>
    <w:p w14:paraId="69F1E97C" w14:textId="0FCC3AE6" w:rsidR="00464158" w:rsidRDefault="00464158" w:rsidP="00464158">
      <w:pPr>
        <w:ind w:left="0"/>
        <w:rPr>
          <w:rFonts w:asciiTheme="minorHAnsi" w:hAnsiTheme="minorHAnsi" w:cstheme="minorHAnsi"/>
          <w:b/>
          <w:bCs/>
          <w:sz w:val="16"/>
          <w:szCs w:val="16"/>
        </w:rPr>
      </w:pPr>
      <w:r w:rsidRPr="00825198">
        <w:rPr>
          <w:rFonts w:asciiTheme="minorHAnsi" w:hAnsiTheme="minorHAnsi" w:cstheme="minorHAnsi"/>
          <w:b/>
          <w:bCs/>
          <w:sz w:val="16"/>
          <w:szCs w:val="16"/>
        </w:rPr>
        <w:fldChar w:fldCharType="end"/>
      </w:r>
      <w:r w:rsidR="00825198">
        <w:rPr>
          <w:rFonts w:asciiTheme="minorHAnsi" w:hAnsiTheme="minorHAnsi" w:cstheme="minorHAnsi"/>
          <w:b/>
          <w:bCs/>
          <w:sz w:val="16"/>
          <w:szCs w:val="16"/>
        </w:rPr>
        <w:t>přílohy:</w:t>
      </w:r>
    </w:p>
    <w:p w14:paraId="72648F0E" w14:textId="3E726F12" w:rsidR="00825198" w:rsidRPr="004C4569" w:rsidRDefault="00825198" w:rsidP="00464158">
      <w:pPr>
        <w:ind w:left="0"/>
        <w:rPr>
          <w:rFonts w:asciiTheme="minorHAnsi" w:hAnsiTheme="minorHAnsi" w:cstheme="minorHAnsi"/>
          <w:szCs w:val="18"/>
        </w:rPr>
      </w:pPr>
      <w:r>
        <w:rPr>
          <w:rFonts w:asciiTheme="minorHAnsi" w:hAnsiTheme="minorHAnsi" w:cstheme="minorHAnsi"/>
          <w:b/>
          <w:bCs/>
          <w:sz w:val="16"/>
          <w:szCs w:val="16"/>
        </w:rPr>
        <w:t xml:space="preserve">P.01 </w:t>
      </w:r>
      <w:r w:rsidR="000F1D9B" w:rsidRPr="000F1D9B">
        <w:rPr>
          <w:rFonts w:asciiTheme="minorHAnsi" w:hAnsiTheme="minorHAnsi" w:cstheme="minorHAnsi"/>
          <w:b/>
          <w:bCs/>
          <w:sz w:val="16"/>
          <w:szCs w:val="16"/>
        </w:rPr>
        <w:t>Protokol kontroly nástrojem NGUP</w:t>
      </w:r>
    </w:p>
    <w:p w14:paraId="4DFC7A63" w14:textId="69F01450" w:rsidR="00464158" w:rsidRPr="004C4569" w:rsidRDefault="00464158">
      <w:pPr>
        <w:ind w:left="0"/>
        <w:rPr>
          <w:rFonts w:asciiTheme="minorHAnsi" w:hAnsiTheme="minorHAnsi" w:cstheme="minorHAnsi"/>
          <w:szCs w:val="18"/>
        </w:rPr>
      </w:pPr>
      <w:r w:rsidRPr="004C4569">
        <w:rPr>
          <w:rFonts w:asciiTheme="minorHAnsi" w:hAnsiTheme="minorHAnsi" w:cstheme="minorHAnsi"/>
          <w:szCs w:val="18"/>
        </w:rPr>
        <w:br w:type="page"/>
      </w:r>
    </w:p>
    <w:p w14:paraId="26E191BC" w14:textId="032B181E" w:rsidR="00436C3D" w:rsidRDefault="00436C3D" w:rsidP="00A651C4">
      <w:pPr>
        <w:pStyle w:val="Nadpis1"/>
      </w:pPr>
      <w:bookmarkStart w:id="0" w:name="_Toc213947217"/>
      <w:bookmarkStart w:id="1" w:name="_Toc214308116"/>
      <w:bookmarkStart w:id="2" w:name="_Toc232612579"/>
      <w:r>
        <w:lastRenderedPageBreak/>
        <w:t>Postup pořízení územního plánu</w:t>
      </w:r>
      <w:bookmarkEnd w:id="0"/>
      <w:bookmarkEnd w:id="1"/>
      <w:bookmarkEnd w:id="2"/>
    </w:p>
    <w:p w14:paraId="7A6DBF00" w14:textId="6086C6BF" w:rsidR="00436C3D" w:rsidRDefault="00436C3D" w:rsidP="00436C3D">
      <w:r w:rsidRPr="001616DD">
        <w:t xml:space="preserve">Dnes platný a účinný </w:t>
      </w:r>
      <w:r>
        <w:t>Územní plán Hlubočky</w:t>
      </w:r>
      <w:r w:rsidRPr="001616DD">
        <w:t xml:space="preserve"> byl vydán opatřením obecné povahy </w:t>
      </w:r>
      <w:r>
        <w:t xml:space="preserve">a nabyl </w:t>
      </w:r>
      <w:r w:rsidRPr="001616DD">
        <w:t xml:space="preserve">účinnosti dne </w:t>
      </w:r>
      <w:r>
        <w:t>27</w:t>
      </w:r>
      <w:r w:rsidRPr="001616DD">
        <w:t xml:space="preserve">.10.2010. </w:t>
      </w:r>
      <w:r>
        <w:t>Soubor z</w:t>
      </w:r>
      <w:r w:rsidRPr="001616DD">
        <w:t xml:space="preserve">měn č. 1 Územního plánu </w:t>
      </w:r>
      <w:r>
        <w:t>Hlubočky</w:t>
      </w:r>
      <w:r w:rsidRPr="001616DD">
        <w:t xml:space="preserve"> </w:t>
      </w:r>
      <w:r>
        <w:t>nabyl</w:t>
      </w:r>
      <w:r w:rsidRPr="001616DD">
        <w:t xml:space="preserve"> účinnosti dne </w:t>
      </w:r>
      <w:r>
        <w:t>15. 9. 2017</w:t>
      </w:r>
      <w:r w:rsidRPr="001616DD">
        <w:t xml:space="preserve"> a</w:t>
      </w:r>
      <w:r>
        <w:t> aktualizoval</w:t>
      </w:r>
      <w:r w:rsidRPr="001616DD">
        <w:t xml:space="preserve"> zejména rozsah zastavitelných ploch a podmínky </w:t>
      </w:r>
      <w:r>
        <w:t>využití území.</w:t>
      </w:r>
    </w:p>
    <w:p w14:paraId="0568A34B" w14:textId="57207A96" w:rsidR="00436C3D" w:rsidRDefault="00411419" w:rsidP="00436C3D">
      <w:r>
        <w:t xml:space="preserve">Zpráva o uplatňování Územního plánu Hlubočky, která je zadáním ÚP Hlubočky, byla </w:t>
      </w:r>
      <w:r w:rsidR="000D6EAB">
        <w:t>vydána v červnu 2024</w:t>
      </w:r>
      <w:r w:rsidR="00436C3D">
        <w:t>.</w:t>
      </w:r>
    </w:p>
    <w:p w14:paraId="3E298EE1" w14:textId="5038AAE6" w:rsidR="00436C3D" w:rsidRPr="00436C3D" w:rsidRDefault="00436C3D" w:rsidP="00436C3D"/>
    <w:p w14:paraId="62888C7D" w14:textId="48281FF0" w:rsidR="00B2680C" w:rsidRDefault="00B2680C" w:rsidP="00A651C4">
      <w:pPr>
        <w:pStyle w:val="Nadpis1"/>
      </w:pPr>
      <w:bookmarkStart w:id="3" w:name="_Toc213947218"/>
      <w:bookmarkStart w:id="4" w:name="_Toc214308117"/>
      <w:bookmarkStart w:id="5" w:name="_Toc232612580"/>
      <w:r>
        <w:t>V</w:t>
      </w:r>
      <w:r w:rsidRPr="007D658E">
        <w:t xml:space="preserve">yhodnocení souladu s cíli a úkoly územního plánování a s požadavky </w:t>
      </w:r>
      <w:r>
        <w:t>stavebního</w:t>
      </w:r>
      <w:r w:rsidRPr="007D658E">
        <w:t xml:space="preserve"> zákona</w:t>
      </w:r>
      <w:bookmarkEnd w:id="3"/>
      <w:bookmarkEnd w:id="4"/>
      <w:bookmarkEnd w:id="5"/>
    </w:p>
    <w:p w14:paraId="031C29F6" w14:textId="4855CD93" w:rsidR="00B2680C" w:rsidRDefault="00B2680C" w:rsidP="007C4CF8">
      <w:pPr>
        <w:pStyle w:val="Nadpis2"/>
      </w:pPr>
      <w:bookmarkStart w:id="6" w:name="_Toc213947219"/>
      <w:bookmarkStart w:id="7" w:name="_Toc214308118"/>
      <w:bookmarkStart w:id="8" w:name="_Toc232612581"/>
      <w:r>
        <w:t>V</w:t>
      </w:r>
      <w:r w:rsidRPr="007D658E">
        <w:t>yhodnocení souladu s cíli a úkoly územního plánování</w:t>
      </w:r>
      <w:bookmarkEnd w:id="6"/>
      <w:bookmarkEnd w:id="7"/>
      <w:bookmarkEnd w:id="8"/>
    </w:p>
    <w:p w14:paraId="3EA15F4D" w14:textId="77777777" w:rsidR="00EE038F" w:rsidRPr="00E94136" w:rsidRDefault="00EE038F" w:rsidP="00EE038F">
      <w:pPr>
        <w:pStyle w:val="Nadpis3"/>
      </w:pPr>
      <w:bookmarkStart w:id="9" w:name="_Toc232612582"/>
      <w:r>
        <w:t>Cíle územního plánování</w:t>
      </w:r>
      <w:bookmarkEnd w:id="9"/>
    </w:p>
    <w:p w14:paraId="4FD1E071" w14:textId="77777777" w:rsidR="00EE038F" w:rsidRPr="00E94136" w:rsidRDefault="00EE038F" w:rsidP="007C2791">
      <w:pPr>
        <w:pStyle w:val="normalni-cisla"/>
        <w:ind w:left="709"/>
        <w:rPr>
          <w:bCs/>
        </w:rPr>
      </w:pPr>
      <w:r w:rsidRPr="00DF00E7">
        <w:t xml:space="preserve">Územní </w:t>
      </w:r>
      <w:r w:rsidRPr="0019155A">
        <w:t>plán</w:t>
      </w:r>
      <w:r w:rsidRPr="00DF00E7">
        <w:t xml:space="preserve"> je v souladu s cíli územního plánování dle § </w:t>
      </w:r>
      <w:r>
        <w:t>3</w:t>
      </w:r>
      <w:r w:rsidRPr="00DF00E7">
        <w:t>8 zákona č.</w:t>
      </w:r>
      <w:r>
        <w:t> 2</w:t>
      </w:r>
      <w:r w:rsidRPr="00DF00E7">
        <w:t>83/20</w:t>
      </w:r>
      <w:r>
        <w:t>21</w:t>
      </w:r>
      <w:r w:rsidRPr="00DF00E7">
        <w:t xml:space="preserve"> Sb. </w:t>
      </w:r>
      <w:r w:rsidRPr="0019155A">
        <w:t>stavební</w:t>
      </w:r>
      <w:r w:rsidRPr="00DF00E7">
        <w:t xml:space="preserve"> zákon, v platném znění:</w:t>
      </w:r>
    </w:p>
    <w:p w14:paraId="419C363A" w14:textId="77777777" w:rsidR="00EE038F" w:rsidRPr="004A771D" w:rsidRDefault="00EE038F" w:rsidP="0019155A">
      <w:pPr>
        <w:pStyle w:val="Normalni-citace"/>
      </w:pPr>
      <w:r w:rsidRPr="004A771D">
        <w:rPr>
          <w:rStyle w:val="PromnnHTML"/>
          <w:iCs w:val="0"/>
          <w:color w:val="000000"/>
          <w:szCs w:val="20"/>
        </w:rPr>
        <w:t>(1</w:t>
      </w:r>
      <w:r w:rsidRPr="004A771D">
        <w:t>) Cílem územního plánování je soustavně a komplexně řešit funkční využití území, stanovovat zásady jeho funkčního a prostorového uspořádání a vytvářet předpoklady pro udržitelný rozvoj území spočívající ve vyváženém vztahu podmínek pro příznivé životní prostředí, pro hospodářský rozvoj a pro soudržnost společenství obyvatel území, který uspokojuje potřeby současné generace, aniž by ohrožoval podmínky života generací budoucích.</w:t>
      </w:r>
    </w:p>
    <w:p w14:paraId="20D92D7B" w14:textId="77777777" w:rsidR="00EE038F" w:rsidRPr="004A771D" w:rsidRDefault="00EE038F" w:rsidP="00DC53F6">
      <w:r w:rsidRPr="00DF00E7">
        <w:t>Územní plán vytváří předpoklady pro výstavbu a pro udržitelný rozvoj území, spočívající ve vyváženém vztahu podmínek pro příznivé životní prostředí, pro hospodářský rozvoj a pro soudržnost společenství obyvatel území a který uspokojuje potřeby současné generace, aniž by ohrožoval podmínky života generací budoucích.</w:t>
      </w:r>
    </w:p>
    <w:p w14:paraId="46B29C6D" w14:textId="77777777" w:rsidR="00EE038F" w:rsidRDefault="00EE038F" w:rsidP="00EE038F">
      <w:pPr>
        <w:pStyle w:val="Normalni-citace"/>
      </w:pPr>
      <w:r w:rsidRPr="004A771D">
        <w:rPr>
          <w:rStyle w:val="PromnnHTML"/>
          <w:iCs w:val="0"/>
          <w:color w:val="000000"/>
          <w:szCs w:val="20"/>
        </w:rPr>
        <w:t>(2)</w:t>
      </w:r>
      <w:r w:rsidRPr="004A771D">
        <w:t> Územní plánování zajišťuje předpoklady pro udržitelný rozvoj území a za tímto účelem vyhodnocuje potenciál rozvoje území a prognózy jeho dalšího vývoje.</w:t>
      </w:r>
    </w:p>
    <w:p w14:paraId="4D27EC25" w14:textId="4B315C01" w:rsidR="00EE038F" w:rsidRPr="004A771D" w:rsidRDefault="00EE038F" w:rsidP="00DC53F6">
      <w:r w:rsidRPr="00DF00E7">
        <w:t>Územní plán zajišťuje předpoklady pro udržitelný rozvoj území soustavným a komplexním řešením účelného využití a prostorového uspořádání území s</w:t>
      </w:r>
      <w:r>
        <w:t> </w:t>
      </w:r>
      <w:r w:rsidRPr="00DF00E7">
        <w:t>cílem dosažení obecně prospěšného souladu veřejných a</w:t>
      </w:r>
      <w:r w:rsidR="00DC53F6">
        <w:t> </w:t>
      </w:r>
      <w:r w:rsidRPr="00DF00E7">
        <w:t>soukromých zájmů na rozvoji území. Za tím účelem sleduje společenský a hospodářský potenciál rozvoje.</w:t>
      </w:r>
    </w:p>
    <w:p w14:paraId="0F9B2C86" w14:textId="7A0AF780" w:rsidR="00EE038F" w:rsidRDefault="00EE038F" w:rsidP="00EE038F">
      <w:pPr>
        <w:pStyle w:val="Normalni-citace"/>
      </w:pPr>
      <w:r w:rsidRPr="004A771D">
        <w:rPr>
          <w:rStyle w:val="PromnnHTML"/>
          <w:iCs w:val="0"/>
          <w:color w:val="000000"/>
          <w:szCs w:val="20"/>
        </w:rPr>
        <w:t>(3)</w:t>
      </w:r>
      <w:r w:rsidRPr="004A771D">
        <w:t> Cílem územního plánování je také zvyšovat kvalitu vystavěného prostředí sídel, rozvíjet jejich identitu a</w:t>
      </w:r>
      <w:r w:rsidR="00DC53F6">
        <w:t> </w:t>
      </w:r>
      <w:r w:rsidRPr="004A771D">
        <w:t>vytvářet funkční a harmonické prostředí pro každodenní život jejich obyvatel.</w:t>
      </w:r>
    </w:p>
    <w:p w14:paraId="4F07C56E" w14:textId="77777777" w:rsidR="00EE038F" w:rsidRPr="004A771D" w:rsidRDefault="00EE038F" w:rsidP="00DC53F6">
      <w:r w:rsidRPr="00DF00E7">
        <w:t>Územní plán je zpracován v koordinaci veřejných i soukromých záměrů změn v území, výstavbu a jiné činnosti ovlivňující rozvoj území a konkretizuje ochranu veřejných zájmů vyplývajících ze zvláštních právních předpisů.</w:t>
      </w:r>
    </w:p>
    <w:p w14:paraId="782DE200" w14:textId="77777777" w:rsidR="00EE038F" w:rsidRDefault="00EE038F" w:rsidP="00EE038F">
      <w:pPr>
        <w:pStyle w:val="Normalni-citace"/>
      </w:pPr>
      <w:r w:rsidRPr="004A771D">
        <w:rPr>
          <w:rStyle w:val="PromnnHTML"/>
          <w:iCs w:val="0"/>
          <w:color w:val="000000"/>
          <w:szCs w:val="20"/>
        </w:rPr>
        <w:t>(4)</w:t>
      </w:r>
      <w:r w:rsidRPr="004A771D">
        <w:t> Územní plánování chrání a rozvíjí přírodní, kulturní a civilizační hodnoty území, včetně urbanistického, architektonického a archeologického dědictví, a přitom chrání krajinu jako podstatnou složku prostředí života obyvatel a základ jejich totožnosti. S ohledem na to určuje podmínky pro hospodárné využívání zastavěného území a zajišťuje ochranu nezastavěného území a ochranu a rozvoj zelené infrastruktury. Zastavitelné plochy se vymezují s ohledem na možnosti rozvoje území a míru využití zastavěného území.</w:t>
      </w:r>
    </w:p>
    <w:p w14:paraId="1344206D" w14:textId="77777777" w:rsidR="00EE038F" w:rsidRPr="004A771D" w:rsidRDefault="00EE038F" w:rsidP="00DC53F6">
      <w:r w:rsidRPr="00DF00E7">
        <w:t>Územní plán ve veřejném zájmu chrání a rozvíjí přírodní, kulturní a civilizační hodnoty území, včetně urbanistického, architektonického a archeologického dědictví. Přitom chrání krajinu jako podstatnou složku prostředí života obyvatel a základ jejich totožnosti. S ohledem na to určuje podmínky pro</w:t>
      </w:r>
      <w:r>
        <w:t> </w:t>
      </w:r>
      <w:r w:rsidRPr="00DF00E7">
        <w:t xml:space="preserve">hospodárné využívání zastavěného území a zajišťuje ochranu nezastavěného území a nezastavitelných pozemků. Zastavitelné plochy </w:t>
      </w:r>
      <w:r>
        <w:t>jsou vymezovány</w:t>
      </w:r>
      <w:r w:rsidRPr="00DF00E7">
        <w:t xml:space="preserve"> s ohledem na potenciál rozvoje území a míru využití zastavěného území.</w:t>
      </w:r>
    </w:p>
    <w:p w14:paraId="379CA3FB" w14:textId="77777777" w:rsidR="00EE038F" w:rsidRDefault="00EE038F" w:rsidP="00EE038F">
      <w:pPr>
        <w:pStyle w:val="Nadpis3"/>
      </w:pPr>
      <w:bookmarkStart w:id="10" w:name="_Toc232612583"/>
      <w:r>
        <w:t>Úkoly územního plánování</w:t>
      </w:r>
      <w:bookmarkEnd w:id="10"/>
    </w:p>
    <w:p w14:paraId="0F4B985F" w14:textId="1D7B91B3" w:rsidR="00EE038F" w:rsidRPr="0019155A" w:rsidRDefault="00EE038F">
      <w:pPr>
        <w:pStyle w:val="normalni-cisla"/>
        <w:numPr>
          <w:ilvl w:val="0"/>
          <w:numId w:val="13"/>
        </w:numPr>
        <w:ind w:left="709"/>
      </w:pPr>
      <w:r w:rsidRPr="0019155A">
        <w:t>Územní plán je v souladu s úkoly územního plánování dle § 39 zákona č. 283/2006 Sb. stavební zákon, v</w:t>
      </w:r>
      <w:r w:rsidR="00B23DE1">
        <w:t> </w:t>
      </w:r>
      <w:r w:rsidRPr="0019155A">
        <w:t>platném znění:</w:t>
      </w:r>
    </w:p>
    <w:p w14:paraId="6221333A" w14:textId="77777777" w:rsidR="00EE038F" w:rsidRDefault="00EE038F" w:rsidP="00EE038F">
      <w:pPr>
        <w:pStyle w:val="Normalni-citace"/>
      </w:pPr>
      <w:r w:rsidRPr="00025D5A">
        <w:rPr>
          <w:rStyle w:val="PromnnHTML"/>
          <w:iCs w:val="0"/>
          <w:color w:val="000000"/>
          <w:szCs w:val="20"/>
        </w:rPr>
        <w:t>a)</w:t>
      </w:r>
      <w:r w:rsidRPr="00025D5A">
        <w:t> zjišťovat a posuzovat stav území, jeho přírodní, kulturní a civilizační hodnoty</w:t>
      </w:r>
      <w:r>
        <w:t>.</w:t>
      </w:r>
    </w:p>
    <w:p w14:paraId="2EB7132F" w14:textId="30068EED" w:rsidR="00EE038F" w:rsidRPr="00025D5A" w:rsidRDefault="00EE038F" w:rsidP="00DC53F6">
      <w:r w:rsidRPr="00DF00E7">
        <w:t xml:space="preserve">Územní plán byl vypracován na základě </w:t>
      </w:r>
      <w:r w:rsidR="00E31AE4">
        <w:t xml:space="preserve">vlastních </w:t>
      </w:r>
      <w:r w:rsidRPr="00DF00E7">
        <w:t>doplňujících průzkumů a rozborů</w:t>
      </w:r>
      <w:r w:rsidR="00E31AE4">
        <w:t xml:space="preserve"> území zpracovatele</w:t>
      </w:r>
      <w:r w:rsidRPr="00DF00E7">
        <w:t>, které prověřily stav území, jeho přírodní, kulturní a civilizační hodnoty</w:t>
      </w:r>
      <w:r>
        <w:t xml:space="preserve">. </w:t>
      </w:r>
      <w:r w:rsidR="00E31AE4">
        <w:t xml:space="preserve">Tyto průzkumy </w:t>
      </w:r>
      <w:r>
        <w:t>byly podkladem pro</w:t>
      </w:r>
      <w:r w:rsidR="00E31AE4">
        <w:t> </w:t>
      </w:r>
      <w:r>
        <w:t>stanovení základní koncepce ochrany hodnot, urbanistické koncepce, koncepce veřejné infrastruktury a koncepce uspořádání krajiny.</w:t>
      </w:r>
    </w:p>
    <w:p w14:paraId="4067C71E" w14:textId="77777777" w:rsidR="00EE038F" w:rsidRDefault="00EE038F" w:rsidP="00EE038F">
      <w:pPr>
        <w:pStyle w:val="Normalni-citace"/>
      </w:pPr>
      <w:r w:rsidRPr="00025D5A">
        <w:rPr>
          <w:rStyle w:val="PromnnHTML"/>
          <w:iCs w:val="0"/>
          <w:color w:val="000000"/>
          <w:szCs w:val="20"/>
        </w:rPr>
        <w:lastRenderedPageBreak/>
        <w:t>b)</w:t>
      </w:r>
      <w:r w:rsidRPr="00025D5A">
        <w:t> stanovovat s ohledem na podmínky a hodnoty území koncepci využití a</w:t>
      </w:r>
      <w:r>
        <w:t> </w:t>
      </w:r>
      <w:r w:rsidRPr="00025D5A">
        <w:t>rozvoje území, včetně dlouhodobé urbanistické koncepce sídel, rozvoje veřejné infrastruktury a ochrany volné krajiny a stanovení podmínek prostupnosti území</w:t>
      </w:r>
      <w:r>
        <w:t>.</w:t>
      </w:r>
    </w:p>
    <w:p w14:paraId="684EA9F4" w14:textId="25DCE343" w:rsidR="00EE038F" w:rsidRPr="00025D5A" w:rsidRDefault="00EE038F" w:rsidP="00DC53F6">
      <w:r w:rsidRPr="00DF00E7">
        <w:t xml:space="preserve">Územní plán stanovuje koncepci rozvoje území, včetně </w:t>
      </w:r>
      <w:r>
        <w:t xml:space="preserve">dlouhodobé </w:t>
      </w:r>
      <w:r w:rsidRPr="00DF00E7">
        <w:t>urbanistické koncepce s ohledem na</w:t>
      </w:r>
      <w:r w:rsidR="00E31AE4">
        <w:t> </w:t>
      </w:r>
      <w:r w:rsidRPr="00DF00E7">
        <w:t xml:space="preserve">hodnoty a </w:t>
      </w:r>
      <w:r>
        <w:t>limity</w:t>
      </w:r>
      <w:r w:rsidRPr="00DF00E7">
        <w:t xml:space="preserve"> území</w:t>
      </w:r>
      <w:r>
        <w:t>.</w:t>
      </w:r>
    </w:p>
    <w:p w14:paraId="2CDAF099" w14:textId="77777777" w:rsidR="00EE038F" w:rsidRDefault="00EE038F" w:rsidP="00EE038F">
      <w:pPr>
        <w:pStyle w:val="Normalni-citace"/>
      </w:pPr>
      <w:r w:rsidRPr="00025D5A">
        <w:rPr>
          <w:rStyle w:val="PromnnHTML"/>
          <w:iCs w:val="0"/>
          <w:color w:val="000000"/>
          <w:szCs w:val="20"/>
        </w:rPr>
        <w:t>c)</w:t>
      </w:r>
      <w:r w:rsidRPr="00025D5A">
        <w:t> prověřovat a posuzovat potřebu změn v území, jejich přínosy, problémy a</w:t>
      </w:r>
      <w:r>
        <w:t> </w:t>
      </w:r>
      <w:r w:rsidRPr="00025D5A">
        <w:t>rizika s ohledem na ochranu veřejných zájmů a hospodárné využívání území</w:t>
      </w:r>
      <w:r>
        <w:t>.</w:t>
      </w:r>
    </w:p>
    <w:p w14:paraId="664CFA31" w14:textId="77777777" w:rsidR="00EE038F" w:rsidRPr="00025D5A" w:rsidRDefault="00EE038F" w:rsidP="00DC53F6">
      <w:r w:rsidRPr="00DF00E7">
        <w:t>Územní plán prověřil a posoudil potřebu změn v území, veřejný zájem na</w:t>
      </w:r>
      <w:r>
        <w:t> </w:t>
      </w:r>
      <w:r w:rsidRPr="00DF00E7">
        <w:t>jejich provedení, jejich přínosy, problémy, rizika s ohledem například na</w:t>
      </w:r>
      <w:r>
        <w:t xml:space="preserve"> charakter území, </w:t>
      </w:r>
      <w:r w:rsidRPr="00DF00E7">
        <w:t xml:space="preserve">veřejné zdraví, </w:t>
      </w:r>
      <w:r>
        <w:t xml:space="preserve">kvalitu </w:t>
      </w:r>
      <w:r w:rsidRPr="00DF00E7">
        <w:t>životní</w:t>
      </w:r>
      <w:r>
        <w:t>ho</w:t>
      </w:r>
      <w:r w:rsidRPr="00DF00E7">
        <w:t xml:space="preserve"> prostředí, vliv na</w:t>
      </w:r>
      <w:r>
        <w:t> </w:t>
      </w:r>
      <w:r w:rsidRPr="00DF00E7">
        <w:t>veřejnou infrastrukturu a na její hospodárné využívání</w:t>
      </w:r>
      <w:r>
        <w:t>.</w:t>
      </w:r>
    </w:p>
    <w:p w14:paraId="3227171F" w14:textId="77777777" w:rsidR="00EE038F" w:rsidRDefault="00EE038F" w:rsidP="00EE038F">
      <w:pPr>
        <w:pStyle w:val="Normalni-citace"/>
      </w:pPr>
      <w:r w:rsidRPr="00025D5A">
        <w:rPr>
          <w:rStyle w:val="PromnnHTML"/>
          <w:iCs w:val="0"/>
          <w:color w:val="000000"/>
          <w:szCs w:val="20"/>
        </w:rPr>
        <w:t>d)</w:t>
      </w:r>
      <w:r w:rsidRPr="00025D5A">
        <w:t> stanovovat urbanistické, architektonické, estetické a funkční požadavky na využívání a prostorové uspořádání území a na jeho změny, zejména na míru využití území, umístění, uspořádání a řešení staveb a kvalitu veřejných prostranství</w:t>
      </w:r>
      <w:r>
        <w:t>.</w:t>
      </w:r>
    </w:p>
    <w:p w14:paraId="20AEDAA1" w14:textId="77777777" w:rsidR="00EE038F" w:rsidRPr="00025D5A" w:rsidRDefault="00EE038F" w:rsidP="00DC53F6">
      <w:r w:rsidRPr="00DF00E7">
        <w:t>Územní plán stanovuje urbanistické, architektonické a estetické požadavky na využívání a prostorové uspořádání území a na jeho změny, zejména na umístění, uspořádání a řešení staveb</w:t>
      </w:r>
      <w:r>
        <w:t>.</w:t>
      </w:r>
    </w:p>
    <w:p w14:paraId="6F060836" w14:textId="77777777" w:rsidR="00EE038F" w:rsidRDefault="00EE038F" w:rsidP="00EE038F">
      <w:pPr>
        <w:pStyle w:val="Normalni-citace"/>
      </w:pPr>
      <w:r w:rsidRPr="00025D5A">
        <w:rPr>
          <w:rStyle w:val="PromnnHTML"/>
          <w:iCs w:val="0"/>
          <w:color w:val="000000"/>
          <w:szCs w:val="20"/>
        </w:rPr>
        <w:t>e)</w:t>
      </w:r>
      <w:r w:rsidRPr="00025D5A">
        <w:t> vytvářet předpoklady pro hospodárné využívání území, zejména důsledným využíváním zastavěného území sídel prostřednictvím cílené revitalizace znehodnocených nebo zanedbaných ploch</w:t>
      </w:r>
      <w:r>
        <w:t>.</w:t>
      </w:r>
    </w:p>
    <w:p w14:paraId="5575E286" w14:textId="77777777" w:rsidR="00EE038F" w:rsidRPr="00025D5A" w:rsidRDefault="00EE038F" w:rsidP="00DC53F6">
      <w:r w:rsidRPr="00DF00E7">
        <w:t>Územní plán stanovuje podmínky pro provedení změn v území, zejména pak pro umístění a uspořádání staveb s ohledem na stávající charakter a hodnoty území</w:t>
      </w:r>
      <w:r>
        <w:t>.</w:t>
      </w:r>
    </w:p>
    <w:p w14:paraId="267FFF87" w14:textId="77777777" w:rsidR="00EE038F" w:rsidRDefault="00EE038F" w:rsidP="00EE038F">
      <w:pPr>
        <w:pStyle w:val="Normalni-citace"/>
      </w:pPr>
      <w:r w:rsidRPr="00025D5A">
        <w:rPr>
          <w:rStyle w:val="PromnnHTML"/>
          <w:iCs w:val="0"/>
          <w:color w:val="000000"/>
          <w:szCs w:val="20"/>
        </w:rPr>
        <w:t>f)</w:t>
      </w:r>
      <w:r w:rsidRPr="00025D5A">
        <w:t> s ohledem na charakter území a kvalitu vystavěného prostředí vyhodnocovat a, je-li to účelné, vymezovat vhodné plochy pro výrobu; plochy pro výrobu elektřiny, plynu a tepla včetně ploch pro jejich výrobu z</w:t>
      </w:r>
      <w:r>
        <w:t> </w:t>
      </w:r>
      <w:r w:rsidRPr="00025D5A">
        <w:t>obnovitelných zdrojů vymezovat rovněž s ohledem na cíle energetické koncepce</w:t>
      </w:r>
      <w:hyperlink r:id="rId13" w:anchor="f7694496" w:history="1"/>
      <w:r w:rsidRPr="00025D5A">
        <w:t> a klimatické cíle státu,</w:t>
      </w:r>
    </w:p>
    <w:p w14:paraId="177AB783" w14:textId="2E182533" w:rsidR="00EE038F" w:rsidRPr="00C96AA6" w:rsidRDefault="00EE038F" w:rsidP="00DC53F6">
      <w:pPr>
        <w:rPr>
          <w:i/>
        </w:rPr>
      </w:pPr>
      <w:r w:rsidRPr="00C96AA6">
        <w:t xml:space="preserve">Územní plán stanovuje </w:t>
      </w:r>
      <w:r>
        <w:t xml:space="preserve">podmínky využití území tak, aby podporoval potenciál lokálních energetických systémů a zároveň chránil krajinný ráz a charakter </w:t>
      </w:r>
      <w:r w:rsidR="00816158">
        <w:t xml:space="preserve">převážně příměstského až </w:t>
      </w:r>
      <w:r>
        <w:t>venkovského prostředí obce.</w:t>
      </w:r>
    </w:p>
    <w:p w14:paraId="59DECB6B" w14:textId="77777777" w:rsidR="00EE038F" w:rsidRDefault="00EE038F" w:rsidP="00EE038F">
      <w:pPr>
        <w:pStyle w:val="Normalni-citace"/>
      </w:pPr>
      <w:r w:rsidRPr="00025D5A">
        <w:rPr>
          <w:rStyle w:val="PromnnHTML"/>
          <w:iCs w:val="0"/>
          <w:color w:val="000000"/>
          <w:szCs w:val="20"/>
        </w:rPr>
        <w:t>g)</w:t>
      </w:r>
      <w:r w:rsidRPr="00025D5A">
        <w:t> stanovovat podmínky pro obnovu a rozvoj sídelní struktury, pro kvalitní bydlení a pro rozvoj rekreace a cestovního ruchu</w:t>
      </w:r>
      <w:r>
        <w:t>.</w:t>
      </w:r>
    </w:p>
    <w:p w14:paraId="532EB5DD" w14:textId="721245E9" w:rsidR="00EE038F" w:rsidRPr="00025D5A" w:rsidRDefault="00EE038F" w:rsidP="00DC53F6">
      <w:r>
        <w:t>Územní plán stanovuje podmínky ochranu charakteru a životního prostředí obce a posiluje tak důraz na</w:t>
      </w:r>
      <w:r w:rsidR="00E31AE4">
        <w:t> </w:t>
      </w:r>
      <w:r>
        <w:t>zajištění kvality bydlení a rekreace obyvatel a dalších uživatelů území.</w:t>
      </w:r>
    </w:p>
    <w:p w14:paraId="4203D200" w14:textId="77777777" w:rsidR="00EE038F" w:rsidRDefault="00EE038F" w:rsidP="00EE038F">
      <w:pPr>
        <w:pStyle w:val="Normalni-citace"/>
      </w:pPr>
      <w:r w:rsidRPr="00025D5A">
        <w:rPr>
          <w:rStyle w:val="PromnnHTML"/>
          <w:iCs w:val="0"/>
          <w:color w:val="000000"/>
          <w:szCs w:val="20"/>
        </w:rPr>
        <w:t>h)</w:t>
      </w:r>
      <w:r w:rsidRPr="00025D5A">
        <w:t> prověřovat a posuzovat potřebu změn v území, zejména pak pro umístění a</w:t>
      </w:r>
      <w:r>
        <w:t> </w:t>
      </w:r>
      <w:r w:rsidRPr="00025D5A">
        <w:t>uspořádání staveb s ohledem na stávající charakter a hodnoty v území a</w:t>
      </w:r>
      <w:r>
        <w:t> </w:t>
      </w:r>
      <w:r w:rsidRPr="00025D5A">
        <w:t>na</w:t>
      </w:r>
      <w:r>
        <w:t> </w:t>
      </w:r>
      <w:r w:rsidRPr="00025D5A">
        <w:t>využitelnost navazujícího území, tyto změny navrhovat a stanovovat podmínky pro jejich provedení</w:t>
      </w:r>
      <w:r>
        <w:t>.</w:t>
      </w:r>
    </w:p>
    <w:p w14:paraId="279C275D" w14:textId="208F0619" w:rsidR="00EE038F" w:rsidRPr="00025D5A" w:rsidRDefault="00EE038F" w:rsidP="00DC53F6">
      <w:r>
        <w:t>Územní plán prověřil a posoudil potřebu změn v území a ve vhodných polohách vymezil návrhové plochy pro rozvoj obce s ohledem na ochranu jejího charakteru a hodnot území. Návrhové plochy významnějšího rozsahu a dopadu na rozvoj veřejné infrastruktury obce jsou podmíněny upřesněním urbanistické koncepce a koncepce veřejné infrastruktury podrobnější dokumentací (územní studie) nebo plánovací smlouvou.</w:t>
      </w:r>
    </w:p>
    <w:p w14:paraId="2C9EDAB3" w14:textId="77777777" w:rsidR="00EE038F" w:rsidRDefault="00EE038F" w:rsidP="00EE038F">
      <w:pPr>
        <w:pStyle w:val="Normalni-citace"/>
      </w:pPr>
      <w:r w:rsidRPr="00025D5A">
        <w:rPr>
          <w:rStyle w:val="PromnnHTML"/>
          <w:iCs w:val="0"/>
          <w:color w:val="000000"/>
          <w:szCs w:val="20"/>
        </w:rPr>
        <w:t>i)</w:t>
      </w:r>
      <w:r w:rsidRPr="00025D5A">
        <w:t> stanovovat pořadí provádění změn v</w:t>
      </w:r>
      <w:r>
        <w:t> </w:t>
      </w:r>
      <w:r w:rsidRPr="00025D5A">
        <w:t>území</w:t>
      </w:r>
      <w:r>
        <w:t>.</w:t>
      </w:r>
    </w:p>
    <w:p w14:paraId="6538DC8B" w14:textId="259DC6E4" w:rsidR="00EE038F" w:rsidRPr="00025D5A" w:rsidRDefault="00EE038F" w:rsidP="00EE038F">
      <w:r>
        <w:t xml:space="preserve">Územní plán prověřil potřebu koordinace provádění změn v území a stanovil pro vybrané návrhové plochy požadavky na </w:t>
      </w:r>
      <w:r w:rsidRPr="007E509B">
        <w:t xml:space="preserve">podmíněnost využití návrhových ploch </w:t>
      </w:r>
      <w:r w:rsidR="00816158">
        <w:t>zajištěním opatření veřejné infrastruktury</w:t>
      </w:r>
      <w:r>
        <w:t>.</w:t>
      </w:r>
    </w:p>
    <w:p w14:paraId="5171A054" w14:textId="77777777" w:rsidR="00EE038F" w:rsidRDefault="00EE038F" w:rsidP="00EE038F">
      <w:pPr>
        <w:pStyle w:val="Normalni-citace"/>
      </w:pPr>
      <w:r w:rsidRPr="00025D5A">
        <w:rPr>
          <w:rStyle w:val="PromnnHTML"/>
          <w:iCs w:val="0"/>
          <w:color w:val="000000"/>
          <w:szCs w:val="20"/>
        </w:rPr>
        <w:t>j)</w:t>
      </w:r>
      <w:r w:rsidRPr="00025D5A">
        <w:t> koordinovat veřejné zájmy a podněty na provedení změn v</w:t>
      </w:r>
      <w:r>
        <w:t> </w:t>
      </w:r>
      <w:r w:rsidRPr="00025D5A">
        <w:t>území</w:t>
      </w:r>
      <w:r>
        <w:t>.</w:t>
      </w:r>
    </w:p>
    <w:p w14:paraId="0F209C92" w14:textId="77777777" w:rsidR="00EE038F" w:rsidRPr="00025D5A" w:rsidRDefault="00EE038F" w:rsidP="00EE038F">
      <w:pPr>
        <w:pStyle w:val="Normalni-citace"/>
      </w:pPr>
      <w:r>
        <w:rPr>
          <w:rStyle w:val="PromnnHTML"/>
          <w:iCs w:val="0"/>
          <w:color w:val="000000"/>
          <w:szCs w:val="20"/>
        </w:rPr>
        <w:t>Územní plán prověřil podněty na provedení změn v území a zkoordinoval je s veřejnými zájmy, zejména zájmy ochrany zemědělského půdního fondu a zájmy ochrany životního prostředí.</w:t>
      </w:r>
    </w:p>
    <w:p w14:paraId="71234FA6" w14:textId="77777777" w:rsidR="00EE038F" w:rsidRDefault="00EE038F" w:rsidP="00EE038F">
      <w:pPr>
        <w:pStyle w:val="Normalni-citace"/>
      </w:pPr>
      <w:r w:rsidRPr="00025D5A">
        <w:rPr>
          <w:rStyle w:val="PromnnHTML"/>
          <w:iCs w:val="0"/>
          <w:color w:val="000000"/>
          <w:szCs w:val="20"/>
        </w:rPr>
        <w:t>k)</w:t>
      </w:r>
      <w:r w:rsidRPr="00025D5A">
        <w:t> vymezovat veřejně prospěšné stavby a veřejně prospěšná opatření</w:t>
      </w:r>
      <w:r>
        <w:t>.</w:t>
      </w:r>
    </w:p>
    <w:p w14:paraId="72B37F80" w14:textId="609F1393" w:rsidR="00EE038F" w:rsidRPr="00025D5A" w:rsidRDefault="00EE038F" w:rsidP="00EE038F">
      <w:r>
        <w:t xml:space="preserve">Územní plán prověřil a vymezil veřejně prospěšní stavby a veřejně prospěšná opatření pro rozvoj veřejné infrastruktury obce a </w:t>
      </w:r>
      <w:r w:rsidR="003A0611">
        <w:t xml:space="preserve">zajištění </w:t>
      </w:r>
      <w:r>
        <w:t>ochran</w:t>
      </w:r>
      <w:r w:rsidR="003A0611">
        <w:t>y</w:t>
      </w:r>
      <w:r>
        <w:t xml:space="preserve"> krajiny.</w:t>
      </w:r>
    </w:p>
    <w:p w14:paraId="6B2F366D" w14:textId="77777777" w:rsidR="00EE038F" w:rsidRDefault="00EE038F" w:rsidP="00EE038F">
      <w:pPr>
        <w:pStyle w:val="Normalni-citace"/>
      </w:pPr>
      <w:r w:rsidRPr="00025D5A">
        <w:rPr>
          <w:rStyle w:val="PromnnHTML"/>
          <w:iCs w:val="0"/>
          <w:color w:val="000000"/>
          <w:szCs w:val="20"/>
        </w:rPr>
        <w:t>l)</w:t>
      </w:r>
      <w:r w:rsidRPr="00025D5A">
        <w:t> vytvářet a stanovovat podmínky pro snižování nebezpečí v území, zejména před účinky povodní, sucha, erozních jevů a extrémních teplot</w:t>
      </w:r>
      <w:r>
        <w:t>.</w:t>
      </w:r>
    </w:p>
    <w:p w14:paraId="0D47E737" w14:textId="77777777" w:rsidR="00EE038F" w:rsidRPr="00025D5A" w:rsidRDefault="00EE038F" w:rsidP="00EE038F">
      <w:r w:rsidRPr="00DF00E7">
        <w:t xml:space="preserve">Územní plán vytváří v území podmínky pro snižování nebezpečí ekologických </w:t>
      </w:r>
      <w:r>
        <w:t>hrozeb</w:t>
      </w:r>
      <w:r w:rsidRPr="00DF00E7">
        <w:t>, a to přírodě blízkým způsobem</w:t>
      </w:r>
      <w:r>
        <w:t>, zejména členěním rozsáhlých půdních bloků prvky krajinné zeleně nebo stanovením podílu nezpevněných ploch pozemků.</w:t>
      </w:r>
    </w:p>
    <w:p w14:paraId="1A7DE6F3" w14:textId="77777777" w:rsidR="00EE038F" w:rsidRDefault="00EE038F" w:rsidP="00EE038F">
      <w:pPr>
        <w:pStyle w:val="Normalni-citace"/>
      </w:pPr>
      <w:r w:rsidRPr="00025D5A">
        <w:rPr>
          <w:rStyle w:val="PromnnHTML"/>
          <w:iCs w:val="0"/>
          <w:color w:val="000000"/>
          <w:szCs w:val="20"/>
        </w:rPr>
        <w:t>m)</w:t>
      </w:r>
      <w:r w:rsidRPr="00025D5A">
        <w:t> uplatňovat požadavky na adaptaci sídel a uspořádání krajiny vyplývající ze změny klimatu</w:t>
      </w:r>
      <w:r>
        <w:t>.</w:t>
      </w:r>
    </w:p>
    <w:p w14:paraId="6B11B411" w14:textId="216AA94C" w:rsidR="00EE038F" w:rsidRPr="00025D5A" w:rsidRDefault="00EE038F" w:rsidP="00EE038F">
      <w:r>
        <w:t>Územní plán prověřil požadavky na adaptaci sídel a uspořádání krajiny vyplývající ze změny klimatu a</w:t>
      </w:r>
      <w:r w:rsidR="003A0611">
        <w:t> </w:t>
      </w:r>
      <w:r>
        <w:t>vymezuje adaptační opatření v zastavěném území i krajině, zejména stanovení podílu nezpevněných ploch pozemků pro zlepšování příznivého mikroklimatu zastavěného území obce, opatření pro zadržování vody v krajině, opatření pro rozvoj krajinné i sídlení zeleně nebo podmínky pro rozvoj lokální energetiky.</w:t>
      </w:r>
    </w:p>
    <w:p w14:paraId="2135EE6F" w14:textId="1C72BEFD" w:rsidR="00EE038F" w:rsidRDefault="00EE038F" w:rsidP="00EE038F">
      <w:pPr>
        <w:pStyle w:val="Normalni-citace"/>
      </w:pPr>
      <w:r w:rsidRPr="00025D5A">
        <w:rPr>
          <w:rStyle w:val="PromnnHTML"/>
          <w:iCs w:val="0"/>
          <w:color w:val="000000"/>
          <w:szCs w:val="20"/>
        </w:rPr>
        <w:lastRenderedPageBreak/>
        <w:t>n)</w:t>
      </w:r>
      <w:r w:rsidRPr="00025D5A">
        <w:t> prověřovat a vytvářet v území podmínky pro hospodárné vynakládání prostředků z veřejných rozpočtů na</w:t>
      </w:r>
      <w:r w:rsidR="003A0611">
        <w:t> </w:t>
      </w:r>
      <w:r w:rsidRPr="00025D5A">
        <w:t>změny v</w:t>
      </w:r>
      <w:r>
        <w:t> </w:t>
      </w:r>
      <w:r w:rsidRPr="00025D5A">
        <w:t>území</w:t>
      </w:r>
      <w:r>
        <w:t>.</w:t>
      </w:r>
    </w:p>
    <w:p w14:paraId="2D08CE59" w14:textId="51433AF1" w:rsidR="00EE038F" w:rsidRPr="00025D5A" w:rsidRDefault="00EE038F" w:rsidP="00EE038F">
      <w:r w:rsidRPr="00DF00E7">
        <w:t>Územní plán vytváří v území podmínky pro hospodárné vynakládání prostředků z veřejných rozpočtů na</w:t>
      </w:r>
      <w:r w:rsidR="003A0611">
        <w:t> </w:t>
      </w:r>
      <w:r w:rsidRPr="00DF00E7">
        <w:t>změny v</w:t>
      </w:r>
      <w:r>
        <w:t> </w:t>
      </w:r>
      <w:r w:rsidRPr="00DF00E7">
        <w:t>území</w:t>
      </w:r>
      <w:r>
        <w:t xml:space="preserve"> zejména způsobem stanovení podmínek využití území a prostorového uspořádání.</w:t>
      </w:r>
    </w:p>
    <w:p w14:paraId="45E104BF" w14:textId="77777777" w:rsidR="00EE038F" w:rsidRDefault="00EE038F" w:rsidP="00EE038F">
      <w:pPr>
        <w:pStyle w:val="Normalni-citace"/>
      </w:pPr>
      <w:r w:rsidRPr="00025D5A">
        <w:rPr>
          <w:rStyle w:val="PromnnHTML"/>
          <w:iCs w:val="0"/>
          <w:color w:val="000000"/>
          <w:szCs w:val="20"/>
        </w:rPr>
        <w:t>o)</w:t>
      </w:r>
      <w:r w:rsidRPr="00025D5A">
        <w:t> vytvářet v území podmínky pro zajištění obrany a bezpečnosti státu a civilní ochrany</w:t>
      </w:r>
      <w:r>
        <w:t>.</w:t>
      </w:r>
    </w:p>
    <w:p w14:paraId="647FFA1D" w14:textId="77777777" w:rsidR="00EE038F" w:rsidRPr="00025D5A" w:rsidRDefault="00EE038F" w:rsidP="00EE038F">
      <w:r w:rsidRPr="00DF00E7">
        <w:t>Územní plán vytváří v území podmínky pro zajištění civilní ochrany</w:t>
      </w:r>
      <w:r>
        <w:t>.</w:t>
      </w:r>
    </w:p>
    <w:p w14:paraId="1CAB0580" w14:textId="77777777" w:rsidR="00EE038F" w:rsidRDefault="00EE038F" w:rsidP="00EE038F">
      <w:pPr>
        <w:pStyle w:val="Normalni-citace"/>
      </w:pPr>
      <w:r w:rsidRPr="00025D5A">
        <w:rPr>
          <w:rStyle w:val="PromnnHTML"/>
          <w:iCs w:val="0"/>
          <w:color w:val="000000"/>
          <w:szCs w:val="20"/>
        </w:rPr>
        <w:t>p)</w:t>
      </w:r>
      <w:r w:rsidRPr="00025D5A">
        <w:t> vytvářet v území podmínky pro odstraňování následků náhlých hospodářských změn zejména prověřováním a případným vymezováním zastavitelných ploch nebo transformačních ploch</w:t>
      </w:r>
      <w:r>
        <w:t>.</w:t>
      </w:r>
    </w:p>
    <w:p w14:paraId="67FEC69B" w14:textId="1B391694" w:rsidR="00EE038F" w:rsidRPr="00025D5A" w:rsidRDefault="00EE038F" w:rsidP="00EE038F">
      <w:r w:rsidRPr="00DF00E7">
        <w:t>Územní plán vytváří v území podmínky pro odstraňování důsledků náhlých hospodářských změn</w:t>
      </w:r>
      <w:r>
        <w:t xml:space="preserve"> zejména důsledným vyhodnocením potřeby návrhových ploch a charakteru jejich využití.</w:t>
      </w:r>
    </w:p>
    <w:p w14:paraId="3416109C" w14:textId="77777777" w:rsidR="00EE038F" w:rsidRDefault="00EE038F" w:rsidP="00EE038F">
      <w:pPr>
        <w:pStyle w:val="Normalni-citace"/>
      </w:pPr>
      <w:r w:rsidRPr="00025D5A">
        <w:rPr>
          <w:rStyle w:val="PromnnHTML"/>
          <w:iCs w:val="0"/>
          <w:color w:val="000000"/>
          <w:szCs w:val="20"/>
        </w:rPr>
        <w:t>q)</w:t>
      </w:r>
      <w:r w:rsidRPr="00025D5A">
        <w:t> určovat nutné asanační a rekultivační zásahy do území</w:t>
      </w:r>
      <w:r>
        <w:t>.</w:t>
      </w:r>
    </w:p>
    <w:p w14:paraId="4D880484" w14:textId="77777777" w:rsidR="00EE038F" w:rsidRPr="00025D5A" w:rsidRDefault="00EE038F" w:rsidP="00EE038F">
      <w:r>
        <w:t xml:space="preserve">Územní plán prověřil </w:t>
      </w:r>
      <w:r w:rsidRPr="00025D5A">
        <w:t>nutné asanační a rekultivační zásahy do území</w:t>
      </w:r>
      <w:r>
        <w:t xml:space="preserve"> a s ohledem na charakter území nejsou stanoveny.</w:t>
      </w:r>
    </w:p>
    <w:p w14:paraId="76221F9B" w14:textId="6621EFFE" w:rsidR="00EE038F" w:rsidRDefault="00EE038F" w:rsidP="00EE038F">
      <w:pPr>
        <w:pStyle w:val="Normalni-citace"/>
      </w:pPr>
      <w:r w:rsidRPr="00025D5A">
        <w:rPr>
          <w:rStyle w:val="PromnnHTML"/>
          <w:iCs w:val="0"/>
          <w:color w:val="000000"/>
          <w:szCs w:val="20"/>
        </w:rPr>
        <w:t>r)</w:t>
      </w:r>
      <w:r w:rsidRPr="00025D5A">
        <w:t> regulovat rozsah ploch pro využívání přírodních a nerostných zdrojů, vytvářet a stanovovat podmínky pro</w:t>
      </w:r>
      <w:r w:rsidR="00957F46">
        <w:t> </w:t>
      </w:r>
      <w:r w:rsidRPr="00025D5A">
        <w:t>jejich využití</w:t>
      </w:r>
      <w:r>
        <w:t>.</w:t>
      </w:r>
    </w:p>
    <w:p w14:paraId="16236D7B" w14:textId="234E654E" w:rsidR="00EE038F" w:rsidRPr="00025D5A" w:rsidRDefault="00957F46" w:rsidP="00EE038F">
      <w:r>
        <w:t>Rozsah ploch pro využívání nerostných zdrojů je stabilizován dle současného využití území, nové plochy těžby nejsou vymezeny</w:t>
      </w:r>
      <w:r w:rsidR="00EE038F">
        <w:t>.</w:t>
      </w:r>
    </w:p>
    <w:p w14:paraId="682BB803" w14:textId="77777777" w:rsidR="00EE038F" w:rsidRPr="00025D5A" w:rsidRDefault="00EE038F" w:rsidP="00EE038F">
      <w:pPr>
        <w:pStyle w:val="Normalni-citace"/>
      </w:pPr>
      <w:r w:rsidRPr="00025D5A">
        <w:rPr>
          <w:rStyle w:val="PromnnHTML"/>
          <w:iCs w:val="0"/>
          <w:color w:val="000000"/>
          <w:szCs w:val="20"/>
        </w:rPr>
        <w:t>s)</w:t>
      </w:r>
      <w:r w:rsidRPr="00025D5A">
        <w:t> vytvářet podmínky pro ochranu území podle jiných právních předpisů před</w:t>
      </w:r>
      <w:r>
        <w:t> </w:t>
      </w:r>
      <w:r w:rsidRPr="00025D5A">
        <w:t>významnými negativními vlivy záměrů na území a navrhovat kompenzační opatření, pokud tak stanoví jiný právní předpis.</w:t>
      </w:r>
      <w:r>
        <w:t xml:space="preserve"> </w:t>
      </w:r>
    </w:p>
    <w:p w14:paraId="04A0AF26" w14:textId="782A1C25" w:rsidR="007C4CF8" w:rsidRDefault="00EE038F" w:rsidP="00EE038F">
      <w:r>
        <w:t xml:space="preserve">Krajský úřad </w:t>
      </w:r>
      <w:r w:rsidR="00DC53F6">
        <w:t>Olomouckého</w:t>
      </w:r>
      <w:r>
        <w:t xml:space="preserve"> kraje vyloučil negativní vliv koncepce na životní prostředí, kompenzační opatření nejsou navržena.</w:t>
      </w:r>
    </w:p>
    <w:p w14:paraId="6F9B3F89" w14:textId="31E15073" w:rsidR="00DC53F6" w:rsidRDefault="00DC53F6" w:rsidP="00DC53F6">
      <w:pPr>
        <w:pStyle w:val="Nadpis2"/>
      </w:pPr>
      <w:bookmarkStart w:id="11" w:name="_Toc213941343"/>
      <w:bookmarkStart w:id="12" w:name="_Toc213941611"/>
      <w:bookmarkStart w:id="13" w:name="_Toc213941707"/>
      <w:bookmarkStart w:id="14" w:name="_Toc213947220"/>
      <w:bookmarkStart w:id="15" w:name="_Toc214308119"/>
      <w:bookmarkStart w:id="16" w:name="_Toc232612584"/>
      <w:r>
        <w:t>Vyhodnocení s</w:t>
      </w:r>
      <w:r w:rsidRPr="00040C21">
        <w:t>oulad</w:t>
      </w:r>
      <w:r>
        <w:t>u</w:t>
      </w:r>
      <w:r w:rsidRPr="00040C21">
        <w:t xml:space="preserve"> s požadavky stavebního zákona</w:t>
      </w:r>
      <w:bookmarkEnd w:id="11"/>
      <w:bookmarkEnd w:id="12"/>
      <w:bookmarkEnd w:id="13"/>
      <w:bookmarkEnd w:id="14"/>
      <w:bookmarkEnd w:id="15"/>
      <w:bookmarkEnd w:id="16"/>
    </w:p>
    <w:p w14:paraId="448BDFD5" w14:textId="77777777" w:rsidR="00DC53F6" w:rsidRPr="00040C21" w:rsidRDefault="00DC53F6">
      <w:pPr>
        <w:pStyle w:val="normalni-cisla"/>
        <w:numPr>
          <w:ilvl w:val="0"/>
          <w:numId w:val="49"/>
        </w:numPr>
        <w:ind w:left="709"/>
      </w:pPr>
      <w:r w:rsidRPr="00040C21">
        <w:t>Územní plán byl zpracován v souladu se zákonem č. 283/2021 Sb., Stavební zákon v platném znění, a jeho prováděcích předpisů.</w:t>
      </w:r>
    </w:p>
    <w:p w14:paraId="4516B6D6" w14:textId="77777777" w:rsidR="00DC53F6" w:rsidRPr="00040C21" w:rsidRDefault="00DC53F6" w:rsidP="00DC53F6">
      <w:r w:rsidRPr="00040C21">
        <w:t>Jedná se především o soulad s těmito ustanoveními:</w:t>
      </w:r>
    </w:p>
    <w:p w14:paraId="1370FC06" w14:textId="77777777" w:rsidR="00DC53F6" w:rsidRPr="00040C21" w:rsidRDefault="00DC53F6" w:rsidP="00DC53F6">
      <w:r w:rsidRPr="00040C21">
        <w:t xml:space="preserve">Věcný obsah územního plánu odpovídá požadavkům § </w:t>
      </w:r>
      <w:r>
        <w:t>80 až 84</w:t>
      </w:r>
      <w:r w:rsidRPr="00040C21">
        <w:t xml:space="preserve"> zákona č.</w:t>
      </w:r>
      <w:r>
        <w:t> 2</w:t>
      </w:r>
      <w:r w:rsidRPr="00040C21">
        <w:t>83/20</w:t>
      </w:r>
      <w:r>
        <w:t>21</w:t>
      </w:r>
      <w:r w:rsidRPr="00040C21">
        <w:t xml:space="preserve"> Sb., v platném znění, a je obsahově a formálně v souladu s</w:t>
      </w:r>
      <w:r>
        <w:t> přílohou č. 8 zákona č. 283/2021 Sb., v platném znění</w:t>
      </w:r>
      <w:r w:rsidRPr="00040C21">
        <w:t>.</w:t>
      </w:r>
    </w:p>
    <w:p w14:paraId="70812235" w14:textId="77777777" w:rsidR="00DC53F6" w:rsidRDefault="00DC53F6" w:rsidP="00DC53F6">
      <w:r w:rsidRPr="00040C21">
        <w:t>Plochy s rozdílným způsobem využití byly vymezeny v souladu s vyhláškou č.</w:t>
      </w:r>
      <w:r>
        <w:t> 157/2024</w:t>
      </w:r>
      <w:r w:rsidRPr="00040C21">
        <w:t xml:space="preserve"> Sb., v platném znění. </w:t>
      </w:r>
    </w:p>
    <w:p w14:paraId="5DD462A3" w14:textId="1D044AF5" w:rsidR="00DC53F6" w:rsidRDefault="00DC53F6" w:rsidP="00D25B26">
      <w:r w:rsidRPr="00040C21">
        <w:t>Veřejně prospěšné stavby a veřejně prospěšná opatření byly vymezeny v</w:t>
      </w:r>
      <w:r>
        <w:t> </w:t>
      </w:r>
      <w:r w:rsidRPr="00040C21">
        <w:t>souladu s § 170 zákona č. </w:t>
      </w:r>
      <w:r>
        <w:t>2</w:t>
      </w:r>
      <w:r w:rsidRPr="00040C21">
        <w:t>83/2</w:t>
      </w:r>
      <w:r>
        <w:t>021</w:t>
      </w:r>
      <w:r w:rsidRPr="00040C21">
        <w:t> Sb., v platném znění.</w:t>
      </w:r>
    </w:p>
    <w:p w14:paraId="1DA76FAE" w14:textId="4A9D92DF" w:rsidR="00A736CF" w:rsidRDefault="00A736CF" w:rsidP="00A736CF">
      <w:pPr>
        <w:pStyle w:val="Nadpis1"/>
      </w:pPr>
      <w:bookmarkStart w:id="17" w:name="_Toc213947221"/>
      <w:bookmarkStart w:id="18" w:name="_Toc214308120"/>
      <w:bookmarkStart w:id="19" w:name="_Toc232612585"/>
      <w:r>
        <w:t>V</w:t>
      </w:r>
      <w:r w:rsidRPr="003812C6">
        <w:t>yhodnocení souladu s požadavky jiných právních předpisů a</w:t>
      </w:r>
      <w:r w:rsidR="00350E71">
        <w:t> </w:t>
      </w:r>
      <w:r w:rsidRPr="003812C6">
        <w:t>se</w:t>
      </w:r>
      <w:r w:rsidR="00350E71">
        <w:t> </w:t>
      </w:r>
      <w:r w:rsidRPr="003812C6">
        <w:t>stanovisky dotčených orgánů, popřípadě s výsledkem řešení rozporů</w:t>
      </w:r>
      <w:bookmarkEnd w:id="17"/>
      <w:bookmarkEnd w:id="18"/>
      <w:bookmarkEnd w:id="19"/>
    </w:p>
    <w:p w14:paraId="0440E976" w14:textId="0D385303" w:rsidR="00A736CF" w:rsidRPr="002360C0" w:rsidRDefault="00A736CF">
      <w:pPr>
        <w:pStyle w:val="normalni-cisla"/>
        <w:numPr>
          <w:ilvl w:val="0"/>
          <w:numId w:val="50"/>
        </w:numPr>
        <w:ind w:left="709"/>
      </w:pPr>
      <w:r w:rsidRPr="002360C0">
        <w:t>Z</w:t>
      </w:r>
      <w:r w:rsidR="004B645A" w:rsidRPr="002360C0">
        <w:t xml:space="preserve"> projednání</w:t>
      </w:r>
      <w:r w:rsidRPr="002360C0">
        <w:t xml:space="preserve"> </w:t>
      </w:r>
      <w:r w:rsidR="004B645A" w:rsidRPr="002360C0">
        <w:t>Z</w:t>
      </w:r>
      <w:r w:rsidRPr="002360C0">
        <w:t>právy o uplatňování Územního plánu Hlubočky vyplývají následující požadavky pro návrh územního plánu:</w:t>
      </w:r>
    </w:p>
    <w:p w14:paraId="19A91F62" w14:textId="3210C0AE" w:rsidR="00A736CF" w:rsidRDefault="004B645A" w:rsidP="004B645A">
      <w:pPr>
        <w:pStyle w:val="Nadpis2"/>
      </w:pPr>
      <w:bookmarkStart w:id="20" w:name="_Toc232612586"/>
      <w:r>
        <w:t xml:space="preserve">Krajský úřad Olomouckého kraje, </w:t>
      </w:r>
      <w:r w:rsidRPr="004B645A">
        <w:t>Odbor strategického rozvoje kraje</w:t>
      </w:r>
      <w:bookmarkEnd w:id="20"/>
    </w:p>
    <w:p w14:paraId="566ED71C" w14:textId="504A3779" w:rsidR="004B645A" w:rsidRDefault="004B645A">
      <w:pPr>
        <w:pStyle w:val="normalni-cisla"/>
        <w:numPr>
          <w:ilvl w:val="0"/>
          <w:numId w:val="51"/>
        </w:numPr>
        <w:ind w:left="709"/>
      </w:pPr>
      <w:r>
        <w:t>KÚOK požaduje respektování následujících územně plánovacích podkladů:</w:t>
      </w:r>
    </w:p>
    <w:p w14:paraId="47CF821B" w14:textId="77777777" w:rsidR="004B645A" w:rsidRPr="004B645A" w:rsidRDefault="004B645A">
      <w:pPr>
        <w:pStyle w:val="Odstavecseseznamem"/>
        <w:numPr>
          <w:ilvl w:val="0"/>
          <w:numId w:val="14"/>
        </w:numPr>
        <w:ind w:left="993" w:hanging="284"/>
      </w:pPr>
      <w:r w:rsidRPr="004B645A">
        <w:t>Aktualizace Územní studie větrné elektrárny na území Olomouckého kraje;</w:t>
      </w:r>
    </w:p>
    <w:p w14:paraId="0630A957" w14:textId="55A228FA" w:rsidR="004B645A" w:rsidRPr="004B645A" w:rsidRDefault="004B645A">
      <w:pPr>
        <w:pStyle w:val="Odstavecseseznamem"/>
        <w:numPr>
          <w:ilvl w:val="0"/>
          <w:numId w:val="14"/>
        </w:numPr>
        <w:ind w:left="993" w:hanging="284"/>
      </w:pPr>
      <w:r w:rsidRPr="004B645A">
        <w:t>Územní studie krajiny pro území Olomouckého kraje, včetně návrhu opatření</w:t>
      </w:r>
      <w:r>
        <w:t xml:space="preserve"> </w:t>
      </w:r>
      <w:r w:rsidRPr="004B645A">
        <w:t>v souvislosti s adaptací na změny klimatu;</w:t>
      </w:r>
    </w:p>
    <w:p w14:paraId="2748BC18" w14:textId="7FE79B81" w:rsidR="004B645A" w:rsidRPr="004B645A" w:rsidRDefault="004B645A">
      <w:pPr>
        <w:pStyle w:val="Odstavecseseznamem"/>
        <w:numPr>
          <w:ilvl w:val="0"/>
          <w:numId w:val="14"/>
        </w:numPr>
        <w:ind w:left="993" w:hanging="284"/>
      </w:pPr>
      <w:r w:rsidRPr="004B645A">
        <w:t>Územní studie kulturních krajinných oblastí KKO1 – KKO12 na území</w:t>
      </w:r>
      <w:r>
        <w:t xml:space="preserve"> </w:t>
      </w:r>
      <w:r w:rsidRPr="004B645A">
        <w:t>Olomouckého kraje;</w:t>
      </w:r>
    </w:p>
    <w:p w14:paraId="2C64A66F" w14:textId="3000CD56" w:rsidR="004B645A" w:rsidRPr="004B645A" w:rsidRDefault="004B645A">
      <w:pPr>
        <w:pStyle w:val="Odstavecseseznamem"/>
        <w:numPr>
          <w:ilvl w:val="0"/>
          <w:numId w:val="14"/>
        </w:numPr>
        <w:ind w:left="993" w:hanging="284"/>
      </w:pPr>
      <w:r w:rsidRPr="004B645A">
        <w:t>Územní studie rozvoje cyklistické dopravy v Olomouckém kraji;</w:t>
      </w:r>
    </w:p>
    <w:p w14:paraId="54BD8D5B" w14:textId="671230B2" w:rsidR="004B645A" w:rsidRPr="004B645A" w:rsidRDefault="004B645A">
      <w:pPr>
        <w:pStyle w:val="Odstavecseseznamem"/>
        <w:numPr>
          <w:ilvl w:val="0"/>
          <w:numId w:val="14"/>
        </w:numPr>
        <w:ind w:left="993" w:hanging="284"/>
      </w:pPr>
      <w:r w:rsidRPr="004B645A">
        <w:t>Územní studie území se zvýšeným potenciálem pro rekreaci a cestovní ruch RC</w:t>
      </w:r>
      <w:r>
        <w:t xml:space="preserve"> </w:t>
      </w:r>
      <w:r w:rsidRPr="004B645A">
        <w:t>2-4 a RC 6-12 na území Olomouckého kraje;</w:t>
      </w:r>
    </w:p>
    <w:p w14:paraId="06E4CB1B" w14:textId="055BD365" w:rsidR="004B645A" w:rsidRPr="004B645A" w:rsidRDefault="004B645A">
      <w:pPr>
        <w:pStyle w:val="Odstavecseseznamem"/>
        <w:numPr>
          <w:ilvl w:val="0"/>
          <w:numId w:val="14"/>
        </w:numPr>
        <w:ind w:left="993" w:hanging="284"/>
      </w:pPr>
      <w:r w:rsidRPr="004B645A">
        <w:t>Územní studie větrné elektrárny na území Olomouckého kraje;</w:t>
      </w:r>
    </w:p>
    <w:p w14:paraId="125085A1" w14:textId="03CAE12D" w:rsidR="004B645A" w:rsidRPr="004B645A" w:rsidRDefault="004B645A">
      <w:pPr>
        <w:pStyle w:val="Odstavecseseznamem"/>
        <w:numPr>
          <w:ilvl w:val="0"/>
          <w:numId w:val="14"/>
        </w:numPr>
        <w:ind w:left="993" w:hanging="284"/>
      </w:pPr>
      <w:r w:rsidRPr="004B645A">
        <w:t>Územního generelu dopravy silnic II. a III. třídy na území Olomouckého kraje;</w:t>
      </w:r>
    </w:p>
    <w:p w14:paraId="00AF227B" w14:textId="7C223835" w:rsidR="004B645A" w:rsidRPr="004B645A" w:rsidRDefault="004B645A">
      <w:pPr>
        <w:pStyle w:val="Odstavecseseznamem"/>
        <w:numPr>
          <w:ilvl w:val="0"/>
          <w:numId w:val="14"/>
        </w:numPr>
        <w:ind w:left="993" w:hanging="284"/>
      </w:pPr>
      <w:r>
        <w:t>P</w:t>
      </w:r>
      <w:r w:rsidRPr="004B645A">
        <w:t>osouzení kulturních krajinných oblastí ve vztahu na situování obnovitelných</w:t>
      </w:r>
      <w:r>
        <w:t xml:space="preserve"> </w:t>
      </w:r>
      <w:r w:rsidRPr="004B645A">
        <w:t>zdrojů energie;</w:t>
      </w:r>
    </w:p>
    <w:p w14:paraId="59CA6EE5" w14:textId="0F628314" w:rsidR="004B645A" w:rsidRPr="004B645A" w:rsidRDefault="004B645A">
      <w:pPr>
        <w:pStyle w:val="Odstavecseseznamem"/>
        <w:numPr>
          <w:ilvl w:val="0"/>
          <w:numId w:val="14"/>
        </w:numPr>
        <w:ind w:left="993" w:hanging="284"/>
      </w:pPr>
      <w:r w:rsidRPr="004B645A">
        <w:t>Strategické migrační studie pro Olomoucký kraj;</w:t>
      </w:r>
    </w:p>
    <w:p w14:paraId="6E9FA9FC" w14:textId="5307D0C9" w:rsidR="004B645A" w:rsidRDefault="004B645A">
      <w:pPr>
        <w:pStyle w:val="Odstavecseseznamem"/>
        <w:numPr>
          <w:ilvl w:val="0"/>
          <w:numId w:val="14"/>
        </w:numPr>
        <w:ind w:left="993" w:hanging="284"/>
      </w:pPr>
      <w:r w:rsidRPr="004B645A">
        <w:t>Strategie rozvoje územního obvodu Olomouckého kraje.</w:t>
      </w:r>
    </w:p>
    <w:p w14:paraId="7EE99222" w14:textId="27780208" w:rsidR="004B645A" w:rsidRDefault="004B645A" w:rsidP="004B645A">
      <w:r>
        <w:lastRenderedPageBreak/>
        <w:t>Výše uvedení územně plánovací podklady jsou řešením ÚP Hlubočky respektovány a územně upřesněny v podrobnosti územního plánu.</w:t>
      </w:r>
    </w:p>
    <w:p w14:paraId="786D8464" w14:textId="77777777" w:rsidR="00641911" w:rsidRPr="00040C21" w:rsidRDefault="00641911" w:rsidP="00641911">
      <w:pPr>
        <w:pStyle w:val="Nadpis2"/>
      </w:pPr>
      <w:bookmarkStart w:id="21" w:name="_Toc214308122"/>
      <w:bookmarkStart w:id="22" w:name="_Toc232612587"/>
      <w:r w:rsidRPr="00641911">
        <w:t>Ochrana</w:t>
      </w:r>
      <w:r>
        <w:t xml:space="preserve"> zemědělského půdního fondu</w:t>
      </w:r>
      <w:bookmarkEnd w:id="21"/>
      <w:bookmarkEnd w:id="22"/>
    </w:p>
    <w:p w14:paraId="1C7CDDA7" w14:textId="3C573C7F" w:rsidR="00641911" w:rsidRDefault="00641911">
      <w:pPr>
        <w:pStyle w:val="normalni-cisla"/>
        <w:numPr>
          <w:ilvl w:val="0"/>
          <w:numId w:val="52"/>
        </w:numPr>
        <w:ind w:left="709"/>
      </w:pPr>
      <w:r>
        <w:t xml:space="preserve">Při stanovení urbanistické koncepce byly podrobně vyhodnoceny dopady koncepce na zábory zemědělského půdní fondu. Zábory ZPF byly vymezovány výhradně v návaznosti na zastavěné území obce a stávající nebo navrženou veřejnou infrastrukturu. </w:t>
      </w:r>
    </w:p>
    <w:p w14:paraId="7D5003BD" w14:textId="39123E2B" w:rsidR="00641911" w:rsidRDefault="00641911" w:rsidP="00641911">
      <w:r>
        <w:t xml:space="preserve">Cca 4,7 ha záborů ZPF je navrženo k navrácení zpět do zemědělského půdního fondu. </w:t>
      </w:r>
    </w:p>
    <w:p w14:paraId="1214DE33" w14:textId="4F04296D" w:rsidR="004B645A" w:rsidRDefault="00641911" w:rsidP="00641911">
      <w:r>
        <w:t>Navržené zábory půd I. a II. třídy ochrany jsou vymezeny přednostně pro veřejnou infrastrukturu a převzaty z předchozího územního plánu obce. Zábory pro zastavitelné plochy jsou kompenzovány plochami učenými k navrácení do zemědělského půdního fondu.</w:t>
      </w:r>
    </w:p>
    <w:p w14:paraId="7C4C4917" w14:textId="06FECF56" w:rsidR="00641911" w:rsidRDefault="00641911" w:rsidP="00641911">
      <w:r>
        <w:t>Podrobné vyhodnocení záborů zemědělského půdního fondu vzhledem k jeho ochraně je předmětem kap XIV.</w:t>
      </w:r>
    </w:p>
    <w:p w14:paraId="0A5C2AA5" w14:textId="77777777" w:rsidR="00641911" w:rsidRDefault="00641911" w:rsidP="00641911">
      <w:pPr>
        <w:pStyle w:val="Nadpis2"/>
      </w:pPr>
      <w:bookmarkStart w:id="23" w:name="_Toc214308123"/>
      <w:bookmarkStart w:id="24" w:name="_Toc232612588"/>
      <w:r>
        <w:t>Ochrana pozemků k určených k plnění funkce lesa</w:t>
      </w:r>
      <w:bookmarkEnd w:id="23"/>
      <w:bookmarkEnd w:id="24"/>
    </w:p>
    <w:p w14:paraId="0CDCC141" w14:textId="77777777" w:rsidR="00641911" w:rsidRDefault="00641911">
      <w:pPr>
        <w:pStyle w:val="normalni-cisla"/>
        <w:numPr>
          <w:ilvl w:val="0"/>
          <w:numId w:val="53"/>
        </w:numPr>
        <w:ind w:left="709"/>
      </w:pPr>
      <w:r>
        <w:t xml:space="preserve">Územní plán respektuje pásmo 30 m od okraje lesa stanovené zákonem </w:t>
      </w:r>
      <w:r w:rsidRPr="00427B4D">
        <w:t>č.</w:t>
      </w:r>
      <w:r>
        <w:t> </w:t>
      </w:r>
      <w:r w:rsidRPr="00427B4D">
        <w:t>149/2023 Sb.</w:t>
      </w:r>
      <w:r>
        <w:t xml:space="preserve">, v platném znění. V tomto pásmu je pro povolení záměru nutný </w:t>
      </w:r>
      <w:r w:rsidRPr="00427B4D">
        <w:t xml:space="preserve">souhlasu orgánu státní správy lesa dle ustanovení § 14 odst. 2 </w:t>
      </w:r>
      <w:r>
        <w:t>tohoto zákona</w:t>
      </w:r>
      <w:r w:rsidRPr="00427B4D">
        <w:t>.</w:t>
      </w:r>
    </w:p>
    <w:p w14:paraId="0BEE8EC4" w14:textId="77777777" w:rsidR="00641911" w:rsidRDefault="00641911" w:rsidP="00641911">
      <w:r>
        <w:t>Zábory pozemků určených k plnění funkce lesa nejsou navrženy.</w:t>
      </w:r>
    </w:p>
    <w:p w14:paraId="1EB0A3B3" w14:textId="77777777" w:rsidR="00837EFF" w:rsidRDefault="00837EFF" w:rsidP="00837EFF">
      <w:pPr>
        <w:pStyle w:val="Nadpis2"/>
      </w:pPr>
      <w:bookmarkStart w:id="25" w:name="_Toc214308124"/>
      <w:bookmarkStart w:id="26" w:name="_Toc232612589"/>
      <w:r>
        <w:t>Ochrana ovzduší</w:t>
      </w:r>
      <w:bookmarkEnd w:id="25"/>
      <w:bookmarkEnd w:id="26"/>
    </w:p>
    <w:p w14:paraId="7984DDB8" w14:textId="36D2126B" w:rsidR="00837EFF" w:rsidRPr="00427B4D" w:rsidRDefault="00837EFF">
      <w:pPr>
        <w:pStyle w:val="normalni-cisla"/>
        <w:numPr>
          <w:ilvl w:val="0"/>
          <w:numId w:val="54"/>
        </w:numPr>
        <w:ind w:left="709"/>
      </w:pPr>
      <w:r>
        <w:t xml:space="preserve">Územní plán respektuje požadavky na ochranu ovzduší a nenavrhuje nové plochy pro výrobu či průmysl </w:t>
      </w:r>
      <w:r w:rsidRPr="0018485E">
        <w:t>nebo činnosti omezující okolní obytnou zástavbu v</w:t>
      </w:r>
      <w:r>
        <w:t xml:space="preserve"> jejím </w:t>
      </w:r>
      <w:r w:rsidRPr="0018485E">
        <w:t>těsném sousedství</w:t>
      </w:r>
      <w:r>
        <w:t>. Plochy podnikatelských areálů a výroby jsou řešeny jako smíšené výrobní s limitem splnění platných hygienických limitů na hranici pozemku.</w:t>
      </w:r>
    </w:p>
    <w:p w14:paraId="41250E83" w14:textId="43E86DF8" w:rsidR="000D6719" w:rsidRDefault="000D6719" w:rsidP="000D6719">
      <w:r>
        <w:t xml:space="preserve">Řešení ÚP Hlubočky respektuje požadavky a opatření ke zlepšení kvality ovzduší, uvedené v „Programu zlepšování kvality ovzduší – zóna Střední </w:t>
      </w:r>
      <w:r w:rsidR="00B43D3C">
        <w:t>Morava – CZ07</w:t>
      </w:r>
      <w:r>
        <w:t>“ a v jeho aktualizaci pro období 2020 +, a dále v dokumentu „Národní program snižování emisí České republiky“.</w:t>
      </w:r>
    </w:p>
    <w:p w14:paraId="1C9EA25F" w14:textId="77777777" w:rsidR="000D6719" w:rsidRDefault="000D6719" w:rsidP="000D6719">
      <w:pPr>
        <w:pStyle w:val="Nadpis2"/>
      </w:pPr>
      <w:bookmarkStart w:id="27" w:name="_Toc214308125"/>
      <w:bookmarkStart w:id="28" w:name="_Toc232612590"/>
      <w:r>
        <w:t>Ochrana dopravní infrastruktury</w:t>
      </w:r>
      <w:bookmarkEnd w:id="27"/>
      <w:bookmarkEnd w:id="28"/>
    </w:p>
    <w:p w14:paraId="0CC7DADA" w14:textId="77777777" w:rsidR="000D6719" w:rsidRDefault="000D6719">
      <w:pPr>
        <w:pStyle w:val="normalni-cisla"/>
        <w:numPr>
          <w:ilvl w:val="0"/>
          <w:numId w:val="55"/>
        </w:numPr>
        <w:ind w:left="709"/>
      </w:pPr>
      <w:r>
        <w:t>Územní plán respektuje ochranná pásma dálnice a silnici II. a III. třídy. Ochranná pásma jsou vyznačena v grafické části odůvodnění.</w:t>
      </w:r>
    </w:p>
    <w:p w14:paraId="6A23837B" w14:textId="3AC590A8" w:rsidR="000D6719" w:rsidRDefault="000D6719" w:rsidP="000D6719">
      <w:r>
        <w:t xml:space="preserve">V rámci připojení návrhových ploch byly </w:t>
      </w:r>
      <w:r w:rsidRPr="00180C92">
        <w:t xml:space="preserve">prověřeny parametry stávajících pozemních komunikací, které budou zajišťovat dopravní obslužnost </w:t>
      </w:r>
      <w:r w:rsidR="00290DF2">
        <w:t>návrhových ploch</w:t>
      </w:r>
      <w:r w:rsidRPr="00180C92">
        <w:t>, zahrnující i nákladní dopravu pro dopravní obslužnost v</w:t>
      </w:r>
      <w:r>
        <w:t> </w:t>
      </w:r>
      <w:r w:rsidRPr="00180C92">
        <w:t>rámci výstavby (šířkové uspořádání, oblouky v křižovatkách, únosnost konstrukce a vozovky, dopravní omezení apod.).</w:t>
      </w:r>
    </w:p>
    <w:p w14:paraId="6F77FEEA" w14:textId="79D99004" w:rsidR="000D6719" w:rsidRDefault="000D6719" w:rsidP="000D6719">
      <w:r w:rsidRPr="00A35ADE">
        <w:t xml:space="preserve">Vymezení zastavitelných ploch pro bydlení situovaných u silnic </w:t>
      </w:r>
      <w:r w:rsidR="00290DF2">
        <w:t>bylo řešeno</w:t>
      </w:r>
      <w:r w:rsidRPr="00A35ADE">
        <w:t xml:space="preserve"> tak, aby byly splněny limitní hladiny hluku z</w:t>
      </w:r>
      <w:r>
        <w:t> </w:t>
      </w:r>
      <w:r w:rsidRPr="00A35ADE">
        <w:t>dopravy ve vnitřních chráněných prostorách staveb a ve venkovním chráněném prostoru staveb dle nařízení vlády č. 272/2011 Sb., o ochraně zdraví před nepříznivými účinky hluku a vibrací a zákona č. 258/2000 Sb., o</w:t>
      </w:r>
      <w:r>
        <w:t> </w:t>
      </w:r>
      <w:r w:rsidRPr="00A35ADE">
        <w:t xml:space="preserve">ochraně veřejného zdraví. </w:t>
      </w:r>
    </w:p>
    <w:p w14:paraId="67679E98" w14:textId="2AF61328" w:rsidR="000D6719" w:rsidRDefault="00290DF2" w:rsidP="00290DF2">
      <w:r w:rsidRPr="00290DF2">
        <w:t>Správním územím obce je vedena železniční trať Opava východ – Olomouc hlavní nádraží,</w:t>
      </w:r>
      <w:r>
        <w:t xml:space="preserve"> </w:t>
      </w:r>
      <w:r w:rsidRPr="00290DF2">
        <w:t>která je ve smyslu § 3 zákona č. 266/1994 Sb., o dráhách, zařazena do kategorie dráhy celostátní.</w:t>
      </w:r>
      <w:r>
        <w:t xml:space="preserve"> </w:t>
      </w:r>
      <w:r w:rsidRPr="00290DF2">
        <w:t>Požadujeme respektovat ochranné pásmo dráhy dle výše uvedeného zákona o dráhách.</w:t>
      </w:r>
    </w:p>
    <w:p w14:paraId="3F00CBFE" w14:textId="2EFAD90C" w:rsidR="000D6719" w:rsidRDefault="00290DF2" w:rsidP="00290DF2">
      <w:r w:rsidRPr="00290DF2">
        <w:t xml:space="preserve">V platných Zásadách územního rozvoje Olomouckého kraje je vymezen koridor </w:t>
      </w:r>
      <w:r w:rsidR="007672F8">
        <w:t>DD7</w:t>
      </w:r>
      <w:r w:rsidRPr="00290DF2">
        <w:t xml:space="preserve"> pro</w:t>
      </w:r>
      <w:r>
        <w:t xml:space="preserve"> </w:t>
      </w:r>
      <w:r w:rsidRPr="00290DF2">
        <w:t xml:space="preserve">revitalizaci železniční trati Olomouc – Opava. </w:t>
      </w:r>
      <w:r>
        <w:t xml:space="preserve">Tento koridor je upřesněn stabilizovanými plocha dopravy drážní (DD) tak, aby byl minimalizován dopad na stabilizované plochy zastavěného území obce, které jsou dotčeny průchodem železniční trati. </w:t>
      </w:r>
    </w:p>
    <w:p w14:paraId="3A1AFAC7" w14:textId="38138733" w:rsidR="00D119E7" w:rsidRDefault="00D119E7">
      <w:pPr>
        <w:spacing w:before="0" w:after="0"/>
        <w:ind w:left="0"/>
        <w:jc w:val="left"/>
      </w:pPr>
      <w:r>
        <w:br w:type="page"/>
      </w:r>
    </w:p>
    <w:p w14:paraId="72CE7A6D" w14:textId="22B1DBB3" w:rsidR="00D119E7" w:rsidRDefault="00D119E7" w:rsidP="00D119E7">
      <w:pPr>
        <w:pStyle w:val="Nadpis2"/>
      </w:pPr>
      <w:bookmarkStart w:id="29" w:name="_Toc232612591"/>
      <w:r>
        <w:lastRenderedPageBreak/>
        <w:t>Zvláštní zájmy ministerstva obrany</w:t>
      </w:r>
      <w:bookmarkEnd w:id="29"/>
    </w:p>
    <w:p w14:paraId="46312ACD" w14:textId="57154230" w:rsidR="00D119E7" w:rsidRDefault="00D119E7">
      <w:pPr>
        <w:pStyle w:val="Odstavecseseznamem"/>
        <w:numPr>
          <w:ilvl w:val="0"/>
          <w:numId w:val="132"/>
        </w:numPr>
        <w:ind w:left="709"/>
      </w:pPr>
      <w:r w:rsidRPr="00D119E7">
        <w:t>Do správního území obce zasahuj</w:t>
      </w:r>
      <w:r w:rsidR="008917D9">
        <w:t>í následující</w:t>
      </w:r>
      <w:r w:rsidRPr="00D119E7">
        <w:t xml:space="preserve"> vymezen</w:t>
      </w:r>
      <w:r w:rsidR="008917D9">
        <w:t>á</w:t>
      </w:r>
      <w:r w:rsidRPr="00D119E7">
        <w:t xml:space="preserve"> území Ministerstva obrany:</w:t>
      </w:r>
    </w:p>
    <w:p w14:paraId="4AC4843B" w14:textId="1943937B" w:rsidR="00D119E7" w:rsidRDefault="00D119E7" w:rsidP="00D119E7">
      <w:r w:rsidRPr="008917D9">
        <w:rPr>
          <w:b/>
          <w:bCs/>
        </w:rPr>
        <w:t>Vzdušný prostor pro létání v malých a přízemních výškách (dle ustanovení § 175 odst. 1 zákona č. 183/2006 Sb. o územním plánování a stavebním řádu), který je nutno respektovat</w:t>
      </w:r>
      <w:r w:rsidR="008917D9" w:rsidRPr="008917D9">
        <w:rPr>
          <w:b/>
          <w:bCs/>
        </w:rPr>
        <w:t xml:space="preserve"> </w:t>
      </w:r>
      <w:r w:rsidRPr="008917D9">
        <w:rPr>
          <w:b/>
          <w:bCs/>
        </w:rPr>
        <w:t>podle ustanovení § 41 zákona č. 49/1997 Sb. o civilním letectví a o změně a doplnění zákona</w:t>
      </w:r>
      <w:r w:rsidR="008917D9" w:rsidRPr="008917D9">
        <w:rPr>
          <w:b/>
          <w:bCs/>
        </w:rPr>
        <w:t xml:space="preserve"> </w:t>
      </w:r>
      <w:r w:rsidRPr="008917D9">
        <w:rPr>
          <w:b/>
          <w:bCs/>
        </w:rPr>
        <w:t>č.455/1991 Sb. o živnostenském podnikání.</w:t>
      </w:r>
      <w:r>
        <w:t xml:space="preserve"> V</w:t>
      </w:r>
      <w:r w:rsidR="008917D9">
        <w:t> </w:t>
      </w:r>
      <w:r>
        <w:t>tomto vymezeném území lze umístit a povolit</w:t>
      </w:r>
      <w:r w:rsidR="008917D9">
        <w:t xml:space="preserve"> </w:t>
      </w:r>
      <w:r>
        <w:t>výstavbu vysílačů, výškových staveb, staveb tvořících dominanty v terénu, větrných elektráren,</w:t>
      </w:r>
      <w:r w:rsidR="008917D9">
        <w:t xml:space="preserve"> </w:t>
      </w:r>
      <w:r>
        <w:t>speciálních staveb, zejména staveb s vertikální ochranou (např. střelnice, nádrže plynu, trhací jámy),</w:t>
      </w:r>
      <w:r w:rsidR="008917D9">
        <w:t xml:space="preserve"> </w:t>
      </w:r>
      <w:r>
        <w:t>venkovního vedení vn a vnn, rozšíření stávajících nebo povolení nových těžebních prostorů (dle</w:t>
      </w:r>
      <w:r w:rsidR="008917D9">
        <w:t xml:space="preserve"> </w:t>
      </w:r>
      <w:r>
        <w:t>ustanovení § 175 odst. 1 zákona č. 183/2006 Sb. o územním plánování a stavebním řádu) jen na</w:t>
      </w:r>
      <w:r w:rsidR="008917D9">
        <w:t xml:space="preserve"> </w:t>
      </w:r>
      <w:r>
        <w:t>základě závazného stanoviska Ministerstva obrany - viz. jev ÚAP -102a. Ve vzdušném prostoru</w:t>
      </w:r>
      <w:r w:rsidR="008917D9">
        <w:t xml:space="preserve"> </w:t>
      </w:r>
      <w:r>
        <w:t>vyhlášeném od země je nutno posoudit také výsadbu vzrostlé zeleně. Výstavba a výsadba může být</w:t>
      </w:r>
      <w:r w:rsidR="008917D9">
        <w:t xml:space="preserve"> </w:t>
      </w:r>
      <w:r>
        <w:t>výškově omezena nebo zakázána</w:t>
      </w:r>
      <w:r w:rsidR="008917D9">
        <w:t>.</w:t>
      </w:r>
    </w:p>
    <w:p w14:paraId="4F879EF9" w14:textId="347C7D8F" w:rsidR="008917D9" w:rsidRDefault="008917D9" w:rsidP="008917D9">
      <w:r w:rsidRPr="008917D9">
        <w:rPr>
          <w:b/>
          <w:bCs/>
        </w:rPr>
        <w:t xml:space="preserve">Koridor RR </w:t>
      </w:r>
      <w:r w:rsidR="00396C6B" w:rsidRPr="008917D9">
        <w:rPr>
          <w:b/>
          <w:bCs/>
        </w:rPr>
        <w:t>směrů – zájmové</w:t>
      </w:r>
      <w:r w:rsidRPr="008917D9">
        <w:rPr>
          <w:b/>
          <w:bCs/>
        </w:rPr>
        <w:t xml:space="preserve"> území pro nadzemní stavby (dle ustanovení § 175 odst. 1 zákona</w:t>
      </w:r>
      <w:r>
        <w:rPr>
          <w:b/>
          <w:bCs/>
        </w:rPr>
        <w:t xml:space="preserve"> </w:t>
      </w:r>
      <w:r w:rsidRPr="008917D9">
        <w:rPr>
          <w:b/>
          <w:bCs/>
        </w:rPr>
        <w:t>č. 183/2006 Sb. o územním plánování a stavebním řádu), které je nutno respektovat podle</w:t>
      </w:r>
      <w:r>
        <w:rPr>
          <w:b/>
          <w:bCs/>
        </w:rPr>
        <w:t xml:space="preserve"> </w:t>
      </w:r>
      <w:r w:rsidRPr="008917D9">
        <w:rPr>
          <w:b/>
          <w:bCs/>
        </w:rPr>
        <w:t>zákona č. 222/1999 Sb., o</w:t>
      </w:r>
      <w:r>
        <w:rPr>
          <w:b/>
          <w:bCs/>
        </w:rPr>
        <w:t> </w:t>
      </w:r>
      <w:r w:rsidRPr="008917D9">
        <w:rPr>
          <w:b/>
          <w:bCs/>
        </w:rPr>
        <w:t>zajišťování obrany ČR a zákona č. 127/2005 o elektronických</w:t>
      </w:r>
      <w:r>
        <w:rPr>
          <w:b/>
          <w:bCs/>
        </w:rPr>
        <w:t xml:space="preserve"> </w:t>
      </w:r>
      <w:r w:rsidRPr="008917D9">
        <w:rPr>
          <w:b/>
          <w:bCs/>
        </w:rPr>
        <w:t xml:space="preserve">komunikacích. </w:t>
      </w:r>
      <w:r w:rsidRPr="008917D9">
        <w:t>V tomto vymezeném území lze umístit a povolit nadzemní výstavbu jen na základě</w:t>
      </w:r>
      <w:r>
        <w:t xml:space="preserve"> </w:t>
      </w:r>
      <w:r w:rsidRPr="008917D9">
        <w:t>závazného stanoviska Ministerstva obrany (dle ustanovení § 175 odst. 1 zákona č. 183/2006 Sb. o</w:t>
      </w:r>
      <w:r>
        <w:t xml:space="preserve"> </w:t>
      </w:r>
      <w:r w:rsidRPr="008917D9">
        <w:t>územním plánování a stavebním řádu) – viz. ÚAP – jev 82a. V případě kolize může být výstavba</w:t>
      </w:r>
      <w:r>
        <w:t xml:space="preserve"> </w:t>
      </w:r>
      <w:r w:rsidRPr="008917D9">
        <w:t>omezena.</w:t>
      </w:r>
    </w:p>
    <w:p w14:paraId="65EA0ABF" w14:textId="09E11DB7" w:rsidR="00396C6B" w:rsidRPr="00396C6B" w:rsidRDefault="00396C6B" w:rsidP="00396C6B">
      <w:r w:rsidRPr="00396C6B">
        <w:rPr>
          <w:b/>
          <w:bCs/>
        </w:rPr>
        <w:t>Zájmové území Vojenského újezdu Libavá, vymezeném ve smyslu § 175 odst. 1 zákona č.</w:t>
      </w:r>
      <w:r>
        <w:rPr>
          <w:b/>
          <w:bCs/>
        </w:rPr>
        <w:t xml:space="preserve"> </w:t>
      </w:r>
      <w:r w:rsidRPr="00396C6B">
        <w:rPr>
          <w:b/>
          <w:bCs/>
        </w:rPr>
        <w:t>183/2006 Sb. o</w:t>
      </w:r>
      <w:r>
        <w:rPr>
          <w:b/>
          <w:bCs/>
        </w:rPr>
        <w:t> </w:t>
      </w:r>
      <w:r w:rsidRPr="00396C6B">
        <w:rPr>
          <w:b/>
          <w:bCs/>
        </w:rPr>
        <w:t>územním plánování a stavebním řádu, které je nutno respektovat podle § 30,</w:t>
      </w:r>
      <w:r>
        <w:rPr>
          <w:b/>
          <w:bCs/>
        </w:rPr>
        <w:t xml:space="preserve"> </w:t>
      </w:r>
      <w:r w:rsidRPr="00396C6B">
        <w:rPr>
          <w:b/>
          <w:bCs/>
        </w:rPr>
        <w:t>zákona č. 222/1999 Sb. o</w:t>
      </w:r>
      <w:r>
        <w:rPr>
          <w:b/>
          <w:bCs/>
        </w:rPr>
        <w:t> </w:t>
      </w:r>
      <w:r w:rsidRPr="00396C6B">
        <w:rPr>
          <w:b/>
          <w:bCs/>
        </w:rPr>
        <w:t>zajišťování obrany ČR. Jedná se o území v šířce 1000 m kopírující</w:t>
      </w:r>
      <w:r>
        <w:rPr>
          <w:b/>
          <w:bCs/>
        </w:rPr>
        <w:t xml:space="preserve"> </w:t>
      </w:r>
      <w:r w:rsidRPr="00396C6B">
        <w:rPr>
          <w:b/>
          <w:bCs/>
        </w:rPr>
        <w:t xml:space="preserve">hranici vojenského újezdu Libavá. </w:t>
      </w:r>
      <w:r w:rsidRPr="00396C6B">
        <w:t>V</w:t>
      </w:r>
      <w:r>
        <w:t> </w:t>
      </w:r>
      <w:r w:rsidRPr="00396C6B">
        <w:t>tomto vymezeném území v níže uvedených případech lze</w:t>
      </w:r>
      <w:r>
        <w:t xml:space="preserve"> </w:t>
      </w:r>
      <w:r w:rsidRPr="00396C6B">
        <w:t>vydat územní rozhodnutí a povolení staveb jen na základě závazného stanoviska Ministerstva obrany</w:t>
      </w:r>
      <w:r>
        <w:t xml:space="preserve"> </w:t>
      </w:r>
      <w:r w:rsidRPr="00396C6B">
        <w:t>(dle § 175 odst. 1 zákona č. 183/2006 Sb. o územním plánování a stavebním řádu) – viz. ÚAP – jev</w:t>
      </w:r>
      <w:r>
        <w:t xml:space="preserve"> </w:t>
      </w:r>
      <w:r w:rsidRPr="00396C6B">
        <w:t>108:</w:t>
      </w:r>
    </w:p>
    <w:p w14:paraId="5EAB1ED2" w14:textId="03CF98F5" w:rsidR="00396C6B" w:rsidRPr="00396C6B" w:rsidRDefault="00396C6B">
      <w:pPr>
        <w:pStyle w:val="Odstavecseseznamem"/>
        <w:numPr>
          <w:ilvl w:val="0"/>
          <w:numId w:val="133"/>
        </w:numPr>
        <w:ind w:left="1134"/>
      </w:pPr>
      <w:r w:rsidRPr="00396C6B">
        <w:t>výstavba, rekonstrukce a opravy dálniční sítě, rychlostních komunikací, silnic I. II. a III. třídy;</w:t>
      </w:r>
    </w:p>
    <w:p w14:paraId="65CA4B88" w14:textId="7A3BE368" w:rsidR="00396C6B" w:rsidRPr="00396C6B" w:rsidRDefault="00396C6B">
      <w:pPr>
        <w:pStyle w:val="Odstavecseseznamem"/>
        <w:numPr>
          <w:ilvl w:val="0"/>
          <w:numId w:val="133"/>
        </w:numPr>
        <w:ind w:left="1134"/>
      </w:pPr>
      <w:r w:rsidRPr="00396C6B">
        <w:t>výstavba a rekonstrukce železničních tratí a jejich objektů;</w:t>
      </w:r>
    </w:p>
    <w:p w14:paraId="1CC09A2B" w14:textId="3C7A91E2" w:rsidR="00396C6B" w:rsidRPr="00396C6B" w:rsidRDefault="00396C6B">
      <w:pPr>
        <w:pStyle w:val="Odstavecseseznamem"/>
        <w:numPr>
          <w:ilvl w:val="0"/>
          <w:numId w:val="133"/>
        </w:numPr>
        <w:ind w:left="1134"/>
      </w:pPr>
      <w:r w:rsidRPr="00396C6B">
        <w:t>výstavba a rekonstrukce letišť všech druhů, včetně zařízení;</w:t>
      </w:r>
    </w:p>
    <w:p w14:paraId="23E71D78" w14:textId="10FC0120" w:rsidR="00396C6B" w:rsidRPr="00396C6B" w:rsidRDefault="00396C6B">
      <w:pPr>
        <w:pStyle w:val="Odstavecseseznamem"/>
        <w:numPr>
          <w:ilvl w:val="0"/>
          <w:numId w:val="133"/>
        </w:numPr>
        <w:ind w:left="1134"/>
      </w:pPr>
      <w:r w:rsidRPr="00396C6B">
        <w:t xml:space="preserve">výstavba a rekonstrukce vedení </w:t>
      </w:r>
      <w:r>
        <w:t>VN</w:t>
      </w:r>
      <w:r w:rsidRPr="00396C6B">
        <w:t xml:space="preserve"> a </w:t>
      </w:r>
      <w:r>
        <w:t>VVN</w:t>
      </w:r>
      <w:r w:rsidRPr="00396C6B">
        <w:t>;</w:t>
      </w:r>
    </w:p>
    <w:p w14:paraId="785B4D35" w14:textId="2C5ADB6E" w:rsidR="00396C6B" w:rsidRPr="00396C6B" w:rsidRDefault="00396C6B">
      <w:pPr>
        <w:pStyle w:val="Odstavecseseznamem"/>
        <w:numPr>
          <w:ilvl w:val="0"/>
          <w:numId w:val="133"/>
        </w:numPr>
        <w:ind w:left="1134"/>
      </w:pPr>
      <w:r w:rsidRPr="00396C6B">
        <w:t>výstavba větrných elektráren, bioplynových stanic, fotovoltaických elektráren a objektů dalších</w:t>
      </w:r>
      <w:r>
        <w:t xml:space="preserve"> </w:t>
      </w:r>
      <w:r w:rsidRPr="00396C6B">
        <w:t>zdrojů energií;</w:t>
      </w:r>
    </w:p>
    <w:p w14:paraId="65567B49" w14:textId="30418403" w:rsidR="00396C6B" w:rsidRPr="00396C6B" w:rsidRDefault="00396C6B">
      <w:pPr>
        <w:pStyle w:val="Odstavecseseznamem"/>
        <w:numPr>
          <w:ilvl w:val="0"/>
          <w:numId w:val="133"/>
        </w:numPr>
        <w:ind w:left="1134"/>
      </w:pPr>
      <w:r w:rsidRPr="00396C6B">
        <w:t>výstavba radioelektronických zařízení (radiové, radiolokační, radionavigační, telemetrická) včetně</w:t>
      </w:r>
      <w:r>
        <w:t xml:space="preserve"> </w:t>
      </w:r>
      <w:r w:rsidRPr="00396C6B">
        <w:t>anténních systémů a opěrných konstrukcí (např. základnové stanice apod.);</w:t>
      </w:r>
    </w:p>
    <w:p w14:paraId="41C49DD9" w14:textId="221B6B36" w:rsidR="00396C6B" w:rsidRPr="00396C6B" w:rsidRDefault="00396C6B">
      <w:pPr>
        <w:pStyle w:val="Odstavecseseznamem"/>
        <w:numPr>
          <w:ilvl w:val="0"/>
          <w:numId w:val="133"/>
        </w:numPr>
        <w:ind w:left="1134"/>
      </w:pPr>
      <w:r w:rsidRPr="00396C6B">
        <w:t>výstavba objektů a zařízení vysokých 30 m a více nad terénem;</w:t>
      </w:r>
    </w:p>
    <w:p w14:paraId="2EE8711D" w14:textId="62CA6671" w:rsidR="00396C6B" w:rsidRPr="00396C6B" w:rsidRDefault="00396C6B">
      <w:pPr>
        <w:pStyle w:val="Odstavecseseznamem"/>
        <w:numPr>
          <w:ilvl w:val="0"/>
          <w:numId w:val="133"/>
        </w:numPr>
        <w:ind w:left="1134"/>
      </w:pPr>
      <w:r w:rsidRPr="00396C6B">
        <w:t>výstavba staveb tvořící dominanty v terénu,</w:t>
      </w:r>
    </w:p>
    <w:p w14:paraId="264832DD" w14:textId="792DB765" w:rsidR="00396C6B" w:rsidRPr="00396C6B" w:rsidRDefault="00396C6B">
      <w:pPr>
        <w:pStyle w:val="Odstavecseseznamem"/>
        <w:numPr>
          <w:ilvl w:val="0"/>
          <w:numId w:val="133"/>
        </w:numPr>
        <w:ind w:left="1134"/>
      </w:pPr>
      <w:r w:rsidRPr="00396C6B">
        <w:t>výsadba vzrostlé zeleně (větrolamů apod.);</w:t>
      </w:r>
    </w:p>
    <w:p w14:paraId="3AD40D25" w14:textId="0C0F1300" w:rsidR="00396C6B" w:rsidRPr="00396C6B" w:rsidRDefault="00396C6B">
      <w:pPr>
        <w:pStyle w:val="Odstavecseseznamem"/>
        <w:numPr>
          <w:ilvl w:val="0"/>
          <w:numId w:val="133"/>
        </w:numPr>
        <w:ind w:left="1134"/>
      </w:pPr>
      <w:r w:rsidRPr="00396C6B">
        <w:t>výstavba vodních děl (přehrady, rybníky, poldry apod.);</w:t>
      </w:r>
    </w:p>
    <w:p w14:paraId="74091B81" w14:textId="14EF05BB" w:rsidR="00396C6B" w:rsidRPr="00396C6B" w:rsidRDefault="00396C6B">
      <w:pPr>
        <w:pStyle w:val="Odstavecseseznamem"/>
        <w:numPr>
          <w:ilvl w:val="0"/>
          <w:numId w:val="133"/>
        </w:numPr>
        <w:ind w:left="1134"/>
      </w:pPr>
      <w:r w:rsidRPr="00396C6B">
        <w:t>výstavba souvislých kovových překážek, průmyslových hal, objektů pro výrobu a služby;</w:t>
      </w:r>
    </w:p>
    <w:p w14:paraId="1C71269E" w14:textId="27D337A2" w:rsidR="00396C6B" w:rsidRPr="00396C6B" w:rsidRDefault="00396C6B">
      <w:pPr>
        <w:pStyle w:val="Odstavecseseznamem"/>
        <w:numPr>
          <w:ilvl w:val="0"/>
          <w:numId w:val="133"/>
        </w:numPr>
        <w:ind w:left="1134"/>
      </w:pPr>
      <w:r w:rsidRPr="00396C6B">
        <w:t>výstavba staveb, které jsou zdrojem elektromagnetického rušení;</w:t>
      </w:r>
    </w:p>
    <w:p w14:paraId="3BE32D87" w14:textId="37428D92" w:rsidR="00396C6B" w:rsidRPr="00396C6B" w:rsidRDefault="00396C6B">
      <w:pPr>
        <w:pStyle w:val="Odstavecseseznamem"/>
        <w:numPr>
          <w:ilvl w:val="0"/>
          <w:numId w:val="133"/>
        </w:numPr>
        <w:ind w:left="1134"/>
      </w:pPr>
      <w:r w:rsidRPr="00396C6B">
        <w:t>výstavba ČOV;</w:t>
      </w:r>
    </w:p>
    <w:p w14:paraId="15565B61" w14:textId="53B3F396" w:rsidR="00396C6B" w:rsidRPr="00396C6B" w:rsidRDefault="00396C6B">
      <w:pPr>
        <w:pStyle w:val="Odstavecseseznamem"/>
        <w:numPr>
          <w:ilvl w:val="0"/>
          <w:numId w:val="133"/>
        </w:numPr>
        <w:ind w:left="1134"/>
      </w:pPr>
      <w:r w:rsidRPr="00396C6B">
        <w:t>výstavba hlavních řadů technické infrastruktury regionálního a nadregionálního významu;</w:t>
      </w:r>
    </w:p>
    <w:p w14:paraId="2CFC48B8" w14:textId="16488FD8" w:rsidR="00396C6B" w:rsidRPr="00396C6B" w:rsidRDefault="00396C6B">
      <w:pPr>
        <w:pStyle w:val="Odstavecseseznamem"/>
        <w:numPr>
          <w:ilvl w:val="0"/>
          <w:numId w:val="133"/>
        </w:numPr>
        <w:ind w:left="1134"/>
      </w:pPr>
      <w:r w:rsidRPr="00396C6B">
        <w:t>stavby, při nichž by došlo k dotčení vlastnických práv ČR - Ministerstva obrany;</w:t>
      </w:r>
    </w:p>
    <w:p w14:paraId="6BAF03E4" w14:textId="7016E1C0" w:rsidR="00396C6B" w:rsidRDefault="00396C6B">
      <w:pPr>
        <w:pStyle w:val="Odstavecseseznamem"/>
        <w:numPr>
          <w:ilvl w:val="0"/>
          <w:numId w:val="133"/>
        </w:numPr>
        <w:ind w:left="1134"/>
      </w:pPr>
      <w:r w:rsidRPr="00396C6B">
        <w:t>budování nových nebo rozšiřování stávajících skládek odpadů.</w:t>
      </w:r>
    </w:p>
    <w:p w14:paraId="6E5C1600" w14:textId="299F0208" w:rsidR="00396C6B" w:rsidRDefault="00396C6B" w:rsidP="00396C6B">
      <w:pPr>
        <w:ind w:left="774"/>
      </w:pPr>
      <w:r w:rsidRPr="00396C6B">
        <w:rPr>
          <w:b/>
          <w:bCs/>
        </w:rPr>
        <w:t>Na celém správním území je zájem Ministerstva obrany posuzován z hlediska povolování níže uvedených druhů staveb podle ustanovení § 175 zákona č. 183/2006 Sb.</w:t>
      </w:r>
      <w:r>
        <w:t xml:space="preserve"> (dle ÚAP jev 119) Na celém správním území umístit a povolit níže uvedené stavby jen na základě závazného stanoviska Ministerstva obrany:</w:t>
      </w:r>
    </w:p>
    <w:p w14:paraId="5DC50372" w14:textId="1228440D" w:rsidR="00396C6B" w:rsidRDefault="00396C6B">
      <w:pPr>
        <w:pStyle w:val="Odstavecseseznamem"/>
        <w:numPr>
          <w:ilvl w:val="0"/>
          <w:numId w:val="134"/>
        </w:numPr>
        <w:ind w:left="1134"/>
      </w:pPr>
      <w:r>
        <w:t>výstavba, rekonstrukce a opravy dálniční sítě, rychlostních komunikací, silnic I. II. a III. třídy</w:t>
      </w:r>
    </w:p>
    <w:p w14:paraId="6A221995" w14:textId="5232BB57" w:rsidR="00396C6B" w:rsidRDefault="00396C6B">
      <w:pPr>
        <w:pStyle w:val="Odstavecseseznamem"/>
        <w:numPr>
          <w:ilvl w:val="0"/>
          <w:numId w:val="134"/>
        </w:numPr>
        <w:ind w:left="1134"/>
      </w:pPr>
      <w:r>
        <w:t>výstavba a rekonstrukce železničních tratí a jejich objektů</w:t>
      </w:r>
    </w:p>
    <w:p w14:paraId="393C5BEB" w14:textId="4D747896" w:rsidR="00396C6B" w:rsidRDefault="00396C6B">
      <w:pPr>
        <w:pStyle w:val="Odstavecseseznamem"/>
        <w:numPr>
          <w:ilvl w:val="0"/>
          <w:numId w:val="134"/>
        </w:numPr>
        <w:ind w:left="1134"/>
      </w:pPr>
      <w:r>
        <w:t>výstavba a rekonstrukce letišť všech druhů, včetně zařízení</w:t>
      </w:r>
    </w:p>
    <w:p w14:paraId="5B9F2AB3" w14:textId="0BB33C12" w:rsidR="00396C6B" w:rsidRDefault="00396C6B">
      <w:pPr>
        <w:pStyle w:val="Odstavecseseznamem"/>
        <w:numPr>
          <w:ilvl w:val="0"/>
          <w:numId w:val="134"/>
        </w:numPr>
        <w:ind w:left="1134"/>
      </w:pPr>
      <w:r>
        <w:t>výstavba vedení VN a VVN</w:t>
      </w:r>
    </w:p>
    <w:p w14:paraId="0435F730" w14:textId="7F9057F7" w:rsidR="00396C6B" w:rsidRDefault="00396C6B">
      <w:pPr>
        <w:pStyle w:val="Odstavecseseznamem"/>
        <w:numPr>
          <w:ilvl w:val="0"/>
          <w:numId w:val="134"/>
        </w:numPr>
        <w:ind w:left="1134"/>
      </w:pPr>
      <w:r>
        <w:t>výstavba větrných elektráren</w:t>
      </w:r>
    </w:p>
    <w:p w14:paraId="53B0E90B" w14:textId="3AFDDCA8" w:rsidR="00396C6B" w:rsidRDefault="00396C6B">
      <w:pPr>
        <w:pStyle w:val="Odstavecseseznamem"/>
        <w:numPr>
          <w:ilvl w:val="0"/>
          <w:numId w:val="134"/>
        </w:numPr>
        <w:ind w:left="1134"/>
      </w:pPr>
      <w:r>
        <w:t>výstavba radioelektronických zařízení (radiové, radiolokační, radionavigační, telemetrická) včetně anténních systémů a opěrných konstrukcí (např. základnové stanice….)</w:t>
      </w:r>
    </w:p>
    <w:p w14:paraId="44E91C71" w14:textId="7E4F7ECB" w:rsidR="00396C6B" w:rsidRDefault="00396C6B">
      <w:pPr>
        <w:pStyle w:val="Odstavecseseznamem"/>
        <w:numPr>
          <w:ilvl w:val="0"/>
          <w:numId w:val="134"/>
        </w:numPr>
        <w:ind w:left="1134"/>
      </w:pPr>
      <w:r>
        <w:t>výstavba objektů a zařízení vysokých 30 m a více nad terénem</w:t>
      </w:r>
    </w:p>
    <w:p w14:paraId="3DF505E6" w14:textId="470A4E79" w:rsidR="00396C6B" w:rsidRDefault="00396C6B">
      <w:pPr>
        <w:pStyle w:val="Odstavecseseznamem"/>
        <w:numPr>
          <w:ilvl w:val="0"/>
          <w:numId w:val="134"/>
        </w:numPr>
        <w:ind w:left="1134"/>
      </w:pPr>
      <w:r>
        <w:t>výstavba vodních nádrží (přehrady, rybníky)</w:t>
      </w:r>
    </w:p>
    <w:p w14:paraId="4FE9A94F" w14:textId="25A35688" w:rsidR="00396C6B" w:rsidRDefault="00396C6B">
      <w:pPr>
        <w:pStyle w:val="Odstavecseseznamem"/>
        <w:numPr>
          <w:ilvl w:val="0"/>
          <w:numId w:val="134"/>
        </w:numPr>
        <w:ind w:left="1134"/>
      </w:pPr>
      <w:r>
        <w:t>výstavba objektů tvořících dominanty v území (např. rozhledny)</w:t>
      </w:r>
    </w:p>
    <w:p w14:paraId="3923D585" w14:textId="2EC32257" w:rsidR="00364416" w:rsidRDefault="00364416">
      <w:pPr>
        <w:spacing w:before="0" w:after="0"/>
        <w:ind w:left="0"/>
        <w:jc w:val="left"/>
      </w:pPr>
      <w:r>
        <w:br w:type="page"/>
      </w:r>
    </w:p>
    <w:p w14:paraId="3E9C3209" w14:textId="464A396B" w:rsidR="007C2351" w:rsidRPr="00040C21" w:rsidRDefault="00F67872" w:rsidP="00A651C4">
      <w:pPr>
        <w:pStyle w:val="Nadpis1"/>
      </w:pPr>
      <w:bookmarkStart w:id="30" w:name="_Toc213947222"/>
      <w:bookmarkStart w:id="31" w:name="_Toc214308129"/>
      <w:bookmarkStart w:id="32" w:name="_Toc232612592"/>
      <w:r>
        <w:lastRenderedPageBreak/>
        <w:t>V</w:t>
      </w:r>
      <w:r w:rsidRPr="003812C6">
        <w:t xml:space="preserve">yhodnocení </w:t>
      </w:r>
      <w:r w:rsidRPr="00CF7027">
        <w:t>souladu s politikou územního rozvoje a</w:t>
      </w:r>
      <w:r>
        <w:t> </w:t>
      </w:r>
      <w:r w:rsidRPr="00CF7027">
        <w:t>nadřazenou územně plánovací dokumentací</w:t>
      </w:r>
      <w:bookmarkEnd w:id="30"/>
      <w:bookmarkEnd w:id="31"/>
      <w:bookmarkEnd w:id="32"/>
    </w:p>
    <w:p w14:paraId="09385F5C" w14:textId="67CCCBDD" w:rsidR="007C2351" w:rsidRPr="00040C21" w:rsidRDefault="00F67872" w:rsidP="00955F24">
      <w:pPr>
        <w:pStyle w:val="Nadpis2"/>
      </w:pPr>
      <w:bookmarkStart w:id="33" w:name="_Toc213947223"/>
      <w:bookmarkStart w:id="34" w:name="_Toc214308130"/>
      <w:bookmarkStart w:id="35" w:name="_Toc232612593"/>
      <w:r>
        <w:t>V</w:t>
      </w:r>
      <w:r w:rsidRPr="003812C6">
        <w:t>yhodnocení souladu s politikou územního rozvoje</w:t>
      </w:r>
      <w:bookmarkEnd w:id="33"/>
      <w:bookmarkEnd w:id="34"/>
      <w:bookmarkEnd w:id="35"/>
    </w:p>
    <w:p w14:paraId="52AF08F7" w14:textId="56520472" w:rsidR="007C2351" w:rsidRPr="00040C21" w:rsidRDefault="00364416">
      <w:pPr>
        <w:pStyle w:val="normalni-cisla"/>
        <w:numPr>
          <w:ilvl w:val="0"/>
          <w:numId w:val="56"/>
        </w:numPr>
        <w:ind w:left="709"/>
      </w:pPr>
      <w:r>
        <w:t>Územní plán Hlubočky je v souladu s Politikou územního rozvoje v úplném znění po změně č. 8.</w:t>
      </w:r>
    </w:p>
    <w:p w14:paraId="49F20876" w14:textId="00CC19DE" w:rsidR="00531CAE" w:rsidRDefault="00531CAE" w:rsidP="00955F24">
      <w:pPr>
        <w:pStyle w:val="Normlnbezmezer"/>
      </w:pPr>
      <w:r w:rsidRPr="00531CAE">
        <w:t>Územní plán Hlubočky respektuje republikové priority územního plánování pro zajištění udržitelného rozvoje území a kritéria a podmínky pro rozhodování o změnách v území rozvojových oblastí stanovené PÚR ČR</w:t>
      </w:r>
      <w:r>
        <w:t>.</w:t>
      </w:r>
    </w:p>
    <w:p w14:paraId="1FF7BC95" w14:textId="2C44824C" w:rsidR="007C2351" w:rsidRPr="00040C21" w:rsidRDefault="008A7D4B" w:rsidP="007C2351">
      <w:pPr>
        <w:pStyle w:val="Nadpis3"/>
      </w:pPr>
      <w:bookmarkStart w:id="36" w:name="_Toc232612594"/>
      <w:r>
        <w:t>Celostátní priority</w:t>
      </w:r>
      <w:bookmarkEnd w:id="36"/>
    </w:p>
    <w:p w14:paraId="7540D3D8" w14:textId="77777777" w:rsidR="00531CAE" w:rsidRPr="00040C21" w:rsidRDefault="00531CAE" w:rsidP="00531CAE">
      <w:pPr>
        <w:pStyle w:val="Normalni-citace"/>
      </w:pPr>
      <w:r w:rsidRPr="00040C21">
        <w:t>(14) Ve veřejném zájmu chránit a rozvíjet přírodní, civilizační a kulturní hodnoty území, včetně urbanistického, architektonického a archeologického dědictví. Zachovat ráz jedinečné urbanistické struktury území, struktury osídlení a jedinečné kulturní</w:t>
      </w:r>
      <w:r w:rsidRPr="00040C21">
        <w:rPr>
          <w:spacing w:val="-23"/>
        </w:rPr>
        <w:t xml:space="preserve"> </w:t>
      </w:r>
      <w:r w:rsidRPr="00040C21">
        <w:t>kra jiny, které jsou výrazem identity území, jeho historie a tradice. Tato území mají značnou hodnotu, např. i jako turistické atraktivity.</w:t>
      </w:r>
      <w:r w:rsidRPr="00040C21">
        <w:rPr>
          <w:spacing w:val="-9"/>
        </w:rPr>
        <w:t xml:space="preserve"> </w:t>
      </w:r>
      <w:r w:rsidRPr="00040C21">
        <w:t>Jejich</w:t>
      </w:r>
      <w:r w:rsidRPr="00040C21">
        <w:rPr>
          <w:spacing w:val="-8"/>
        </w:rPr>
        <w:t xml:space="preserve"> </w:t>
      </w:r>
      <w:r w:rsidRPr="00040C21">
        <w:t>ochrana</w:t>
      </w:r>
      <w:r w:rsidRPr="00040C21">
        <w:rPr>
          <w:spacing w:val="-9"/>
        </w:rPr>
        <w:t xml:space="preserve"> </w:t>
      </w:r>
      <w:r w:rsidRPr="00040C21">
        <w:t>by</w:t>
      </w:r>
      <w:r w:rsidRPr="00040C21">
        <w:rPr>
          <w:spacing w:val="-9"/>
        </w:rPr>
        <w:t xml:space="preserve"> </w:t>
      </w:r>
      <w:r w:rsidRPr="00040C21">
        <w:t>měla</w:t>
      </w:r>
      <w:r w:rsidRPr="00040C21">
        <w:rPr>
          <w:spacing w:val="-9"/>
        </w:rPr>
        <w:t xml:space="preserve"> </w:t>
      </w:r>
      <w:r w:rsidRPr="00040C21">
        <w:t>být</w:t>
      </w:r>
      <w:r w:rsidRPr="00040C21">
        <w:rPr>
          <w:spacing w:val="-7"/>
        </w:rPr>
        <w:t xml:space="preserve"> </w:t>
      </w:r>
      <w:r w:rsidRPr="00040C21">
        <w:t>provázána</w:t>
      </w:r>
      <w:r w:rsidRPr="00040C21">
        <w:rPr>
          <w:spacing w:val="-10"/>
        </w:rPr>
        <w:t xml:space="preserve"> </w:t>
      </w:r>
      <w:r w:rsidRPr="00040C21">
        <w:t>s</w:t>
      </w:r>
      <w:r w:rsidRPr="00040C21">
        <w:rPr>
          <w:spacing w:val="-4"/>
        </w:rPr>
        <w:t xml:space="preserve"> </w:t>
      </w:r>
      <w:r w:rsidRPr="00040C21">
        <w:t>potřebami</w:t>
      </w:r>
      <w:r w:rsidRPr="00040C21">
        <w:rPr>
          <w:spacing w:val="-11"/>
        </w:rPr>
        <w:t xml:space="preserve"> </w:t>
      </w:r>
      <w:r w:rsidRPr="00040C21">
        <w:t>ekonomického</w:t>
      </w:r>
      <w:r w:rsidRPr="00040C21">
        <w:rPr>
          <w:spacing w:val="-8"/>
        </w:rPr>
        <w:t xml:space="preserve"> </w:t>
      </w:r>
      <w:r w:rsidRPr="00040C21">
        <w:t>a</w:t>
      </w:r>
      <w:r w:rsidRPr="00040C21">
        <w:rPr>
          <w:spacing w:val="-10"/>
        </w:rPr>
        <w:t xml:space="preserve"> </w:t>
      </w:r>
      <w:r w:rsidRPr="00040C21">
        <w:t>sociálního rozvoje v souladu s principy udržitelného rozvoje. V některých případech je nutná cílená ochrana míst zvláštního zájmu,</w:t>
      </w:r>
      <w:r w:rsidRPr="00040C21">
        <w:rPr>
          <w:spacing w:val="-16"/>
        </w:rPr>
        <w:t xml:space="preserve"> </w:t>
      </w:r>
      <w:r w:rsidRPr="00040C21">
        <w:t>v</w:t>
      </w:r>
      <w:r w:rsidRPr="00040C21">
        <w:rPr>
          <w:spacing w:val="-3"/>
        </w:rPr>
        <w:t xml:space="preserve"> </w:t>
      </w:r>
      <w:r w:rsidRPr="00040C21">
        <w:t>jiných</w:t>
      </w:r>
      <w:r w:rsidRPr="00040C21">
        <w:rPr>
          <w:spacing w:val="-14"/>
        </w:rPr>
        <w:t xml:space="preserve"> </w:t>
      </w:r>
      <w:r w:rsidRPr="00040C21">
        <w:t>případech</w:t>
      </w:r>
      <w:r w:rsidRPr="00040C21">
        <w:rPr>
          <w:spacing w:val="-13"/>
        </w:rPr>
        <w:t xml:space="preserve"> </w:t>
      </w:r>
      <w:r w:rsidRPr="00040C21">
        <w:t>je</w:t>
      </w:r>
      <w:r w:rsidRPr="00040C21">
        <w:rPr>
          <w:spacing w:val="-16"/>
        </w:rPr>
        <w:t xml:space="preserve"> </w:t>
      </w:r>
      <w:r w:rsidRPr="00040C21">
        <w:t>třeba</w:t>
      </w:r>
      <w:r w:rsidRPr="00040C21">
        <w:rPr>
          <w:spacing w:val="-13"/>
        </w:rPr>
        <w:t xml:space="preserve"> </w:t>
      </w:r>
      <w:r w:rsidRPr="00040C21">
        <w:t>chránit,</w:t>
      </w:r>
      <w:r w:rsidRPr="00040C21">
        <w:rPr>
          <w:spacing w:val="-16"/>
        </w:rPr>
        <w:t xml:space="preserve"> </w:t>
      </w:r>
      <w:r w:rsidRPr="00040C21">
        <w:t>respektive obnovit celé krajinné celky. Krajina je živým v čase proměnným celkem, který vyžaduje tvůrčí, avšak citlivý přístup k vyváženému všestrannému rozvoji tak, aby byly zachovány její stěžejní kulturní, přírodní a užitné</w:t>
      </w:r>
      <w:r w:rsidRPr="00040C21">
        <w:rPr>
          <w:spacing w:val="-1"/>
        </w:rPr>
        <w:t xml:space="preserve"> </w:t>
      </w:r>
      <w:r w:rsidRPr="00040C21">
        <w:t>hodnoty.</w:t>
      </w:r>
    </w:p>
    <w:p w14:paraId="530C091E" w14:textId="1E34BCAC" w:rsidR="00531CAE" w:rsidRPr="00DF00E7" w:rsidRDefault="00531CAE" w:rsidP="00531CAE">
      <w:r w:rsidRPr="00DF00E7">
        <w:t>Územní plán respektuje charakter řešeného území, zejména charakter urbanistické struktury osídlení a</w:t>
      </w:r>
      <w:r>
        <w:t> </w:t>
      </w:r>
      <w:r w:rsidRPr="00DF00E7">
        <w:t>charakter krajiny. Charakter území se propisuje do podmínek využití území a prostorového uspořádání (viz</w:t>
      </w:r>
      <w:r>
        <w:t> </w:t>
      </w:r>
      <w:r w:rsidRPr="00DF00E7">
        <w:t>kap. f/1.1. a f/1.2).</w:t>
      </w:r>
    </w:p>
    <w:p w14:paraId="0FC6A349" w14:textId="77777777" w:rsidR="00531CAE" w:rsidRPr="00040C21" w:rsidRDefault="00531CAE" w:rsidP="00531CAE">
      <w:r>
        <w:t>Územní plán</w:t>
      </w:r>
      <w:r w:rsidRPr="00040C21">
        <w:t xml:space="preserve"> vychází z předpokladu zachování principů udržitelného rozvoje – zajištění vyváženého vztahu územních podmínek pro kvalitní životní prostředí, ekonomický rozvoj a zachování a rozvoj sociální soudržnosti obyvatel. </w:t>
      </w:r>
    </w:p>
    <w:p w14:paraId="5272E3C3" w14:textId="77777777" w:rsidR="00531CAE" w:rsidRPr="00040C21" w:rsidRDefault="00531CAE" w:rsidP="00531CAE">
      <w:pPr>
        <w:pStyle w:val="Normalni-citace"/>
      </w:pPr>
      <w:r w:rsidRPr="00040C21">
        <w:t xml:space="preserve">(14a) </w:t>
      </w:r>
      <w:bookmarkStart w:id="37" w:name="_Hlk98357456"/>
      <w:r w:rsidRPr="00040C21">
        <w:t>Při plánování rozvoje venkovských území a oblastí, ve vazbě na rozvoj primárního sektoru zohlednit ochranu kvalitních lesních porostů, vodních ploch a kvalitní zemědělské, především orné půdy a ekologických funkcí</w:t>
      </w:r>
      <w:r w:rsidRPr="00040C21">
        <w:rPr>
          <w:spacing w:val="-3"/>
        </w:rPr>
        <w:t xml:space="preserve"> </w:t>
      </w:r>
      <w:r w:rsidRPr="00040C21">
        <w:t>krajiny.</w:t>
      </w:r>
      <w:bookmarkEnd w:id="37"/>
    </w:p>
    <w:p w14:paraId="1C988B2E" w14:textId="13FB6830" w:rsidR="00531CAE" w:rsidRPr="00040C21" w:rsidRDefault="00531CAE" w:rsidP="00531CAE">
      <w:pPr>
        <w:pStyle w:val="Normlnbezmezer"/>
        <w:rPr>
          <w:bCs/>
        </w:rPr>
      </w:pPr>
      <w:r>
        <w:t>Územní plán</w:t>
      </w:r>
      <w:r w:rsidRPr="00040C21">
        <w:t xml:space="preserve"> </w:t>
      </w:r>
      <w:r>
        <w:rPr>
          <w:bCs/>
        </w:rPr>
        <w:t>koncepčně</w:t>
      </w:r>
      <w:r w:rsidRPr="00040C21">
        <w:rPr>
          <w:bCs/>
        </w:rPr>
        <w:t xml:space="preserve"> respektuje stávající zemědělské plochy s obhospodařovanými zemědělskými celky. Tyto celky jsou rozčleněny stávajícími krajinnými nebo navrhovanými krajinnými prvky systému ÚSES, liniovou zelení charakteru interakčních prvků a ploch krajinné zeleně pro zlepšení mikroklimatu a zadržování vody v krajiny.</w:t>
      </w:r>
    </w:p>
    <w:p w14:paraId="2320274C" w14:textId="77777777" w:rsidR="00531CAE" w:rsidRPr="00040C21" w:rsidRDefault="00531CAE" w:rsidP="00531CAE">
      <w:pPr>
        <w:pStyle w:val="Normalni-citace"/>
      </w:pPr>
      <w:r w:rsidRPr="00040C21">
        <w:t>(15) Předcházet při změnách nebo vytváření urbánního prostředí prostorově sociální segregaci s negativními vlivy na sociální soudržnost obyvatel.</w:t>
      </w:r>
      <w:r w:rsidRPr="00040C21" w:rsidDel="00FC28F4">
        <w:t xml:space="preserve"> </w:t>
      </w:r>
    </w:p>
    <w:p w14:paraId="2390624E" w14:textId="77777777" w:rsidR="00531CAE" w:rsidRPr="00DF00E7" w:rsidRDefault="00531CAE" w:rsidP="00531CAE">
      <w:r w:rsidRPr="00DF00E7">
        <w:t>Územní plán vytváří podmínky pro rozvoj veřejného vybavení v jednotlivých částech obce</w:t>
      </w:r>
      <w:r>
        <w:t xml:space="preserve">, </w:t>
      </w:r>
      <w:r w:rsidRPr="00DF00E7">
        <w:t>posiluje tak možnosti společenského a kulturního života obyvatel</w:t>
      </w:r>
      <w:r>
        <w:t xml:space="preserve"> a předchází sociální segregaci obyvatel.</w:t>
      </w:r>
    </w:p>
    <w:p w14:paraId="7518200D" w14:textId="77777777" w:rsidR="00531CAE" w:rsidRPr="00040C21" w:rsidRDefault="00531CAE" w:rsidP="00531CAE">
      <w:pPr>
        <w:pStyle w:val="Normlnbezmezer"/>
        <w:rPr>
          <w:i/>
        </w:rPr>
      </w:pPr>
      <w:r w:rsidRPr="00040C21">
        <w:rPr>
          <w:i/>
        </w:rPr>
        <w:t>(16) Při stanovování způsobu využití území v územně plánovací dokumentaci dávat přednost komplexním řešením před uplatňováním jednostranných hledisek a požadavků, které ve svých důsledcích zhoršují stav i hodnoty území. Vhodná řešení územního rozvoje je zapotřebí hledat ve spolupráci s obyvateli území i s jeho uživateli a v souladu s určením a charakterem oblastí, os, ploch a koridorů vymezených v PÚR ČR.</w:t>
      </w:r>
    </w:p>
    <w:p w14:paraId="39928B22" w14:textId="77777777" w:rsidR="00531CAE" w:rsidRPr="00040C21" w:rsidRDefault="00531CAE" w:rsidP="00531CAE">
      <w:pPr>
        <w:rPr>
          <w:snapToGrid w:val="0"/>
        </w:rPr>
      </w:pPr>
      <w:r w:rsidRPr="00040C21">
        <w:rPr>
          <w:snapToGrid w:val="0"/>
        </w:rPr>
        <w:t>Při stanovování základního funkčního využití území byl zohledněn charakter a</w:t>
      </w:r>
      <w:r>
        <w:rPr>
          <w:snapToGrid w:val="0"/>
        </w:rPr>
        <w:t> </w:t>
      </w:r>
      <w:r w:rsidRPr="00040C21">
        <w:rPr>
          <w:snapToGrid w:val="0"/>
        </w:rPr>
        <w:t>poloha sídla, existence významných kulturních hodnot, struktura využití stávajících ploch, dopravní vazby a vybavení občanskou</w:t>
      </w:r>
      <w:r>
        <w:rPr>
          <w:snapToGrid w:val="0"/>
        </w:rPr>
        <w:t>, dopravní</w:t>
      </w:r>
      <w:r w:rsidRPr="00040C21">
        <w:rPr>
          <w:snapToGrid w:val="0"/>
        </w:rPr>
        <w:t xml:space="preserve"> a technickou infrastrukturou.</w:t>
      </w:r>
    </w:p>
    <w:p w14:paraId="45F06D4B" w14:textId="77777777" w:rsidR="00531CAE" w:rsidRDefault="00531CAE" w:rsidP="00531CAE">
      <w:pPr>
        <w:rPr>
          <w:spacing w:val="-1"/>
        </w:rPr>
      </w:pPr>
      <w:r w:rsidRPr="00DF00E7">
        <w:t>Územní plán vyhodnotil požadavky obyvatelů a uživatelů území a s ohledem na komplexnost přístupu k řešení území zohlednil požadavky, které jsou v souladu s urbanistickou koncepcí ÚP. Územní plán respektuje požadavky nadřazených ÚPD, PÚR ČR</w:t>
      </w:r>
      <w:r>
        <w:t>, ÚRP</w:t>
      </w:r>
      <w:r w:rsidRPr="00DF00E7">
        <w:t xml:space="preserve"> a ZÚR </w:t>
      </w:r>
      <w:r>
        <w:t>Středočeského</w:t>
      </w:r>
      <w:r w:rsidRPr="00DF00E7">
        <w:t xml:space="preserve"> kraje .</w:t>
      </w:r>
    </w:p>
    <w:p w14:paraId="339DBD33" w14:textId="332F9785" w:rsidR="00531CAE" w:rsidRPr="00040C21" w:rsidRDefault="00531CAE" w:rsidP="00531CAE">
      <w:pPr>
        <w:pStyle w:val="Normalni-citace"/>
      </w:pPr>
      <w:r w:rsidRPr="00040C21">
        <w:rPr>
          <w:spacing w:val="-1"/>
        </w:rPr>
        <w:t>(16a) Při</w:t>
      </w:r>
      <w:r w:rsidRPr="00040C21">
        <w:rPr>
          <w:spacing w:val="43"/>
        </w:rPr>
        <w:t xml:space="preserve"> </w:t>
      </w:r>
      <w:r w:rsidRPr="00040C21">
        <w:t>územně</w:t>
      </w:r>
      <w:r w:rsidRPr="00040C21">
        <w:rPr>
          <w:spacing w:val="40"/>
        </w:rPr>
        <w:t xml:space="preserve"> </w:t>
      </w:r>
      <w:r w:rsidRPr="00040C21">
        <w:rPr>
          <w:spacing w:val="-1"/>
        </w:rPr>
        <w:t>plánovací</w:t>
      </w:r>
      <w:r w:rsidRPr="00040C21">
        <w:rPr>
          <w:spacing w:val="41"/>
        </w:rPr>
        <w:t xml:space="preserve"> </w:t>
      </w:r>
      <w:r w:rsidRPr="00040C21">
        <w:t>činnosti</w:t>
      </w:r>
      <w:r w:rsidRPr="00040C21">
        <w:rPr>
          <w:spacing w:val="43"/>
        </w:rPr>
        <w:t xml:space="preserve"> </w:t>
      </w:r>
      <w:r w:rsidRPr="00040C21">
        <w:rPr>
          <w:spacing w:val="-1"/>
        </w:rPr>
        <w:t>vycházet</w:t>
      </w:r>
      <w:r w:rsidRPr="00040C21">
        <w:rPr>
          <w:spacing w:val="44"/>
        </w:rPr>
        <w:t xml:space="preserve"> </w:t>
      </w:r>
      <w:r w:rsidRPr="00040C21">
        <w:t>z</w:t>
      </w:r>
      <w:r w:rsidRPr="00040C21">
        <w:rPr>
          <w:spacing w:val="40"/>
        </w:rPr>
        <w:t xml:space="preserve"> </w:t>
      </w:r>
      <w:r w:rsidRPr="00040C21">
        <w:t>principu</w:t>
      </w:r>
      <w:r w:rsidRPr="00040C21">
        <w:rPr>
          <w:spacing w:val="43"/>
        </w:rPr>
        <w:t xml:space="preserve"> </w:t>
      </w:r>
      <w:r w:rsidRPr="00040C21">
        <w:t>integrovaného</w:t>
      </w:r>
      <w:r w:rsidRPr="00040C21">
        <w:rPr>
          <w:spacing w:val="42"/>
        </w:rPr>
        <w:t xml:space="preserve"> </w:t>
      </w:r>
      <w:r w:rsidRPr="00040C21">
        <w:rPr>
          <w:spacing w:val="-1"/>
        </w:rPr>
        <w:t>rozvoje</w:t>
      </w:r>
      <w:r w:rsidRPr="00040C21">
        <w:rPr>
          <w:spacing w:val="43"/>
        </w:rPr>
        <w:t xml:space="preserve"> </w:t>
      </w:r>
      <w:r w:rsidRPr="00040C21">
        <w:t>území,</w:t>
      </w:r>
      <w:r w:rsidRPr="00040C21">
        <w:rPr>
          <w:spacing w:val="41"/>
        </w:rPr>
        <w:t xml:space="preserve"> </w:t>
      </w:r>
      <w:r w:rsidRPr="00040C21">
        <w:rPr>
          <w:spacing w:val="-1"/>
        </w:rPr>
        <w:t>zejména</w:t>
      </w:r>
      <w:r w:rsidRPr="00040C21">
        <w:rPr>
          <w:spacing w:val="84"/>
          <w:w w:val="99"/>
        </w:rPr>
        <w:t xml:space="preserve"> </w:t>
      </w:r>
      <w:r w:rsidRPr="00040C21">
        <w:t>měst</w:t>
      </w:r>
      <w:r w:rsidRPr="00040C21">
        <w:rPr>
          <w:spacing w:val="1"/>
        </w:rPr>
        <w:t xml:space="preserve"> </w:t>
      </w:r>
      <w:r w:rsidRPr="00040C21">
        <w:t>a</w:t>
      </w:r>
      <w:r w:rsidR="00364416">
        <w:rPr>
          <w:spacing w:val="2"/>
        </w:rPr>
        <w:t> </w:t>
      </w:r>
      <w:r w:rsidRPr="00040C21">
        <w:rPr>
          <w:spacing w:val="-1"/>
        </w:rPr>
        <w:t>regionů,</w:t>
      </w:r>
      <w:r w:rsidRPr="00040C21">
        <w:rPr>
          <w:spacing w:val="2"/>
        </w:rPr>
        <w:t xml:space="preserve"> </w:t>
      </w:r>
      <w:r w:rsidRPr="00040C21">
        <w:rPr>
          <w:spacing w:val="1"/>
        </w:rPr>
        <w:t>který</w:t>
      </w:r>
      <w:r w:rsidRPr="00040C21">
        <w:rPr>
          <w:spacing w:val="-4"/>
        </w:rPr>
        <w:t xml:space="preserve"> </w:t>
      </w:r>
      <w:r w:rsidRPr="00040C21">
        <w:t>představuje</w:t>
      </w:r>
      <w:r w:rsidRPr="00040C21">
        <w:rPr>
          <w:spacing w:val="2"/>
        </w:rPr>
        <w:t xml:space="preserve"> </w:t>
      </w:r>
      <w:r w:rsidRPr="00040C21">
        <w:t>objektivní</w:t>
      </w:r>
      <w:r w:rsidRPr="00040C21">
        <w:rPr>
          <w:spacing w:val="2"/>
        </w:rPr>
        <w:t xml:space="preserve"> </w:t>
      </w:r>
      <w:r w:rsidRPr="00040C21">
        <w:t>a</w:t>
      </w:r>
      <w:r w:rsidRPr="00040C21">
        <w:rPr>
          <w:spacing w:val="-3"/>
        </w:rPr>
        <w:t xml:space="preserve"> </w:t>
      </w:r>
      <w:r w:rsidRPr="00040C21">
        <w:t>komplexní</w:t>
      </w:r>
      <w:r w:rsidRPr="00040C21">
        <w:rPr>
          <w:spacing w:val="2"/>
        </w:rPr>
        <w:t xml:space="preserve"> </w:t>
      </w:r>
      <w:r w:rsidRPr="00040C21">
        <w:rPr>
          <w:spacing w:val="-1"/>
        </w:rPr>
        <w:t>posuzování</w:t>
      </w:r>
      <w:r w:rsidRPr="00040C21">
        <w:rPr>
          <w:spacing w:val="1"/>
        </w:rPr>
        <w:t xml:space="preserve"> </w:t>
      </w:r>
      <w:r w:rsidRPr="00040C21">
        <w:t>a</w:t>
      </w:r>
      <w:r w:rsidRPr="00040C21">
        <w:rPr>
          <w:spacing w:val="2"/>
        </w:rPr>
        <w:t xml:space="preserve"> </w:t>
      </w:r>
      <w:r w:rsidRPr="00040C21">
        <w:t>následné</w:t>
      </w:r>
      <w:r w:rsidRPr="00040C21">
        <w:rPr>
          <w:spacing w:val="1"/>
        </w:rPr>
        <w:t xml:space="preserve"> </w:t>
      </w:r>
      <w:r w:rsidRPr="00040C21">
        <w:t>koordinování</w:t>
      </w:r>
      <w:r w:rsidRPr="00040C21">
        <w:rPr>
          <w:spacing w:val="48"/>
          <w:w w:val="99"/>
        </w:rPr>
        <w:t xml:space="preserve"> </w:t>
      </w:r>
      <w:r w:rsidRPr="00040C21">
        <w:t>prostorových,</w:t>
      </w:r>
      <w:r w:rsidRPr="00040C21">
        <w:rPr>
          <w:spacing w:val="-10"/>
        </w:rPr>
        <w:t xml:space="preserve"> </w:t>
      </w:r>
      <w:r w:rsidRPr="00040C21">
        <w:rPr>
          <w:spacing w:val="-1"/>
        </w:rPr>
        <w:t>odvětvových</w:t>
      </w:r>
      <w:r w:rsidRPr="00040C21">
        <w:rPr>
          <w:spacing w:val="-9"/>
        </w:rPr>
        <w:t xml:space="preserve"> </w:t>
      </w:r>
      <w:r w:rsidRPr="00040C21">
        <w:t>a</w:t>
      </w:r>
      <w:r w:rsidRPr="00040C21">
        <w:rPr>
          <w:spacing w:val="-11"/>
        </w:rPr>
        <w:t xml:space="preserve"> </w:t>
      </w:r>
      <w:r w:rsidRPr="00040C21">
        <w:t>časových</w:t>
      </w:r>
      <w:r w:rsidRPr="00040C21">
        <w:rPr>
          <w:spacing w:val="-11"/>
        </w:rPr>
        <w:t xml:space="preserve"> </w:t>
      </w:r>
      <w:r w:rsidRPr="00040C21">
        <w:t>hledisek.</w:t>
      </w:r>
    </w:p>
    <w:p w14:paraId="45701708" w14:textId="77777777" w:rsidR="00531CAE" w:rsidRPr="00040C21" w:rsidRDefault="00531CAE" w:rsidP="00531CAE">
      <w:r w:rsidRPr="00040C21">
        <w:t xml:space="preserve">Rozvoj </w:t>
      </w:r>
      <w:r>
        <w:t>obce</w:t>
      </w:r>
      <w:r w:rsidRPr="00040C21">
        <w:t xml:space="preserve"> je řešen ve všech souvislostech. Rozvoj území je dán možnostmi a jeho stávajícím charakterem. Navrhované řešení na něj navazuje a rozvíjí jej ve vazbě na širší okolí. </w:t>
      </w:r>
      <w:r>
        <w:t>Obec se svou polohou nachází v aglomeračním prostoru Prahy, což posiluje její atraktivitu a tlak na rozvoj</w:t>
      </w:r>
      <w:r w:rsidRPr="00040C21">
        <w:t>. Při návrhu byl uplatněn princip integrovaného rozvoje zohledněním vazeb na krajské i</w:t>
      </w:r>
      <w:r>
        <w:t> </w:t>
      </w:r>
      <w:r w:rsidRPr="00040C21">
        <w:t xml:space="preserve">celostátní úrovni (respektování nadregionální dopravní infrastruktury včetně záměrů na její budování). </w:t>
      </w:r>
      <w:r>
        <w:t>Zároveň je rozvoj obce usazen do kontextu okolních obcí příměstského až venkovského charakteru</w:t>
      </w:r>
      <w:r w:rsidRPr="00040C21">
        <w:t>.</w:t>
      </w:r>
    </w:p>
    <w:p w14:paraId="78306F03" w14:textId="77777777" w:rsidR="00531CAE" w:rsidRPr="00040C21" w:rsidRDefault="00531CAE" w:rsidP="00531CAE">
      <w:pPr>
        <w:widowControl w:val="0"/>
        <w:autoSpaceDE w:val="0"/>
        <w:autoSpaceDN w:val="0"/>
        <w:rPr>
          <w:rFonts w:asciiTheme="minorHAnsi" w:hAnsiTheme="minorHAnsi" w:cstheme="minorHAnsi"/>
          <w:i/>
          <w:iCs/>
          <w:szCs w:val="18"/>
        </w:rPr>
      </w:pPr>
      <w:r w:rsidRPr="00040C21">
        <w:rPr>
          <w:rFonts w:asciiTheme="minorHAnsi" w:hAnsiTheme="minorHAnsi" w:cstheme="minorHAnsi"/>
          <w:i/>
          <w:iCs/>
          <w:szCs w:val="18"/>
        </w:rPr>
        <w:t>(18) Podporovat vyvážený a polycentrický rozvoj sídelní struktury</w:t>
      </w:r>
      <w:r>
        <w:rPr>
          <w:rFonts w:asciiTheme="minorHAnsi" w:hAnsiTheme="minorHAnsi" w:cstheme="minorHAnsi"/>
          <w:i/>
          <w:iCs/>
          <w:szCs w:val="18"/>
        </w:rPr>
        <w:t xml:space="preserve"> (…)</w:t>
      </w:r>
      <w:r w:rsidRPr="00040C21">
        <w:rPr>
          <w:rFonts w:asciiTheme="minorHAnsi" w:hAnsiTheme="minorHAnsi" w:cstheme="minorHAnsi"/>
          <w:i/>
          <w:iCs/>
          <w:szCs w:val="18"/>
        </w:rPr>
        <w:t>.</w:t>
      </w:r>
    </w:p>
    <w:p w14:paraId="751FAF83" w14:textId="77777777" w:rsidR="00531CAE" w:rsidRPr="00DF00E7" w:rsidRDefault="00531CAE" w:rsidP="00531CAE">
      <w:r w:rsidRPr="00DF00E7">
        <w:lastRenderedPageBreak/>
        <w:t xml:space="preserve">Územní plán posiluje identitu a charakter jednotlivých částí obce stanovením podmínek prostorového uspořádání s ohledem na charakter zástavby. Posiluje rozvoj lokálního občanského vybavení a sociálních vazeb. </w:t>
      </w:r>
    </w:p>
    <w:p w14:paraId="5B9D244E" w14:textId="77777777" w:rsidR="00531CAE" w:rsidRDefault="00531CAE" w:rsidP="00531CAE">
      <w:pPr>
        <w:pStyle w:val="Normalni-citace"/>
      </w:pPr>
      <w:r w:rsidRPr="00DF00E7">
        <w:t>(19) (…) Hospodárně využívat zastavěné území (podpora přestaveb revitalizací a sanací území) a zajistit ochranu nezastavěného území (zejména zemědělské a lesní půdy) a zachování veřejné zeleně, včetně minimalizace její fragmentace. Cílem je účelné využívání a uspořádání území úsporné v nárocích na veřejné rozpočty na dopravu a energie, které koordinací veřejných a soukromých zájmů na rozvoji území omezuje negativní důsledky suburbanizace pro udržitelný rozvoj území.</w:t>
      </w:r>
    </w:p>
    <w:p w14:paraId="3686BDF2" w14:textId="77777777" w:rsidR="00531CAE" w:rsidRPr="00DF00E7" w:rsidRDefault="00531CAE" w:rsidP="00531CAE">
      <w:r w:rsidRPr="00DF00E7">
        <w:t>Územní plán vyhodnocuje a upravuje rozsah zastavitelných ploch s ohledem na rozvojový potenciál obce, daný demografickým vývojem a hospodářskými možnostmi. Územní plán chrání plochy sídelní i krajinné zeleně a doplňuje jejich vazby systémem interakčních prvků v sídle i krajině.</w:t>
      </w:r>
    </w:p>
    <w:p w14:paraId="6A31BF2F" w14:textId="77777777" w:rsidR="00531CAE" w:rsidRPr="00DF00E7" w:rsidRDefault="00531CAE" w:rsidP="00531CAE">
      <w:pPr>
        <w:pStyle w:val="Normalni-citace"/>
      </w:pPr>
      <w:r w:rsidRPr="00DF00E7">
        <w:t>(20) (…) Vytvářet územní podmínky pro implementaci a respektování územních systémů ekologické stability a zvyšování a udržování ekologické stability a k zajištění ekologických funkcí i v ostatní volné krajině a pro ochranu krajinných prvků přírodního charakteru v zastavěných územích, zvyšování a udržování rozmanitosti venkovské krajiny. V rámci územně plánovací činnosti vytvářet podmínky pro ochranu krajinného rázu s ohledem na cílové charakteristiky a typy krajiny a vytvářet podmínky pro využití přírodních zdrojů.</w:t>
      </w:r>
    </w:p>
    <w:p w14:paraId="118058DA" w14:textId="77777777" w:rsidR="00531CAE" w:rsidRPr="00DF00E7" w:rsidRDefault="00531CAE" w:rsidP="00531CAE">
      <w:r w:rsidRPr="00DF00E7">
        <w:t>Územní plán upřesňuje regionální a nadregionální ÚSES a doplňuje jej o prvky lokálního ÚSES a systém interakčních prvků (viz kap. f/2.5.1 a f/2.5.2). Ochrana krajinného rázu je zajištěna stanovením podmínek prostorového uspořádání (viz kap. f/1.2).</w:t>
      </w:r>
      <w:r>
        <w:t xml:space="preserve"> Podmínky pro zvyšování ekologické stability krajiny jsou stanoveny rozvojem systému krajinné zeleně v jejích historicky přirozených polohách a podél nadmístního komunikačního systému.</w:t>
      </w:r>
    </w:p>
    <w:p w14:paraId="03DD5075" w14:textId="77777777" w:rsidR="00531CAE" w:rsidRPr="00040C21" w:rsidRDefault="00531CAE" w:rsidP="00531CAE">
      <w:pPr>
        <w:pStyle w:val="Normalni-citace"/>
      </w:pPr>
      <w:r w:rsidRPr="00040C21">
        <w:t>(20a) Vytvářet územní podmínky pro zajištění migrační propustnosti krajiny pro volně žijící živočichy a pro člověka, zejména při umísťování dopravní a technické infrastruktury a při vymezování ploch pro bydlení, občanskou vybavenost, výrobu a skladování. V rámci územně plánovací činnosti omezovat nežádoucí srůstání sídel s ohledem na zajištění přístupnosti a prostupnosti krajiny, uplatňovat integrované přístupy k předcházení a řešení environmentálních problémů.</w:t>
      </w:r>
    </w:p>
    <w:p w14:paraId="5C6440E4" w14:textId="77777777" w:rsidR="00531CAE" w:rsidRPr="00DF00E7" w:rsidRDefault="00531CAE" w:rsidP="00531CAE">
      <w:r w:rsidRPr="00DF00E7">
        <w:t>Územní plán chrání krajinný prostor mezi jednotlivými sídly a zastavitelné plochy vymezuje tak, aby nedocházelo k jejich srůstání.</w:t>
      </w:r>
      <w:r>
        <w:t xml:space="preserve"> Migrační trasy jsou chráněny návrhem prvků ÚSES a doprovodné krajinné zeleně.</w:t>
      </w:r>
    </w:p>
    <w:p w14:paraId="0D1A4100" w14:textId="77777777" w:rsidR="00531CAE" w:rsidRDefault="00531CAE" w:rsidP="00531CAE">
      <w:r w:rsidRPr="00040C21">
        <w:t>Zastavitelné plochy jsou navrženy v přímé návaznosti na zastavěné území. Jejich dopravní obsluha umožňuje návaznost na krajinné prostředí a jeho zpřístupnění.</w:t>
      </w:r>
    </w:p>
    <w:p w14:paraId="433C4C21" w14:textId="77777777" w:rsidR="00531CAE" w:rsidRPr="00040C21" w:rsidRDefault="00531CAE" w:rsidP="00531CAE">
      <w:pPr>
        <w:pStyle w:val="Normalni-citace"/>
      </w:pPr>
      <w:r w:rsidRPr="00040C21">
        <w:t>(21) Vymezit a chránit ve spolupráci s dotčenými obcemi před zastavěním pozemky nezbytné pro vytvoření souvislých ploch veřejně přístupné zeleně v rozvojových oblastech a v rozvojových osách a ve specifických oblastech, na jejichž území je krajina negativně poznamenána lidskou činností, s využitím její přirozené obnovy; cílem je zachování souvislých ploch nezastavěného území v bezprostředním okolí velkých měst, způsobilých pro nenáročné formy krátkodobé rekreace a dále pro vznik a rozvoj lesních porostů a zachování prostupnosti krajiny.</w:t>
      </w:r>
    </w:p>
    <w:p w14:paraId="7B41717D" w14:textId="4F67487F" w:rsidR="00531CAE" w:rsidRPr="00040C21" w:rsidRDefault="00531CAE" w:rsidP="00531CAE">
      <w:r>
        <w:t>Územní plán</w:t>
      </w:r>
      <w:r w:rsidRPr="00040C21">
        <w:t xml:space="preserve"> vymezuje zastavitelné plochy s vymezením sídelní zeleně, vazbou na krajinnou zeleň a</w:t>
      </w:r>
      <w:r w:rsidR="00364416">
        <w:t> </w:t>
      </w:r>
      <w:r w:rsidRPr="00040C21">
        <w:t>s možností každodenní rekreace. Rozšíření ploch krajinné zeleně zvýší hodnotu koeficientu ekologické stability (KES) a mimo rekreační využití může ochránit před erozí i plochy zemědělského půdního fondu.</w:t>
      </w:r>
    </w:p>
    <w:p w14:paraId="18ABD102" w14:textId="77777777" w:rsidR="00531CAE" w:rsidRPr="00040C21" w:rsidRDefault="00531CAE" w:rsidP="00531CAE">
      <w:r>
        <w:t>Územní plán</w:t>
      </w:r>
      <w:r w:rsidRPr="00040C21">
        <w:t xml:space="preserve"> mimo kostru ÚSES navrhuje plochy liniové zeleně jako protierozní opatření a možnost každodenní krátkodobé rekreace.</w:t>
      </w:r>
    </w:p>
    <w:p w14:paraId="127DF24D" w14:textId="77777777" w:rsidR="00531CAE" w:rsidRPr="00040C21" w:rsidRDefault="00531CAE" w:rsidP="00531CAE">
      <w:pPr>
        <w:pStyle w:val="Normalni-citace"/>
      </w:pPr>
      <w:r w:rsidRPr="00040C21">
        <w:t>(22) Vytvářet podmínky pro rozvoj a využití předpokladů území pro různé formy udržitelného cestovního ruchu (např. cykloturistika, agroturistika, poznávací turistika), při zachování a rozvoji hodnot území. Podporovat propojení míst, atraktivních z hlediska cestovního ruchu, turistickými cestami, které umožňují celoroční využití pro různé formy turistiky (např. pěší, cyklo, lyžařská, hipo).</w:t>
      </w:r>
      <w:r>
        <w:t xml:space="preserve"> </w:t>
      </w:r>
      <w:r w:rsidRPr="00FC40A7">
        <w:t>Centra osídlení v turisticky atraktivních oblastech, s ohledem na specifické místní podmínky a hodnoty z hlediska kulturního a přírodního dědictví, pokud možno rozvíjet jako póly rozvoje cestovního ruchu poskytující vybavenost pro rekreaci a zázemí pro turisty.</w:t>
      </w:r>
    </w:p>
    <w:p w14:paraId="04C52CC6" w14:textId="39FDE5E7" w:rsidR="00531CAE" w:rsidRPr="00040C21" w:rsidRDefault="00531CAE" w:rsidP="00531CAE">
      <w:pPr>
        <w:rPr>
          <w:snapToGrid w:val="0"/>
        </w:rPr>
      </w:pPr>
      <w:r>
        <w:t>Územní plán</w:t>
      </w:r>
      <w:r w:rsidRPr="00040C21">
        <w:t xml:space="preserve"> </w:t>
      </w:r>
      <w:r>
        <w:t xml:space="preserve">doplňuje propojení a prostupnost územím obce od stezek v krajině přes tematické trasy (např. </w:t>
      </w:r>
      <w:r w:rsidR="00364416">
        <w:t>údolími přítoků Bystřice</w:t>
      </w:r>
      <w:r>
        <w:t xml:space="preserve"> apod.) a cyklotrasy a</w:t>
      </w:r>
      <w:r w:rsidR="00364416">
        <w:t> </w:t>
      </w:r>
      <w:r>
        <w:t>posiluje tak propojení obce se sousedními obcemi</w:t>
      </w:r>
      <w:r w:rsidR="00364416">
        <w:t>, zejména směrem na Olomouc a Svatý Kopeček</w:t>
      </w:r>
      <w:r>
        <w:t>.</w:t>
      </w:r>
    </w:p>
    <w:p w14:paraId="1B534F45" w14:textId="77777777" w:rsidR="00531CAE" w:rsidRPr="00040C21" w:rsidRDefault="00531CAE" w:rsidP="00531CAE">
      <w:pPr>
        <w:pStyle w:val="Normalni-citace"/>
      </w:pPr>
      <w:r w:rsidRPr="00040C21">
        <w:t xml:space="preserve">(24) Vytvářet podmínky pro zlepšování dostupnosti území rozšiřováním a zkvalitňováním dopravní infrastruktury s ohledem na potřeby veřejné dopravy a požadavky ochrany veřejného zdraví a v souladu s principy rozvoje udržitelné mobility osob a zboží, zejména uvnitř rozvojových oblastí a rozvojových os. Možnosti nové výstavby je třeba dostatečnou veřejnou infrastrukturou přímo podmínit. </w:t>
      </w:r>
      <w:r w:rsidRPr="00FC40A7">
        <w:t xml:space="preserve">Při vymezování nových zastavitelných ploch zohledňovat možnost napojení na stávající veřejnou dopravní infrastrukturu. </w:t>
      </w:r>
      <w:r w:rsidRPr="00040C21">
        <w:t xml:space="preserve">Vytvářet podmínky pro zvyšování bezpečnosti a plynulosti dopravy, ochrany a bezpečnosti obyvatelstva a </w:t>
      </w:r>
      <w:r w:rsidRPr="00040C21">
        <w:lastRenderedPageBreak/>
        <w:t>zlepšování jeho ochrany před hlukem a emisemi, s ohledem na to vytvářet v území podmínky pro environmentálně šetrné formy dopravy (např. železniční, cyklistickou</w:t>
      </w:r>
      <w:r>
        <w:t xml:space="preserve">, </w:t>
      </w:r>
      <w:r w:rsidRPr="00FC40A7">
        <w:t>pěší</w:t>
      </w:r>
      <w:r w:rsidRPr="00040C21">
        <w:t>).</w:t>
      </w:r>
    </w:p>
    <w:p w14:paraId="6614CB67" w14:textId="77777777" w:rsidR="00531CAE" w:rsidRPr="00DF00E7" w:rsidRDefault="00531CAE" w:rsidP="00531CAE">
      <w:r w:rsidRPr="00DF00E7">
        <w:t xml:space="preserve">Územní plán zajišťuje napojení zastavitelných ploch na veřejnou dopravní infrastrukturu a </w:t>
      </w:r>
      <w:r>
        <w:t xml:space="preserve">případně </w:t>
      </w:r>
      <w:r w:rsidRPr="00DF00E7">
        <w:t xml:space="preserve">stanovuje </w:t>
      </w:r>
      <w:r>
        <w:t>požadavky na podmíněnost využití návrhových ploch veřejnou infrastrukturou</w:t>
      </w:r>
      <w:r w:rsidRPr="00DF00E7">
        <w:t xml:space="preserve"> tak, aby bylo možné rozvoj území koordinovat s rozvojem veřejné infrastruktury. Územní plán navrhuje opatření pro zlepšení pěší prostupnosti území sídla a krajiny (viz kap f/2.3.</w:t>
      </w:r>
      <w:r>
        <w:t>7</w:t>
      </w:r>
      <w:r w:rsidRPr="00DF00E7">
        <w:t>).</w:t>
      </w:r>
    </w:p>
    <w:p w14:paraId="28607CD4" w14:textId="77777777" w:rsidR="00531CAE" w:rsidRPr="00040C21" w:rsidRDefault="00531CAE" w:rsidP="00531CAE">
      <w:pPr>
        <w:pStyle w:val="Normalni-citace"/>
      </w:pPr>
      <w:r w:rsidRPr="00040C21">
        <w:t>(25) Vytvářet podmínky pro preventivní ochranu území a obyvatelstva před potenciálními riziky a přírodními katastrofami v území (záplavy, sesuvy půdy, eroze, sucho</w:t>
      </w:r>
      <w:r>
        <w:t xml:space="preserve">, </w:t>
      </w:r>
      <w:r w:rsidRPr="00FC40A7">
        <w:t>přehřívání</w:t>
      </w:r>
      <w:r w:rsidRPr="00040C21">
        <w:t xml:space="preserve"> atd.) s cílem jim předcházet a minimalizovat jejich negativní dopady. Zejména zajistit územní ochranu ploch potřebných pro umísťování staveb a opatření na ochranu před povodněmi a pro vymezení území určených k řízeným rozlivům povodní. Vytvářet podmínky pro zvýšení přirozené retence srážkových vod v území a využívání přírodě blízkých opatření pro zadržování a akumulaci povrchové vody tam, kde je to možné s ohledem na strukturu osídlení a kulturní krajinu, jako jedno z adaptačních opatření v případě dopadů změny klimatu. V území vytvářet podmínky pro zadržování, vsakování i využívání srážkových vod jako zdroje vody a s cílem zmírňování účinků povodní a sucha. Při vymezování zastavitelných ploch zohlednit hospodaření se srážkovými vodami.</w:t>
      </w:r>
    </w:p>
    <w:p w14:paraId="18A19D72" w14:textId="0743DFFB" w:rsidR="00531CAE" w:rsidRPr="00DF00E7" w:rsidRDefault="00531CAE" w:rsidP="00531CAE">
      <w:r w:rsidRPr="00DF00E7">
        <w:t xml:space="preserve">Územní plán neumisťuje nové zastavitelné plochy do záplavových území. Územní plán stanovuje </w:t>
      </w:r>
      <w:r>
        <w:t xml:space="preserve">v souladu s principy modrozelené infrastruktury </w:t>
      </w:r>
      <w:r w:rsidRPr="00DF00E7">
        <w:t>podmínky pro řešení likvidace srážkových vod a</w:t>
      </w:r>
      <w:r>
        <w:t> </w:t>
      </w:r>
      <w:r w:rsidRPr="00DF00E7">
        <w:t>stanovuje opatření pro zadržování vody v krajině systémem interakčních prvků</w:t>
      </w:r>
      <w:r>
        <w:t>,</w:t>
      </w:r>
      <w:r w:rsidRPr="00DF00E7">
        <w:t xml:space="preserve"> dělením půdních bloků a ochranou území říčních niv.</w:t>
      </w:r>
    </w:p>
    <w:p w14:paraId="0B21DC62" w14:textId="77777777" w:rsidR="00531CAE" w:rsidRPr="00040C21" w:rsidRDefault="00531CAE" w:rsidP="00531CAE">
      <w:pPr>
        <w:rPr>
          <w:snapToGrid w:val="0"/>
        </w:rPr>
      </w:pPr>
      <w:r w:rsidRPr="00040C21">
        <w:rPr>
          <w:snapToGrid w:val="0"/>
        </w:rPr>
        <w:t xml:space="preserve">Může docházet i k záplavám v důsledku přívalových dešťů. Na svažitých zemědělských plochách se pak uplatňuje především vodní eroze. </w:t>
      </w:r>
      <w:r w:rsidRPr="00040C21">
        <w:t>Územní plán vytváří podmínky pro preventivní ochranu před potenciálními riziky a</w:t>
      </w:r>
      <w:r>
        <w:t> </w:t>
      </w:r>
      <w:r w:rsidRPr="00040C21">
        <w:t>přírodními katastrofami v území přípustností protipovodňových a</w:t>
      </w:r>
      <w:r>
        <w:t> </w:t>
      </w:r>
      <w:r w:rsidRPr="00040C21">
        <w:t>protierozních opatření.</w:t>
      </w:r>
      <w:r w:rsidRPr="00040C21">
        <w:rPr>
          <w:snapToGrid w:val="0"/>
        </w:rPr>
        <w:t xml:space="preserve"> Navržený systém interakčních prvků a ploch krajinné</w:t>
      </w:r>
      <w:r>
        <w:rPr>
          <w:snapToGrid w:val="0"/>
        </w:rPr>
        <w:t> </w:t>
      </w:r>
      <w:r w:rsidRPr="00040C21">
        <w:rPr>
          <w:snapToGrid w:val="0"/>
        </w:rPr>
        <w:t>zeleně podporuje rezistenci krajiny vůči větrné a vodní erozi.</w:t>
      </w:r>
    </w:p>
    <w:p w14:paraId="2D105765" w14:textId="77777777" w:rsidR="00531CAE" w:rsidRPr="00040C21" w:rsidRDefault="00531CAE" w:rsidP="00531CAE">
      <w:pPr>
        <w:pStyle w:val="Normalni-citace"/>
      </w:pPr>
      <w:r w:rsidRPr="00040C21">
        <w:t xml:space="preserve">(28) Pro zajištění kvality života obyvatel zohledňovat potřeby </w:t>
      </w:r>
      <w:r w:rsidRPr="00EE3A93">
        <w:t>udržitelného</w:t>
      </w:r>
      <w:r>
        <w:t xml:space="preserve"> </w:t>
      </w:r>
      <w:r w:rsidRPr="00040C21">
        <w:t xml:space="preserve">rozvoje území v dlouhodobém horizontu a nároky na veřejnou infrastrukturu, včetně </w:t>
      </w:r>
      <w:r w:rsidRPr="00EE3A93">
        <w:t>zelené infrastruktury a</w:t>
      </w:r>
      <w:r>
        <w:t xml:space="preserve"> </w:t>
      </w:r>
      <w:r w:rsidRPr="00040C21">
        <w:t xml:space="preserve">veřejných prostranství. </w:t>
      </w:r>
      <w:r w:rsidRPr="00EE3A93">
        <w:t>Vytvářet podmínky pro</w:t>
      </w:r>
      <w:r>
        <w:t> </w:t>
      </w:r>
      <w:r w:rsidRPr="00EE3A93">
        <w:t xml:space="preserve">rozvoj území s dostupnou krajinou a sídelní zelení a pro rozvoj kvalitních veřejných prostranství s dostatečným zastoupením vegetačních prvků. </w:t>
      </w:r>
      <w:r w:rsidRPr="00040C21">
        <w:t xml:space="preserve">Návrh a ochranu kvalitních městských </w:t>
      </w:r>
      <w:r w:rsidRPr="00EE3A93">
        <w:t>nebo venkovských</w:t>
      </w:r>
      <w:r>
        <w:t xml:space="preserve"> </w:t>
      </w:r>
      <w:r w:rsidRPr="00040C21">
        <w:t>prostorů a veřejné infrastruktury je vhodné řešit ve spolupráci veřejného i soukromého sektoru s</w:t>
      </w:r>
      <w:r>
        <w:t> </w:t>
      </w:r>
      <w:r w:rsidRPr="00040C21">
        <w:t>veřejností.</w:t>
      </w:r>
      <w:r>
        <w:t xml:space="preserve"> </w:t>
      </w:r>
      <w:r w:rsidRPr="00F3407E">
        <w:t>Při vymezování ploch bydlení a stanovování podmínek pro rozvoj bydlení zohledňovat požadavky na veřejná prostranství.</w:t>
      </w:r>
    </w:p>
    <w:p w14:paraId="66F59595" w14:textId="77777777" w:rsidR="00531CAE" w:rsidRPr="00040C21" w:rsidRDefault="00531CAE" w:rsidP="00531CAE">
      <w:r w:rsidRPr="00040C21">
        <w:t>Územní plán ustanovuje koncepci rozvoje obce, spojenou s koncepcí veřejné infrastruktury, respektováním veřejných prostranství a jejich hierarchie v urbanistické struktuře města s posílením jejich významovosti a návrhem koncepce uspořádání krajiny s důrazem na řešení charakteru jednotlivých celků krajiny a posilováním její místně přirozené struktury.</w:t>
      </w:r>
    </w:p>
    <w:p w14:paraId="76785170" w14:textId="77777777" w:rsidR="00531CAE" w:rsidRPr="00040C21" w:rsidRDefault="00531CAE" w:rsidP="00531CAE">
      <w:pPr>
        <w:pStyle w:val="Normalni-citace"/>
      </w:pPr>
      <w:r w:rsidRPr="00040C21">
        <w:t>(29) Zvláštní pozornost věnovat návaznosti různých druhů dopravy. Vytvářet územní podmínky pro upřednostňování veřejné hromadné, cyklistické a pěší dopravy. S ohledem na to vymezovat plochy a koridory nezbytné pro efektivní integrované systémy veřejné dopravy nebo městskou hromadnou dopravu, umožňující účelné propojení ploch bydlení, ploch rekreace, občanského vybavení, veřejných prostranství, výroby a dalších ploch, s požadavky na</w:t>
      </w:r>
      <w:r>
        <w:t> </w:t>
      </w:r>
      <w:r w:rsidRPr="00040C21">
        <w:t xml:space="preserve">kvalitní životní prostředí. </w:t>
      </w:r>
      <w:r w:rsidRPr="00F3407E">
        <w:t>Zlepšovat prostupnost měst a obcí pro</w:t>
      </w:r>
      <w:r>
        <w:t> </w:t>
      </w:r>
      <w:r w:rsidRPr="00F3407E">
        <w:t xml:space="preserve">environmentálně šetrné formy dopravy a vytvářet </w:t>
      </w:r>
      <w:r w:rsidRPr="00040C21">
        <w:t>podmínky pro rozvoj účinného a dostupného systému, který bude poskytovat obyvatelům rovné možnosti mobility a dosažitelnosti v území. S ohledem na to vytvářet podmínky pro vybudování a užívání vhodné sítě pěších a cyklistických cest, včetně doprovodné zeleně v místech, kde je to vhodné.</w:t>
      </w:r>
    </w:p>
    <w:p w14:paraId="00D92D81" w14:textId="77777777" w:rsidR="00531CAE" w:rsidRPr="00DF00E7" w:rsidRDefault="00531CAE" w:rsidP="00531CAE">
      <w:r w:rsidRPr="00DF00E7">
        <w:t>Územní plán stanovuje podmínky pro stabilizaci a rozvoj hromadné dopravy, včetně pěšího propojení jednotlivých stanic hromadné dopravy</w:t>
      </w:r>
      <w:r>
        <w:t xml:space="preserve"> a posílení prostupnosti území obce pro pěší a cyklistickou dopravu</w:t>
      </w:r>
      <w:r w:rsidRPr="00DF00E7">
        <w:t>.</w:t>
      </w:r>
    </w:p>
    <w:p w14:paraId="26B34C10" w14:textId="77777777" w:rsidR="00531CAE" w:rsidRPr="00040C21" w:rsidRDefault="00531CAE" w:rsidP="00531CAE">
      <w:pPr>
        <w:pStyle w:val="Normalni-citace"/>
      </w:pPr>
      <w:r w:rsidRPr="00040C21">
        <w:t>(30) Úroveň technické infrastruktury, zejména dodávku vody a zpracování odpadních vod je nutno koncipovat tak, aby splňovala požadavky na vysokou kvalitu života v současnosti i v budoucnosti.</w:t>
      </w:r>
      <w:r>
        <w:t xml:space="preserve"> </w:t>
      </w:r>
      <w:r w:rsidRPr="00177B2A">
        <w:t>Je nezbytné vytvářet územní podmínky pro zásobování pitnou vodou a pro optimální odvádění a čištění odpadních vod. Při vymezování nových zastavitelných ploch zohledňovat možnost napojení na stávající veřejnou technickou infrastrukturu.</w:t>
      </w:r>
    </w:p>
    <w:p w14:paraId="4779BD02" w14:textId="77777777" w:rsidR="00531CAE" w:rsidRPr="00040C21" w:rsidRDefault="00531CAE" w:rsidP="00531CAE">
      <w:r w:rsidRPr="00040C21">
        <w:t xml:space="preserve">V územním plánu je řešen systém zásobování vodou a odkanalizování v souladu </w:t>
      </w:r>
      <w:r>
        <w:t>s požadavky správců vodohospodářské infrastruktury</w:t>
      </w:r>
      <w:r w:rsidRPr="00040C21">
        <w:t>. Rozšíření stávajících sítí bude realizováno zejména v plochách veřejných prostranství, plochách technické infrastruktury a v rámci dalších jednotlivých ploch s rozdílným způsobem využití. Vybavení technickou infrastrukturou zajišťuje požadavky na zvyšování kvality života obyvatel v současnosti i v budoucnosti.</w:t>
      </w:r>
    </w:p>
    <w:p w14:paraId="2454C7BD" w14:textId="77777777" w:rsidR="00531CAE" w:rsidRPr="00040C21" w:rsidRDefault="00531CAE" w:rsidP="00531CAE">
      <w:pPr>
        <w:pStyle w:val="Normalni-citace"/>
      </w:pPr>
      <w:r w:rsidRPr="00040C21">
        <w:t>(31) Vytvářet územní podmínky pro rozvoj decentralizované, efektivní a</w:t>
      </w:r>
      <w:r>
        <w:t> </w:t>
      </w:r>
      <w:r w:rsidRPr="00040C21">
        <w:t xml:space="preserve">bezpečné výroby energie z obnovitelných zdrojů, </w:t>
      </w:r>
      <w:r w:rsidRPr="00177B2A">
        <w:t xml:space="preserve">případně z dalších nízkouhlíkových zdrojů, včetně zajištění bezpečného zásobování </w:t>
      </w:r>
      <w:r w:rsidRPr="00177B2A">
        <w:lastRenderedPageBreak/>
        <w:t>území energiemi,</w:t>
      </w:r>
      <w:r>
        <w:t xml:space="preserve"> </w:t>
      </w:r>
      <w:r w:rsidRPr="00040C21">
        <w:t>šetrné k životnímu prostředí</w:t>
      </w:r>
      <w:r>
        <w:t xml:space="preserve"> </w:t>
      </w:r>
      <w:r w:rsidRPr="00177B2A">
        <w:t>a kulturním hodnotám území</w:t>
      </w:r>
      <w:r w:rsidRPr="00040C21">
        <w:t>, s cílem minimalizace jejich negativních vlivů a rizik</w:t>
      </w:r>
      <w:r>
        <w:t>.</w:t>
      </w:r>
    </w:p>
    <w:p w14:paraId="637F5CE6" w14:textId="0983FBAA" w:rsidR="00531CAE" w:rsidRDefault="00531CAE" w:rsidP="00531CAE">
      <w:r>
        <w:t>Územní plán nevymezuje</w:t>
      </w:r>
      <w:r w:rsidRPr="00040C21">
        <w:t xml:space="preserve"> samostatné centralizované plochy výroby energie z obnovitelných zdrojů. Předpokládá se individuální využívání obnovitelných zdrojů při zabezpečování energetických potřeb obyvatel v plochách bydlení nebo potřeb </w:t>
      </w:r>
      <w:r>
        <w:t>podnikání a komerce v rámci komerčních a podnikatelských ploch a areálů</w:t>
      </w:r>
      <w:r w:rsidRPr="00040C21">
        <w:t xml:space="preserve">. Vymezení ploch pro obnovitelné zdroje vyžaduje koordinaci takového požadavku na nadmístní úrovni, kdy musí nezbytně dojít k posouzení dopadu ploch pro OZE na krajinný ráz. </w:t>
      </w:r>
      <w:r w:rsidR="007967D8">
        <w:t>Územní studie větrných elektráren na území Olomouckého kraje nevymezuje ve správním území obce žádné lokality pro větrné elektrárny</w:t>
      </w:r>
      <w:r w:rsidR="008516A2">
        <w:t xml:space="preserve"> a celé správní území je zařazeno do nepřípustného území</w:t>
      </w:r>
      <w:r w:rsidR="0097438B">
        <w:t xml:space="preserve"> pro umisťování větrných elektráren</w:t>
      </w:r>
      <w:r w:rsidRPr="00040C21">
        <w:t>.</w:t>
      </w:r>
    </w:p>
    <w:p w14:paraId="3B29AD15" w14:textId="1B33BF0A" w:rsidR="00FF1927" w:rsidRDefault="00FF1927" w:rsidP="00FF1927">
      <w:pPr>
        <w:pStyle w:val="Nadpis3"/>
      </w:pPr>
      <w:bookmarkStart w:id="38" w:name="_Toc232612595"/>
      <w:r>
        <w:t>Rozvojové oblasti</w:t>
      </w:r>
      <w:bookmarkEnd w:id="38"/>
    </w:p>
    <w:p w14:paraId="007F797A" w14:textId="215E966D" w:rsidR="00FF1927" w:rsidRDefault="00FF1927">
      <w:pPr>
        <w:pStyle w:val="normalni-cisla"/>
        <w:numPr>
          <w:ilvl w:val="0"/>
          <w:numId w:val="57"/>
        </w:numPr>
        <w:ind w:left="709"/>
      </w:pPr>
      <w:r w:rsidRPr="00932895">
        <w:t xml:space="preserve">Obec </w:t>
      </w:r>
      <w:r w:rsidR="00F612B5">
        <w:t>Hlubočky</w:t>
      </w:r>
      <w:r w:rsidRPr="00932895">
        <w:t xml:space="preserve"> se nachází </w:t>
      </w:r>
      <w:r>
        <w:t>v rozvojové oblasti OB8</w:t>
      </w:r>
      <w:r w:rsidRPr="00932895">
        <w:t xml:space="preserve"> </w:t>
      </w:r>
      <w:r>
        <w:t>Olomouc</w:t>
      </w:r>
      <w:r w:rsidRPr="00932895">
        <w:t xml:space="preserve"> v PÚR ČR.</w:t>
      </w:r>
    </w:p>
    <w:p w14:paraId="28EB1E3D" w14:textId="5CFF1462" w:rsidR="00FF1927" w:rsidRPr="00FF1927" w:rsidRDefault="00FF1927" w:rsidP="00FF1927">
      <w:r>
        <w:t xml:space="preserve">ÚP Hlubočky je v souladu s požadavky </w:t>
      </w:r>
      <w:r w:rsidRPr="00932895">
        <w:t>PÚR ČR</w:t>
      </w:r>
      <w:r>
        <w:t>.</w:t>
      </w:r>
    </w:p>
    <w:p w14:paraId="7E0A533A" w14:textId="2BBA19AD" w:rsidR="007C2351" w:rsidRDefault="00FF1927" w:rsidP="00FF1927">
      <w:pPr>
        <w:pStyle w:val="Nadpis3"/>
        <w:ind w:left="709" w:hanging="709"/>
      </w:pPr>
      <w:bookmarkStart w:id="39" w:name="_Toc232612596"/>
      <w:r>
        <w:t>Specifické oblasti</w:t>
      </w:r>
      <w:bookmarkEnd w:id="39"/>
    </w:p>
    <w:p w14:paraId="53DE34A0" w14:textId="77777777" w:rsidR="002A1021" w:rsidRPr="00040C21" w:rsidRDefault="002A1021" w:rsidP="0006350D">
      <w:pPr>
        <w:pStyle w:val="normalni-cisla"/>
        <w:numPr>
          <w:ilvl w:val="0"/>
          <w:numId w:val="0"/>
        </w:numPr>
        <w:ind w:left="709"/>
      </w:pPr>
      <w:r w:rsidRPr="00040C21">
        <w:t xml:space="preserve">Politika územního rozvoje </w:t>
      </w:r>
      <w:r w:rsidRPr="0006350D">
        <w:t xml:space="preserve">PÚR ČR </w:t>
      </w:r>
      <w:r w:rsidRPr="00040C21">
        <w:t>vymezuje následující specifické oblasti, ve</w:t>
      </w:r>
      <w:r>
        <w:t> </w:t>
      </w:r>
      <w:r w:rsidRPr="00040C21">
        <w:t>kterých se projevují aktuální problémy republikového významu:</w:t>
      </w:r>
    </w:p>
    <w:p w14:paraId="0E95D1F8" w14:textId="77777777" w:rsidR="002A1021" w:rsidRPr="0027265E" w:rsidRDefault="002A1021" w:rsidP="008A41F9">
      <w:pPr>
        <w:pStyle w:val="Nadpis4"/>
      </w:pPr>
      <w:r w:rsidRPr="002A4AD4">
        <w:t>(75b)</w:t>
      </w:r>
      <w:r w:rsidRPr="00830681">
        <w:t xml:space="preserve"> SOB9</w:t>
      </w:r>
      <w:r w:rsidRPr="0027265E">
        <w:t xml:space="preserve"> Specifická oblast, ve které se projevuje aktuální problém ohrožení území suchem</w:t>
      </w:r>
    </w:p>
    <w:p w14:paraId="24A4C387" w14:textId="77777777" w:rsidR="002A1021" w:rsidRPr="00202C49" w:rsidRDefault="002A1021" w:rsidP="002A1021">
      <w:pPr>
        <w:pStyle w:val="Normalni-citace"/>
        <w:rPr>
          <w:u w:val="single"/>
        </w:rPr>
      </w:pPr>
      <w:r w:rsidRPr="00202C49">
        <w:rPr>
          <w:u w:val="single"/>
        </w:rPr>
        <w:t>Vymezení:</w:t>
      </w:r>
    </w:p>
    <w:p w14:paraId="5FEDE0DE" w14:textId="77777777" w:rsidR="002A1021" w:rsidRPr="00040C21" w:rsidRDefault="002A1021" w:rsidP="002A1021">
      <w:r>
        <w:t>Správní území obce</w:t>
      </w:r>
      <w:r w:rsidRPr="00040C21">
        <w:t xml:space="preserve"> je součástí vymezení specifické oblasti. </w:t>
      </w:r>
    </w:p>
    <w:p w14:paraId="43D881C9" w14:textId="77777777" w:rsidR="002A1021" w:rsidRPr="00202C49" w:rsidRDefault="002A1021" w:rsidP="002A1021">
      <w:pPr>
        <w:pStyle w:val="Normalni-citace"/>
        <w:rPr>
          <w:u w:val="single"/>
        </w:rPr>
      </w:pPr>
      <w:r w:rsidRPr="00202C49">
        <w:rPr>
          <w:u w:val="single"/>
        </w:rPr>
        <w:t>Důvody vymezení:</w:t>
      </w:r>
    </w:p>
    <w:p w14:paraId="63F7CD64" w14:textId="77777777" w:rsidR="002A1021" w:rsidRPr="00040C21" w:rsidRDefault="002A1021">
      <w:pPr>
        <w:pStyle w:val="Normalni-citace"/>
        <w:numPr>
          <w:ilvl w:val="0"/>
          <w:numId w:val="26"/>
        </w:numPr>
        <w:ind w:left="993" w:hanging="295"/>
        <w:contextualSpacing/>
      </w:pPr>
      <w:r w:rsidRPr="00040C21">
        <w:t>Specifická oblast se specifickými problémy území republikového</w:t>
      </w:r>
      <w:r w:rsidRPr="00040C21">
        <w:rPr>
          <w:spacing w:val="-18"/>
        </w:rPr>
        <w:t xml:space="preserve"> </w:t>
      </w:r>
      <w:r w:rsidRPr="00040C21">
        <w:t>významu.</w:t>
      </w:r>
    </w:p>
    <w:p w14:paraId="348F5935" w14:textId="77777777" w:rsidR="002A1021" w:rsidRPr="00040C21" w:rsidRDefault="002A1021">
      <w:pPr>
        <w:pStyle w:val="Normalni-citace"/>
        <w:numPr>
          <w:ilvl w:val="0"/>
          <w:numId w:val="26"/>
        </w:numPr>
        <w:ind w:left="993" w:hanging="295"/>
        <w:contextualSpacing/>
      </w:pPr>
      <w:r w:rsidRPr="00040C21">
        <w:t>Potřeba řešit problém sucha, které je způsobeno</w:t>
      </w:r>
      <w:r w:rsidRPr="00040C21">
        <w:rPr>
          <w:spacing w:val="-9"/>
        </w:rPr>
        <w:t xml:space="preserve"> </w:t>
      </w:r>
      <w:r w:rsidRPr="00040C21">
        <w:t>nízkými</w:t>
      </w:r>
      <w:r w:rsidRPr="00040C21">
        <w:rPr>
          <w:spacing w:val="-10"/>
        </w:rPr>
        <w:t xml:space="preserve"> </w:t>
      </w:r>
      <w:r w:rsidRPr="00040C21">
        <w:t>úhrny</w:t>
      </w:r>
      <w:r w:rsidRPr="00040C21">
        <w:rPr>
          <w:spacing w:val="-7"/>
        </w:rPr>
        <w:t xml:space="preserve"> </w:t>
      </w:r>
      <w:r w:rsidRPr="00040C21">
        <w:t>srážek</w:t>
      </w:r>
      <w:r w:rsidRPr="00040C21">
        <w:rPr>
          <w:spacing w:val="-8"/>
        </w:rPr>
        <w:t xml:space="preserve"> </w:t>
      </w:r>
      <w:r w:rsidRPr="00040C21">
        <w:t>a</w:t>
      </w:r>
      <w:r w:rsidRPr="00040C21">
        <w:rPr>
          <w:spacing w:val="-9"/>
        </w:rPr>
        <w:t xml:space="preserve"> </w:t>
      </w:r>
      <w:r w:rsidRPr="00040C21">
        <w:t>vysokým výparem v kombinaci s malou zásobou povrchové a podzemní</w:t>
      </w:r>
      <w:r w:rsidRPr="00040C21">
        <w:rPr>
          <w:spacing w:val="-21"/>
        </w:rPr>
        <w:t xml:space="preserve"> </w:t>
      </w:r>
      <w:r w:rsidRPr="00040C21">
        <w:t>vody.</w:t>
      </w:r>
    </w:p>
    <w:p w14:paraId="7A5E24F6" w14:textId="77777777" w:rsidR="002A1021" w:rsidRPr="00040C21" w:rsidRDefault="002A1021">
      <w:pPr>
        <w:pStyle w:val="Normalni-citace"/>
        <w:numPr>
          <w:ilvl w:val="0"/>
          <w:numId w:val="26"/>
        </w:numPr>
        <w:ind w:left="993" w:hanging="295"/>
        <w:contextualSpacing/>
      </w:pPr>
      <w:r w:rsidRPr="00040C21">
        <w:t>Potřeba řešit problém vysoké zranitelnosti podzemních vod, včetně přírodních léčivých zdrojů a zdrojů přírodních minerálních vod v období</w:t>
      </w:r>
      <w:r w:rsidRPr="00040C21">
        <w:rPr>
          <w:spacing w:val="-18"/>
        </w:rPr>
        <w:t xml:space="preserve"> </w:t>
      </w:r>
      <w:r w:rsidRPr="00040C21">
        <w:t>sucha.</w:t>
      </w:r>
    </w:p>
    <w:p w14:paraId="08BCE1FD" w14:textId="77777777" w:rsidR="002A1021" w:rsidRPr="00040C21" w:rsidRDefault="002A1021">
      <w:pPr>
        <w:pStyle w:val="Normalni-citace"/>
        <w:numPr>
          <w:ilvl w:val="0"/>
          <w:numId w:val="26"/>
        </w:numPr>
        <w:ind w:left="993" w:hanging="295"/>
        <w:contextualSpacing/>
      </w:pPr>
      <w:r w:rsidRPr="00040C21">
        <w:t xml:space="preserve">Potřeba udržovat rovnováhu mezi množstvím disponibilních vodních zdrojů, požadavky na odběry </w:t>
      </w:r>
      <w:r w:rsidRPr="00040C21">
        <w:rPr>
          <w:spacing w:val="2"/>
        </w:rPr>
        <w:t xml:space="preserve">vody </w:t>
      </w:r>
      <w:r w:rsidRPr="00040C21">
        <w:t>a požadavky na minimální zůstatkové průtoky a minimální hladiny podzemní</w:t>
      </w:r>
      <w:r w:rsidRPr="00040C21">
        <w:rPr>
          <w:spacing w:val="6"/>
        </w:rPr>
        <w:t xml:space="preserve"> </w:t>
      </w:r>
      <w:r w:rsidRPr="00040C21">
        <w:rPr>
          <w:spacing w:val="4"/>
        </w:rPr>
        <w:t>vody.</w:t>
      </w:r>
    </w:p>
    <w:p w14:paraId="51365AAF" w14:textId="77777777" w:rsidR="002A1021" w:rsidRPr="00040C21" w:rsidRDefault="002A1021">
      <w:pPr>
        <w:pStyle w:val="Normalni-citace"/>
        <w:numPr>
          <w:ilvl w:val="0"/>
          <w:numId w:val="26"/>
        </w:numPr>
        <w:ind w:left="993" w:hanging="295"/>
        <w:contextualSpacing/>
      </w:pPr>
      <w:r w:rsidRPr="00040C21">
        <w:t>Potřeba zajistit dostatek pitné a užitkové vody pro obyvatelstvo, zemědělství, průmysl, lázeňství</w:t>
      </w:r>
      <w:r>
        <w:t xml:space="preserve">, </w:t>
      </w:r>
      <w:r w:rsidRPr="004C0861">
        <w:t>významné kulturní památky</w:t>
      </w:r>
      <w:r w:rsidRPr="00040C21">
        <w:t xml:space="preserve"> a</w:t>
      </w:r>
      <w:r w:rsidRPr="00040C21">
        <w:rPr>
          <w:spacing w:val="-5"/>
        </w:rPr>
        <w:t xml:space="preserve"> </w:t>
      </w:r>
      <w:r w:rsidRPr="00040C21">
        <w:t>služby.</w:t>
      </w:r>
    </w:p>
    <w:p w14:paraId="2D41D91F" w14:textId="77777777" w:rsidR="002A1021" w:rsidRPr="00040C21" w:rsidRDefault="002A1021">
      <w:pPr>
        <w:pStyle w:val="Normalni-citace"/>
        <w:numPr>
          <w:ilvl w:val="0"/>
          <w:numId w:val="26"/>
        </w:numPr>
        <w:ind w:left="993" w:hanging="295"/>
        <w:contextualSpacing/>
      </w:pPr>
      <w:r w:rsidRPr="00040C21">
        <w:t>Potřeba zajistit vodohospodářskou infrastrukturu pro zabezpečení požadavků na odběry vody s ohledem na proměnlivé hydrologické</w:t>
      </w:r>
      <w:r w:rsidRPr="00040C21">
        <w:rPr>
          <w:spacing w:val="-8"/>
        </w:rPr>
        <w:t xml:space="preserve"> </w:t>
      </w:r>
      <w:r w:rsidRPr="00040C21">
        <w:t>podmínky.</w:t>
      </w:r>
    </w:p>
    <w:p w14:paraId="5233432B" w14:textId="77777777" w:rsidR="002A1021" w:rsidRPr="00040C21" w:rsidRDefault="002A1021">
      <w:pPr>
        <w:pStyle w:val="Normalni-citace"/>
        <w:numPr>
          <w:ilvl w:val="0"/>
          <w:numId w:val="26"/>
        </w:numPr>
        <w:ind w:left="993" w:hanging="295"/>
        <w:contextualSpacing/>
      </w:pPr>
      <w:r w:rsidRPr="00040C21">
        <w:t>Potřeba věnovat větší pozornost suchu (meteorologickému, půdnímu, hydrologickému) z důvodu vyššího rizika stavu nedostatku vody ve srovnání s ostatním územím</w:t>
      </w:r>
      <w:r w:rsidRPr="00040C21">
        <w:rPr>
          <w:spacing w:val="-1"/>
        </w:rPr>
        <w:t xml:space="preserve"> </w:t>
      </w:r>
      <w:r w:rsidRPr="00040C21">
        <w:t>ČR.</w:t>
      </w:r>
    </w:p>
    <w:p w14:paraId="13A49859" w14:textId="77777777" w:rsidR="002A1021" w:rsidRPr="00040C21" w:rsidRDefault="002A1021">
      <w:pPr>
        <w:pStyle w:val="Normalni-citace"/>
        <w:numPr>
          <w:ilvl w:val="0"/>
          <w:numId w:val="26"/>
        </w:numPr>
        <w:ind w:left="993" w:hanging="295"/>
        <w:contextualSpacing/>
      </w:pPr>
      <w:r w:rsidRPr="00040C21">
        <w:t xml:space="preserve">Potřeba řešit a zajistit stabilní a odolnou zelenou infrastrukturu pro </w:t>
      </w:r>
      <w:r w:rsidRPr="00040C21">
        <w:rPr>
          <w:spacing w:val="-3"/>
        </w:rPr>
        <w:t>adap</w:t>
      </w:r>
      <w:r w:rsidRPr="00040C21">
        <w:t>taci území na změnu</w:t>
      </w:r>
      <w:r w:rsidRPr="00040C21">
        <w:rPr>
          <w:spacing w:val="-9"/>
        </w:rPr>
        <w:t xml:space="preserve"> </w:t>
      </w:r>
      <w:r w:rsidRPr="00040C21">
        <w:t>klimatu.</w:t>
      </w:r>
    </w:p>
    <w:p w14:paraId="2C754C00" w14:textId="77777777" w:rsidR="002A1021" w:rsidRDefault="002A1021">
      <w:pPr>
        <w:pStyle w:val="Normalni-citace"/>
        <w:numPr>
          <w:ilvl w:val="0"/>
          <w:numId w:val="26"/>
        </w:numPr>
        <w:ind w:left="993" w:hanging="295"/>
        <w:contextualSpacing/>
      </w:pPr>
      <w:r w:rsidRPr="00040C21">
        <w:t>Potřeba zajistit účinné zadržení vody v</w:t>
      </w:r>
      <w:r w:rsidRPr="00040C21">
        <w:rPr>
          <w:spacing w:val="-1"/>
        </w:rPr>
        <w:t xml:space="preserve"> </w:t>
      </w:r>
      <w:r w:rsidRPr="00040C21">
        <w:t>krajině.</w:t>
      </w:r>
    </w:p>
    <w:p w14:paraId="2AF16249" w14:textId="77777777" w:rsidR="002A1021" w:rsidRPr="00040C21" w:rsidRDefault="002A1021">
      <w:pPr>
        <w:pStyle w:val="Normalni-citace"/>
        <w:numPr>
          <w:ilvl w:val="0"/>
          <w:numId w:val="26"/>
        </w:numPr>
        <w:ind w:left="993" w:hanging="295"/>
      </w:pPr>
      <w:r w:rsidRPr="004C0861">
        <w:t>Potřeba zajistit optimální odvádění a čištění odpadních vod.</w:t>
      </w:r>
    </w:p>
    <w:p w14:paraId="09544C89" w14:textId="77777777" w:rsidR="002A1021" w:rsidRPr="00D3264B" w:rsidRDefault="002A1021" w:rsidP="002A1021">
      <w:pPr>
        <w:pStyle w:val="Normalni-citace"/>
        <w:rPr>
          <w:u w:val="single"/>
        </w:rPr>
      </w:pPr>
      <w:r w:rsidRPr="00D3264B">
        <w:rPr>
          <w:u w:val="single"/>
        </w:rPr>
        <w:t>Podmínky pro navazující územně plánovací činnost:</w:t>
      </w:r>
    </w:p>
    <w:p w14:paraId="0208D839" w14:textId="77777777" w:rsidR="002A1021" w:rsidRPr="00040C21" w:rsidRDefault="002A1021" w:rsidP="002A1021">
      <w:pPr>
        <w:pStyle w:val="Normalni-citace"/>
      </w:pPr>
      <w:r w:rsidRPr="00040C21">
        <w:t>Při vymezování záměrů vytvářet podmínky pro:</w:t>
      </w:r>
    </w:p>
    <w:p w14:paraId="285BBBE1" w14:textId="77777777" w:rsidR="002A1021" w:rsidRPr="00040C21" w:rsidRDefault="002A1021">
      <w:pPr>
        <w:pStyle w:val="Normalni-citace"/>
        <w:numPr>
          <w:ilvl w:val="0"/>
          <w:numId w:val="27"/>
        </w:numPr>
        <w:ind w:left="993" w:hanging="283"/>
        <w:contextualSpacing/>
      </w:pPr>
      <w:r w:rsidRPr="00040C21">
        <w:t>podporu přirozeného vodního režimu v</w:t>
      </w:r>
      <w:r w:rsidRPr="00D3264B">
        <w:t xml:space="preserve"> </w:t>
      </w:r>
      <w:r w:rsidRPr="00040C21">
        <w:t>krajině,</w:t>
      </w:r>
    </w:p>
    <w:p w14:paraId="624370EB" w14:textId="77777777" w:rsidR="002A1021" w:rsidRPr="00040C21" w:rsidRDefault="002A1021">
      <w:pPr>
        <w:pStyle w:val="Normalni-citace"/>
        <w:numPr>
          <w:ilvl w:val="0"/>
          <w:numId w:val="27"/>
        </w:numPr>
        <w:ind w:left="993" w:hanging="295"/>
        <w:contextualSpacing/>
      </w:pPr>
      <w:r w:rsidRPr="00040C21">
        <w:t>posilování odolnosti a rozvoj vodních zdrojů,</w:t>
      </w:r>
    </w:p>
    <w:p w14:paraId="504FD178" w14:textId="77777777" w:rsidR="002A1021" w:rsidRPr="00040C21" w:rsidRDefault="002A1021">
      <w:pPr>
        <w:pStyle w:val="Normalni-citace"/>
        <w:numPr>
          <w:ilvl w:val="0"/>
          <w:numId w:val="27"/>
        </w:numPr>
        <w:ind w:left="993" w:hanging="295"/>
        <w:contextualSpacing/>
      </w:pPr>
      <w:r w:rsidRPr="00040C21">
        <w:t>zajištění rovnováhy mezi užíváním vodních zdrojů a jejich přirozenou obnovitelností,</w:t>
      </w:r>
    </w:p>
    <w:p w14:paraId="2123CA3A" w14:textId="77777777" w:rsidR="002A1021" w:rsidRPr="00040C21" w:rsidRDefault="002A1021">
      <w:pPr>
        <w:pStyle w:val="Normalni-citace"/>
        <w:numPr>
          <w:ilvl w:val="0"/>
          <w:numId w:val="27"/>
        </w:numPr>
        <w:ind w:left="993" w:hanging="295"/>
        <w:contextualSpacing/>
      </w:pPr>
      <w:r w:rsidRPr="00040C21">
        <w:t>účinné snižování a odstraňování znečištění vody z plošných i bodových zdrojů</w:t>
      </w:r>
      <w:r w:rsidRPr="00D3264B">
        <w:t xml:space="preserve"> </w:t>
      </w:r>
      <w:r w:rsidRPr="00040C21">
        <w:t>znečištění,</w:t>
      </w:r>
      <w:r w:rsidRPr="00D3264B">
        <w:t xml:space="preserve"> </w:t>
      </w:r>
      <w:r w:rsidRPr="00040C21">
        <w:t>které</w:t>
      </w:r>
      <w:r w:rsidRPr="00D3264B">
        <w:t xml:space="preserve"> </w:t>
      </w:r>
      <w:r w:rsidRPr="00040C21">
        <w:t>omezují</w:t>
      </w:r>
      <w:r w:rsidRPr="00D3264B">
        <w:t xml:space="preserve"> </w:t>
      </w:r>
      <w:r w:rsidRPr="00040C21">
        <w:t>využívání povrchových a podzemních</w:t>
      </w:r>
      <w:r w:rsidRPr="00D3264B">
        <w:t xml:space="preserve"> </w:t>
      </w:r>
      <w:r w:rsidRPr="00040C21">
        <w:t>vod,</w:t>
      </w:r>
    </w:p>
    <w:p w14:paraId="7511E08B" w14:textId="77777777" w:rsidR="002A1021" w:rsidRPr="00040C21" w:rsidRDefault="002A1021">
      <w:pPr>
        <w:pStyle w:val="Normalni-citace"/>
        <w:numPr>
          <w:ilvl w:val="0"/>
          <w:numId w:val="27"/>
        </w:numPr>
        <w:ind w:left="993" w:hanging="295"/>
        <w:contextualSpacing/>
      </w:pPr>
      <w:r w:rsidRPr="00040C21">
        <w:t>rozvoj a údržbu vodohospodářské infrastruktury, pro zabezpečení požadavků na dodávky vody v proměnlivých hydrologických podmínkách (zejm. při nedostatku srážek, zmenšení průtoků ve vodních tocích, poklesu vody v půdě a poklesu hladiny podzemních</w:t>
      </w:r>
      <w:r w:rsidRPr="00D3264B">
        <w:t xml:space="preserve"> </w:t>
      </w:r>
      <w:r w:rsidRPr="00040C21">
        <w:t>vod),</w:t>
      </w:r>
    </w:p>
    <w:p w14:paraId="49E02DA8" w14:textId="77777777" w:rsidR="002A1021" w:rsidRPr="00040C21" w:rsidRDefault="002A1021">
      <w:pPr>
        <w:pStyle w:val="Normalni-citace"/>
        <w:numPr>
          <w:ilvl w:val="0"/>
          <w:numId w:val="27"/>
        </w:numPr>
        <w:ind w:left="993" w:hanging="295"/>
        <w:contextualSpacing/>
      </w:pPr>
      <w:r w:rsidRPr="00040C21">
        <w:t>bránit zhoršování stavu vodních útvarů, úbytku mokřadů, větrné a</w:t>
      </w:r>
      <w:r w:rsidRPr="00D3264B">
        <w:t xml:space="preserve"> </w:t>
      </w:r>
      <w:r w:rsidRPr="00040C21">
        <w:t>vodní</w:t>
      </w:r>
      <w:r w:rsidRPr="00D3264B">
        <w:t xml:space="preserve"> </w:t>
      </w:r>
      <w:r w:rsidRPr="00040C21">
        <w:t>erozi</w:t>
      </w:r>
      <w:r w:rsidRPr="00D3264B">
        <w:t xml:space="preserve"> </w:t>
      </w:r>
      <w:r w:rsidRPr="00040C21">
        <w:t>půdy,</w:t>
      </w:r>
      <w:r w:rsidRPr="00D3264B">
        <w:t xml:space="preserve"> </w:t>
      </w:r>
      <w:r w:rsidRPr="00040C21">
        <w:t>degradaci</w:t>
      </w:r>
      <w:r w:rsidRPr="00D3264B">
        <w:t xml:space="preserve"> </w:t>
      </w:r>
      <w:r w:rsidRPr="00040C21">
        <w:t>a</w:t>
      </w:r>
      <w:r w:rsidRPr="00D3264B">
        <w:t xml:space="preserve"> </w:t>
      </w:r>
      <w:r w:rsidRPr="00040C21">
        <w:t>desertifikaci</w:t>
      </w:r>
      <w:r w:rsidRPr="00D3264B">
        <w:t xml:space="preserve"> </w:t>
      </w:r>
      <w:r w:rsidRPr="00040C21">
        <w:t>půdy,</w:t>
      </w:r>
    </w:p>
    <w:p w14:paraId="384454EE" w14:textId="77777777" w:rsidR="002A1021" w:rsidRPr="00D3264B" w:rsidRDefault="002A1021">
      <w:pPr>
        <w:pStyle w:val="Normalni-citace"/>
        <w:numPr>
          <w:ilvl w:val="0"/>
          <w:numId w:val="27"/>
        </w:numPr>
        <w:ind w:left="993" w:hanging="295"/>
        <w:contextualSpacing/>
      </w:pPr>
      <w:r w:rsidRPr="00040C21">
        <w:t>prohloubení</w:t>
      </w:r>
      <w:r w:rsidRPr="00D3264B">
        <w:t xml:space="preserve"> </w:t>
      </w:r>
      <w:r w:rsidRPr="00040C21">
        <w:t>koordinace</w:t>
      </w:r>
      <w:r w:rsidRPr="00D3264B">
        <w:t xml:space="preserve"> </w:t>
      </w:r>
      <w:r w:rsidRPr="00040C21">
        <w:t>územního</w:t>
      </w:r>
      <w:r w:rsidRPr="00D3264B">
        <w:t xml:space="preserve"> </w:t>
      </w:r>
      <w:r w:rsidRPr="00040C21">
        <w:t>plánování, krajinného</w:t>
      </w:r>
      <w:r w:rsidRPr="00D3264B">
        <w:t xml:space="preserve"> </w:t>
      </w:r>
      <w:r w:rsidRPr="00040C21">
        <w:t>plánování, vodohospodářského plánování a pozemkových úprav,</w:t>
      </w:r>
    </w:p>
    <w:p w14:paraId="307B1291" w14:textId="77777777" w:rsidR="002A1021" w:rsidRPr="00D3264B" w:rsidRDefault="002A1021">
      <w:pPr>
        <w:pStyle w:val="Normalni-citace"/>
        <w:numPr>
          <w:ilvl w:val="0"/>
          <w:numId w:val="27"/>
        </w:numPr>
        <w:ind w:left="993" w:hanging="295"/>
      </w:pPr>
      <w:r w:rsidRPr="00040C21">
        <w:t>rozvoj zelené infrastruktury v zastavě</w:t>
      </w:r>
      <w:r w:rsidRPr="00D3264B">
        <w:t xml:space="preserve">ném </w:t>
      </w:r>
      <w:r w:rsidRPr="00040C21">
        <w:t xml:space="preserve">a nezastavěném území obcí a </w:t>
      </w:r>
      <w:r w:rsidRPr="00D3264B">
        <w:t>ná</w:t>
      </w:r>
      <w:r w:rsidRPr="00040C21">
        <w:t xml:space="preserve">slednou </w:t>
      </w:r>
      <w:r w:rsidRPr="00D3264B">
        <w:t xml:space="preserve">péči </w:t>
      </w:r>
      <w:r w:rsidRPr="00040C21">
        <w:t>o</w:t>
      </w:r>
      <w:r w:rsidRPr="00D3264B">
        <w:t xml:space="preserve"> ní.</w:t>
      </w:r>
    </w:p>
    <w:p w14:paraId="71B09559" w14:textId="77777777" w:rsidR="002A1021" w:rsidRPr="00DC5F29" w:rsidRDefault="002A1021" w:rsidP="002A1021">
      <w:pPr>
        <w:pStyle w:val="Normalni-citace"/>
        <w:rPr>
          <w:u w:val="single"/>
        </w:rPr>
      </w:pPr>
      <w:r w:rsidRPr="00DC5F29">
        <w:rPr>
          <w:u w:val="single"/>
        </w:rPr>
        <w:t>Úkoly pro územní plánování:</w:t>
      </w:r>
    </w:p>
    <w:p w14:paraId="1E5E7909" w14:textId="77777777" w:rsidR="002A1021" w:rsidRPr="00040C21" w:rsidRDefault="002A1021" w:rsidP="002A1021">
      <w:pPr>
        <w:pStyle w:val="Normalni-citace"/>
      </w:pPr>
      <w:r w:rsidRPr="00040C21">
        <w:t xml:space="preserve">V rámci </w:t>
      </w:r>
      <w:r w:rsidRPr="00040C21">
        <w:rPr>
          <w:spacing w:val="4"/>
        </w:rPr>
        <w:t xml:space="preserve">územně </w:t>
      </w:r>
      <w:r w:rsidRPr="00040C21">
        <w:t xml:space="preserve">plánovací činnosti </w:t>
      </w:r>
      <w:r w:rsidRPr="00040C21">
        <w:rPr>
          <w:spacing w:val="4"/>
        </w:rPr>
        <w:t xml:space="preserve">kraje </w:t>
      </w:r>
      <w:r w:rsidRPr="00040C21">
        <w:t xml:space="preserve">a koordinace </w:t>
      </w:r>
      <w:r w:rsidRPr="00040C21">
        <w:rPr>
          <w:spacing w:val="4"/>
        </w:rPr>
        <w:t xml:space="preserve">územně plánovací </w:t>
      </w:r>
      <w:r w:rsidRPr="00040C21">
        <w:t>činnosti</w:t>
      </w:r>
      <w:r w:rsidRPr="00040C21">
        <w:rPr>
          <w:spacing w:val="10"/>
        </w:rPr>
        <w:t xml:space="preserve"> </w:t>
      </w:r>
      <w:r w:rsidRPr="00040C21">
        <w:t>obcí:</w:t>
      </w:r>
    </w:p>
    <w:p w14:paraId="295611EE" w14:textId="77777777" w:rsidR="002A1021" w:rsidRPr="00040C21" w:rsidRDefault="002A1021">
      <w:pPr>
        <w:pStyle w:val="Normalni-citace"/>
        <w:numPr>
          <w:ilvl w:val="0"/>
          <w:numId w:val="28"/>
        </w:numPr>
        <w:ind w:left="993" w:hanging="283"/>
      </w:pPr>
      <w:r w:rsidRPr="00040C21">
        <w:t xml:space="preserve">vytvářet územní podmínky pro podporu přirozeného vodního režimu v krajině a zvyšování jejích retenčních a akumulačních vlastností, zejm. vytvářením územních podmínek pro vznik a zachování </w:t>
      </w:r>
      <w:r w:rsidRPr="00040C21">
        <w:lastRenderedPageBreak/>
        <w:t>odolné stabilní vyvážené pestré a členité krajiny, tj. krajiny s vhodným poměrem ploch lesů, mezí, luk, vodních ploch a vodních toků (zejména neregulované vodní toky</w:t>
      </w:r>
      <w:r w:rsidRPr="002A1021">
        <w:t xml:space="preserve"> </w:t>
      </w:r>
      <w:r w:rsidRPr="00040C21">
        <w:t>s</w:t>
      </w:r>
      <w:r w:rsidRPr="002A1021">
        <w:t xml:space="preserve"> </w:t>
      </w:r>
      <w:r w:rsidRPr="00040C21">
        <w:t>doprovodnou</w:t>
      </w:r>
      <w:r w:rsidRPr="002A1021">
        <w:t xml:space="preserve"> </w:t>
      </w:r>
      <w:r w:rsidRPr="00040C21">
        <w:t>zelení),</w:t>
      </w:r>
      <w:r w:rsidRPr="002A1021">
        <w:t xml:space="preserve"> </w:t>
      </w:r>
      <w:r w:rsidRPr="00040C21">
        <w:t>cestní</w:t>
      </w:r>
      <w:r w:rsidRPr="002A1021">
        <w:t xml:space="preserve"> </w:t>
      </w:r>
      <w:r w:rsidRPr="00040C21">
        <w:t>sítě (s doprovodnou zelení), a orné půdy (zejm. velké plochy orné půdy rozčleněné mezemi, cestní sítí,</w:t>
      </w:r>
      <w:r w:rsidRPr="002A1021">
        <w:t xml:space="preserve"> </w:t>
      </w:r>
      <w:r w:rsidRPr="00040C21">
        <w:t>vsakovacími travními</w:t>
      </w:r>
      <w:r w:rsidRPr="002A1021">
        <w:t xml:space="preserve"> </w:t>
      </w:r>
      <w:r w:rsidRPr="00040C21">
        <w:t>pruhy),</w:t>
      </w:r>
    </w:p>
    <w:p w14:paraId="65FAB21F" w14:textId="77777777" w:rsidR="002A1021" w:rsidRPr="00040C21" w:rsidRDefault="002A1021" w:rsidP="002A1021">
      <w:r w:rsidRPr="00040C21">
        <w:t xml:space="preserve">Územní plán navrhuje vyšší podíl krajinné </w:t>
      </w:r>
      <w:r>
        <w:t xml:space="preserve">plošné i </w:t>
      </w:r>
      <w:r w:rsidRPr="00040C21">
        <w:t xml:space="preserve">liniové </w:t>
      </w:r>
      <w:r>
        <w:t xml:space="preserve">krajinné i sídelní </w:t>
      </w:r>
      <w:r w:rsidRPr="00040C21">
        <w:t>zeleně v podobě doprovodných interakčních prvků podporujících úpravu, stabilizaci a zlepšení mikroklimatu především v prostorech intenzivní zemědělské činnosti s využitím i stávajících přirozených krajinných jevů (polní cesty, vodoteče, remízy apod.)</w:t>
      </w:r>
      <w:r>
        <w:t xml:space="preserve"> a ve vazbě na zastavěné území obce</w:t>
      </w:r>
      <w:r w:rsidRPr="00040C21">
        <w:t>.</w:t>
      </w:r>
    </w:p>
    <w:p w14:paraId="5D904738" w14:textId="77777777" w:rsidR="002A1021" w:rsidRPr="009D00A8" w:rsidRDefault="002A1021">
      <w:pPr>
        <w:pStyle w:val="Normalni-citace"/>
        <w:numPr>
          <w:ilvl w:val="0"/>
          <w:numId w:val="28"/>
        </w:numPr>
        <w:ind w:left="993" w:hanging="283"/>
      </w:pPr>
      <w:r w:rsidRPr="00040C21">
        <w:t>vytvářet územní podmínky pro</w:t>
      </w:r>
      <w:r w:rsidRPr="009D00A8">
        <w:t xml:space="preserve"> </w:t>
      </w:r>
      <w:r w:rsidRPr="00040C21">
        <w:t>revitalizaci a renaturaci vodních toků a niv a</w:t>
      </w:r>
      <w:r>
        <w:t> </w:t>
      </w:r>
      <w:r w:rsidRPr="00040C21">
        <w:t>pro obnovu ostatních vodních prvků v</w:t>
      </w:r>
      <w:r w:rsidRPr="009D00A8">
        <w:t xml:space="preserve"> </w:t>
      </w:r>
      <w:r w:rsidRPr="00040C21">
        <w:t>krajině,</w:t>
      </w:r>
    </w:p>
    <w:p w14:paraId="03092822" w14:textId="06332600" w:rsidR="002A1021" w:rsidRPr="00040C21" w:rsidRDefault="002A1021" w:rsidP="002A1021">
      <w:pPr>
        <w:widowControl w:val="0"/>
        <w:autoSpaceDE w:val="0"/>
        <w:autoSpaceDN w:val="0"/>
        <w:rPr>
          <w:rFonts w:cs="Calibri"/>
          <w:szCs w:val="18"/>
        </w:rPr>
      </w:pPr>
      <w:r w:rsidRPr="00040C21">
        <w:rPr>
          <w:rFonts w:cs="Calibri"/>
          <w:szCs w:val="18"/>
        </w:rPr>
        <w:t xml:space="preserve">Územní plán </w:t>
      </w:r>
      <w:r>
        <w:rPr>
          <w:rFonts w:cs="Calibri"/>
          <w:szCs w:val="18"/>
        </w:rPr>
        <w:t>vymezuje</w:t>
      </w:r>
      <w:r w:rsidRPr="00040C21">
        <w:rPr>
          <w:rFonts w:cs="Calibri"/>
          <w:szCs w:val="18"/>
        </w:rPr>
        <w:t xml:space="preserve"> plošné </w:t>
      </w:r>
      <w:r>
        <w:rPr>
          <w:rFonts w:cs="Calibri"/>
          <w:szCs w:val="18"/>
        </w:rPr>
        <w:t xml:space="preserve">sídelní a </w:t>
      </w:r>
      <w:r w:rsidRPr="00040C21">
        <w:rPr>
          <w:rFonts w:cs="Calibri"/>
          <w:szCs w:val="18"/>
        </w:rPr>
        <w:t>krajinné prvky umožňující zadržování vody v</w:t>
      </w:r>
      <w:r>
        <w:rPr>
          <w:rFonts w:cs="Calibri"/>
          <w:szCs w:val="18"/>
        </w:rPr>
        <w:t xml:space="preserve"> sídle i </w:t>
      </w:r>
      <w:r w:rsidRPr="00040C21">
        <w:rPr>
          <w:rFonts w:cs="Calibri"/>
          <w:szCs w:val="18"/>
        </w:rPr>
        <w:t xml:space="preserve">krajině. </w:t>
      </w:r>
    </w:p>
    <w:p w14:paraId="11554C56" w14:textId="77777777" w:rsidR="002A1021" w:rsidRPr="002F5DE1" w:rsidRDefault="002A1021">
      <w:pPr>
        <w:pStyle w:val="Normalni-citace"/>
        <w:numPr>
          <w:ilvl w:val="0"/>
          <w:numId w:val="28"/>
        </w:numPr>
        <w:ind w:left="993" w:hanging="283"/>
      </w:pPr>
      <w:r w:rsidRPr="00040C21">
        <w:t>vytvářet územní podmínky pro hospodaření</w:t>
      </w:r>
      <w:r w:rsidRPr="002F5DE1">
        <w:t xml:space="preserve"> </w:t>
      </w:r>
      <w:r w:rsidRPr="00040C21">
        <w:t>se</w:t>
      </w:r>
      <w:r w:rsidRPr="002F5DE1">
        <w:t xml:space="preserve"> </w:t>
      </w:r>
      <w:r w:rsidRPr="00040C21">
        <w:t>srážkovými</w:t>
      </w:r>
      <w:r w:rsidRPr="002F5DE1">
        <w:t xml:space="preserve"> </w:t>
      </w:r>
      <w:r w:rsidRPr="00040C21">
        <w:t>vodami</w:t>
      </w:r>
      <w:r w:rsidRPr="002F5DE1">
        <w:t xml:space="preserve"> </w:t>
      </w:r>
      <w:r w:rsidRPr="00040C21">
        <w:t>v</w:t>
      </w:r>
      <w:r>
        <w:t> </w:t>
      </w:r>
      <w:r w:rsidRPr="00040C21">
        <w:t>urbanizovaných územích, tj. dbát na dostatek ploch sídelní zeleně a vodních ploch</w:t>
      </w:r>
      <w:r w:rsidRPr="002F5DE1">
        <w:t xml:space="preserve"> </w:t>
      </w:r>
      <w:r w:rsidRPr="00040C21">
        <w:t>určených</w:t>
      </w:r>
      <w:r w:rsidRPr="002F5DE1">
        <w:t xml:space="preserve"> </w:t>
      </w:r>
      <w:r w:rsidRPr="00040C21">
        <w:t>pro</w:t>
      </w:r>
      <w:r w:rsidRPr="002F5DE1">
        <w:t xml:space="preserve"> </w:t>
      </w:r>
      <w:r w:rsidRPr="00040C21">
        <w:t>zadržování</w:t>
      </w:r>
      <w:r w:rsidRPr="002F5DE1">
        <w:t xml:space="preserve"> </w:t>
      </w:r>
      <w:r w:rsidRPr="00040C21">
        <w:t>a</w:t>
      </w:r>
      <w:r w:rsidRPr="002F5DE1">
        <w:t xml:space="preserve"> </w:t>
      </w:r>
      <w:r w:rsidRPr="00040C21">
        <w:t>zasakování</w:t>
      </w:r>
      <w:r w:rsidRPr="002F5DE1">
        <w:t xml:space="preserve"> </w:t>
      </w:r>
      <w:r w:rsidRPr="00040C21">
        <w:t>vody,</w:t>
      </w:r>
    </w:p>
    <w:p w14:paraId="105E4AA0" w14:textId="77777777" w:rsidR="002A1021" w:rsidRPr="00040C21" w:rsidRDefault="002A1021" w:rsidP="002A1021">
      <w:pPr>
        <w:widowControl w:val="0"/>
        <w:autoSpaceDE w:val="0"/>
        <w:autoSpaceDN w:val="0"/>
        <w:rPr>
          <w:rFonts w:cs="Calibri"/>
          <w:szCs w:val="18"/>
        </w:rPr>
      </w:pPr>
      <w:r>
        <w:rPr>
          <w:rFonts w:cs="Calibri"/>
          <w:szCs w:val="18"/>
        </w:rPr>
        <w:t>V podmínkách prostorového uspořádání lokalit je stanovena podmínka minimálního podílu nezpevněných ploch</w:t>
      </w:r>
      <w:r w:rsidRPr="00040C21">
        <w:rPr>
          <w:rFonts w:cs="Calibri"/>
          <w:szCs w:val="18"/>
        </w:rPr>
        <w:t>.</w:t>
      </w:r>
    </w:p>
    <w:p w14:paraId="0C619C44" w14:textId="77777777" w:rsidR="002A1021" w:rsidRPr="00655918" w:rsidRDefault="002A1021">
      <w:pPr>
        <w:pStyle w:val="Normalni-citace"/>
        <w:numPr>
          <w:ilvl w:val="0"/>
          <w:numId w:val="28"/>
        </w:numPr>
        <w:ind w:left="993" w:hanging="283"/>
      </w:pPr>
      <w:r w:rsidRPr="00040C21">
        <w:t>vytvářet územní podmínky pro zvyšování odolnosti půdy vůči větrné a vodní erozi, zejm. zatravněním a</w:t>
      </w:r>
      <w:r w:rsidRPr="00655918">
        <w:t> </w:t>
      </w:r>
      <w:r w:rsidRPr="00040C21">
        <w:t>zakládáním a udržováním dalších</w:t>
      </w:r>
      <w:r>
        <w:t xml:space="preserve"> </w:t>
      </w:r>
      <w:r w:rsidRPr="00040C21">
        <w:t>protierozních prvků, např. větrolamů, mezí, zasakovacích pásů a</w:t>
      </w:r>
      <w:r w:rsidRPr="00655918">
        <w:t xml:space="preserve"> </w:t>
      </w:r>
      <w:r w:rsidRPr="00040C21">
        <w:t>příkopů,</w:t>
      </w:r>
    </w:p>
    <w:p w14:paraId="17B4A2C4" w14:textId="492ABCF6" w:rsidR="002A1021" w:rsidRPr="00040C21" w:rsidRDefault="002A1021" w:rsidP="002A1021">
      <w:pPr>
        <w:widowControl w:val="0"/>
        <w:autoSpaceDE w:val="0"/>
        <w:autoSpaceDN w:val="0"/>
        <w:rPr>
          <w:rFonts w:cs="Calibri"/>
          <w:szCs w:val="18"/>
        </w:rPr>
      </w:pPr>
      <w:r w:rsidRPr="00040C21">
        <w:rPr>
          <w:rFonts w:cs="Calibri"/>
          <w:szCs w:val="18"/>
        </w:rPr>
        <w:t xml:space="preserve">Územním plánem </w:t>
      </w:r>
      <w:r>
        <w:rPr>
          <w:rFonts w:cs="Calibri"/>
          <w:szCs w:val="18"/>
        </w:rPr>
        <w:t>vymezuje</w:t>
      </w:r>
      <w:r w:rsidRPr="00040C21">
        <w:rPr>
          <w:rFonts w:cs="Calibri"/>
          <w:szCs w:val="18"/>
        </w:rPr>
        <w:t xml:space="preserve"> výrazný podíl krajinné zeleně pro snížení účinků větrné </w:t>
      </w:r>
      <w:r>
        <w:rPr>
          <w:rFonts w:cs="Calibri"/>
          <w:szCs w:val="18"/>
        </w:rPr>
        <w:t>a</w:t>
      </w:r>
      <w:r w:rsidRPr="00040C21">
        <w:rPr>
          <w:rFonts w:cs="Calibri"/>
          <w:szCs w:val="18"/>
        </w:rPr>
        <w:t> vodní eroze</w:t>
      </w:r>
      <w:r>
        <w:rPr>
          <w:rFonts w:cs="Calibri"/>
          <w:szCs w:val="18"/>
        </w:rPr>
        <w:t xml:space="preserve"> včetně koridorů pro retenční a protierozní opatření</w:t>
      </w:r>
      <w:r w:rsidR="00F612B5">
        <w:rPr>
          <w:rFonts w:cs="Calibri"/>
          <w:szCs w:val="18"/>
        </w:rPr>
        <w:t xml:space="preserve"> a systému interakčních prvků</w:t>
      </w:r>
      <w:r w:rsidRPr="00040C21">
        <w:rPr>
          <w:rFonts w:cs="Calibri"/>
          <w:szCs w:val="18"/>
        </w:rPr>
        <w:t>.</w:t>
      </w:r>
    </w:p>
    <w:p w14:paraId="07D4E650" w14:textId="77777777" w:rsidR="002A1021" w:rsidRPr="00646402" w:rsidRDefault="002A1021">
      <w:pPr>
        <w:pStyle w:val="Normalni-citace"/>
        <w:numPr>
          <w:ilvl w:val="0"/>
          <w:numId w:val="28"/>
        </w:numPr>
        <w:ind w:left="993" w:hanging="283"/>
      </w:pPr>
      <w:r w:rsidRPr="00040C21">
        <w:t>vytvářet územní podmínky pro rozvoj a údržbu vodohospodářské infrastruktury, pro zabezpečení požadavků na dodávky vody v období nepříznivých hydrologických podmínek, zejm.</w:t>
      </w:r>
      <w:r w:rsidRPr="00646402">
        <w:t xml:space="preserve"> </w:t>
      </w:r>
      <w:r w:rsidRPr="00040C21">
        <w:t>pro infrastrukturu</w:t>
      </w:r>
      <w:r w:rsidRPr="00646402">
        <w:t xml:space="preserve"> </w:t>
      </w:r>
      <w:r w:rsidRPr="00040C21">
        <w:t>k</w:t>
      </w:r>
      <w:r w:rsidRPr="00646402">
        <w:t xml:space="preserve"> </w:t>
      </w:r>
      <w:r w:rsidRPr="00040C21">
        <w:t>zajištění</w:t>
      </w:r>
      <w:r w:rsidRPr="00646402">
        <w:t xml:space="preserve"> </w:t>
      </w:r>
      <w:r w:rsidRPr="00040C21">
        <w:t>dodávek</w:t>
      </w:r>
      <w:r w:rsidRPr="00646402">
        <w:t xml:space="preserve"> </w:t>
      </w:r>
      <w:r w:rsidRPr="00040C21">
        <w:t>vody z oblastí s příznivější vodohospodářskou situací a s ohledem na</w:t>
      </w:r>
      <w:r>
        <w:t> </w:t>
      </w:r>
      <w:r w:rsidRPr="00040C21">
        <w:t>místní podmínky pro budování nových zejm. povrchových zdrojů</w:t>
      </w:r>
      <w:r w:rsidRPr="00646402">
        <w:t xml:space="preserve"> </w:t>
      </w:r>
      <w:r w:rsidRPr="00040C21">
        <w:t>vody,</w:t>
      </w:r>
    </w:p>
    <w:p w14:paraId="0D944BE1" w14:textId="77777777" w:rsidR="002A1021" w:rsidRPr="00040C21" w:rsidRDefault="002A1021" w:rsidP="002A1021">
      <w:pPr>
        <w:widowControl w:val="0"/>
        <w:autoSpaceDE w:val="0"/>
        <w:autoSpaceDN w:val="0"/>
        <w:rPr>
          <w:rFonts w:cs="Calibri"/>
          <w:iCs/>
          <w:szCs w:val="18"/>
        </w:rPr>
      </w:pPr>
      <w:r w:rsidRPr="00040C21">
        <w:rPr>
          <w:rFonts w:cs="Calibri"/>
          <w:iCs/>
          <w:szCs w:val="18"/>
        </w:rPr>
        <w:t>Řešení vodohospodářské infrastruktury je součástí řešení územního plánu.</w:t>
      </w:r>
      <w:r>
        <w:rPr>
          <w:rFonts w:cs="Calibri"/>
          <w:iCs/>
          <w:szCs w:val="18"/>
        </w:rPr>
        <w:t xml:space="preserve"> Plochy stávajících i potenciálních vodních zdrojů mimo zastavěné území a zastavitelné plochy jsou chráněny vymezením přírodních ploch.</w:t>
      </w:r>
    </w:p>
    <w:p w14:paraId="0D2FAECA" w14:textId="77777777" w:rsidR="002A1021" w:rsidRPr="001720C8" w:rsidRDefault="002A1021">
      <w:pPr>
        <w:pStyle w:val="Normalni-citace"/>
        <w:numPr>
          <w:ilvl w:val="0"/>
          <w:numId w:val="28"/>
        </w:numPr>
        <w:ind w:left="993" w:hanging="283"/>
      </w:pPr>
      <w:r w:rsidRPr="00040C21">
        <w:t>pro řešení problematiky sucha, zejm. tak</w:t>
      </w:r>
      <w:r w:rsidRPr="001720C8">
        <w:t xml:space="preserve"> </w:t>
      </w:r>
      <w:r w:rsidRPr="00040C21">
        <w:t>jak</w:t>
      </w:r>
      <w:r w:rsidRPr="001720C8">
        <w:t xml:space="preserve"> </w:t>
      </w:r>
      <w:r w:rsidRPr="00040C21">
        <w:t>je</w:t>
      </w:r>
      <w:r w:rsidRPr="001720C8">
        <w:t xml:space="preserve"> </w:t>
      </w:r>
      <w:r w:rsidRPr="00040C21">
        <w:t>specifikováno</w:t>
      </w:r>
      <w:r w:rsidRPr="001720C8">
        <w:t xml:space="preserve"> </w:t>
      </w:r>
      <w:r w:rsidRPr="00040C21">
        <w:t>výše</w:t>
      </w:r>
      <w:r w:rsidRPr="001720C8">
        <w:t xml:space="preserve"> </w:t>
      </w:r>
      <w:r w:rsidRPr="00040C21">
        <w:t>v</w:t>
      </w:r>
      <w:r w:rsidRPr="001720C8">
        <w:t xml:space="preserve"> </w:t>
      </w:r>
      <w:r w:rsidRPr="00040C21">
        <w:t>písm. a) až</w:t>
      </w:r>
      <w:r w:rsidRPr="001720C8">
        <w:t xml:space="preserve"> </w:t>
      </w:r>
      <w:r w:rsidRPr="00040C21">
        <w:t>e)</w:t>
      </w:r>
      <w:r w:rsidRPr="001720C8">
        <w:t xml:space="preserve"> </w:t>
      </w:r>
      <w:r w:rsidRPr="00040C21">
        <w:t>(příp.</w:t>
      </w:r>
      <w:r w:rsidRPr="001720C8">
        <w:t xml:space="preserve"> </w:t>
      </w:r>
      <w:r w:rsidRPr="00040C21">
        <w:t>navrhovat</w:t>
      </w:r>
      <w:r w:rsidRPr="001720C8">
        <w:t xml:space="preserve"> </w:t>
      </w:r>
      <w:r w:rsidRPr="00040C21">
        <w:t>i</w:t>
      </w:r>
      <w:r w:rsidRPr="001720C8">
        <w:t xml:space="preserve"> </w:t>
      </w:r>
      <w:r w:rsidRPr="00040C21">
        <w:t>další</w:t>
      </w:r>
      <w:r w:rsidRPr="001720C8">
        <w:t xml:space="preserve"> </w:t>
      </w:r>
      <w:r w:rsidRPr="00040C21">
        <w:t>vhodná opatření pro obnovu přirozeného vodního režimu v krajině) využívat zejména územní studie</w:t>
      </w:r>
      <w:r w:rsidRPr="001720C8">
        <w:t xml:space="preserve"> </w:t>
      </w:r>
      <w:r w:rsidRPr="00040C21">
        <w:t>krajiny.</w:t>
      </w:r>
    </w:p>
    <w:p w14:paraId="795129C3" w14:textId="725E5B43" w:rsidR="002A1021" w:rsidRDefault="002A1021" w:rsidP="002A1021">
      <w:r w:rsidRPr="00040C21">
        <w:t xml:space="preserve">Výstupy územní studie </w:t>
      </w:r>
      <w:r>
        <w:t>krajiny ORP Olomouc</w:t>
      </w:r>
      <w:r w:rsidRPr="00040C21">
        <w:t xml:space="preserve"> jsou v územním plánu </w:t>
      </w:r>
      <w:r>
        <w:t>reflektovány a upřesněny návrhem prvků ÚSES a kostry krajinné zeleně</w:t>
      </w:r>
      <w:r w:rsidRPr="00040C21">
        <w:t>.</w:t>
      </w:r>
    </w:p>
    <w:p w14:paraId="39BC0863" w14:textId="77777777" w:rsidR="002A1021" w:rsidRDefault="002A1021">
      <w:pPr>
        <w:pStyle w:val="Normalni-citace"/>
        <w:numPr>
          <w:ilvl w:val="0"/>
          <w:numId w:val="28"/>
        </w:numPr>
        <w:ind w:left="993" w:hanging="283"/>
      </w:pPr>
      <w:r w:rsidRPr="004C0861">
        <w:t>vytvářet územní podmínky pro hospodaření se srážkovými vodami v</w:t>
      </w:r>
      <w:r>
        <w:t> </w:t>
      </w:r>
      <w:r w:rsidRPr="004C0861">
        <w:t>návaznosti na veřejnou infrastrukturu,</w:t>
      </w:r>
    </w:p>
    <w:p w14:paraId="7D9AA331" w14:textId="77777777" w:rsidR="002A1021" w:rsidRPr="00040C21" w:rsidRDefault="002A1021" w:rsidP="002A1021">
      <w:r w:rsidRPr="00040C21">
        <w:t>Řešení vodohospodářské infrastruktury je součástí řešení územního plánu.</w:t>
      </w:r>
    </w:p>
    <w:p w14:paraId="307377DA" w14:textId="77777777" w:rsidR="002A1021" w:rsidRDefault="002A1021">
      <w:pPr>
        <w:pStyle w:val="Normalni-citace"/>
        <w:numPr>
          <w:ilvl w:val="0"/>
          <w:numId w:val="28"/>
        </w:numPr>
        <w:ind w:left="993" w:hanging="283"/>
      </w:pPr>
      <w:r w:rsidRPr="004C0861">
        <w:t>vytvářet územní podmínky pro řešení protipožární ochrany,</w:t>
      </w:r>
    </w:p>
    <w:p w14:paraId="58C9B325" w14:textId="77777777" w:rsidR="002A1021" w:rsidRPr="004C4569" w:rsidRDefault="002A1021" w:rsidP="002A1021">
      <w:r>
        <w:t>Územní plán z</w:t>
      </w:r>
      <w:r w:rsidRPr="00A15FD6">
        <w:t>ohledňuje potřebu zajištění podmínek pro protipožární ochranu, zejména v návaznosti na</w:t>
      </w:r>
      <w:r>
        <w:t> </w:t>
      </w:r>
      <w:r w:rsidRPr="00A15FD6">
        <w:t>dopravní infrastrukturu a technické možnosti území.</w:t>
      </w:r>
    </w:p>
    <w:p w14:paraId="4CEA812F" w14:textId="77777777" w:rsidR="002A1021" w:rsidRDefault="002A1021">
      <w:pPr>
        <w:pStyle w:val="Normalni-citace"/>
        <w:numPr>
          <w:ilvl w:val="0"/>
          <w:numId w:val="28"/>
        </w:numPr>
        <w:ind w:left="993" w:hanging="283"/>
      </w:pPr>
      <w:r w:rsidRPr="00FD1A1F">
        <w:t>vytvářet územní podmínky pro odvádění a čištění odpadních vod v souladu s</w:t>
      </w:r>
      <w:r>
        <w:t> </w:t>
      </w:r>
      <w:r w:rsidRPr="00FD1A1F">
        <w:t>plány rozvoje vodovodů a kanalizací.</w:t>
      </w:r>
    </w:p>
    <w:p w14:paraId="5B6AD3BF" w14:textId="77777777" w:rsidR="002A1021" w:rsidRPr="00A15FD6" w:rsidRDefault="002A1021" w:rsidP="002A1021">
      <w:r w:rsidRPr="00D97595">
        <w:t>Řešení vodohospodářské infrastruktury je součástí řešení územního plánu.</w:t>
      </w:r>
      <w:r>
        <w:t xml:space="preserve"> Řešení </w:t>
      </w:r>
      <w:r w:rsidRPr="00D97595">
        <w:t>vodohospodářské infrastruktury</w:t>
      </w:r>
      <w:r>
        <w:t xml:space="preserve"> je koordinováno s nadřazenou dokumentací, plány rozvoje a požadavky správců veřejné infrastruktury.</w:t>
      </w:r>
    </w:p>
    <w:p w14:paraId="2C4A20E7" w14:textId="77777777" w:rsidR="002A1021" w:rsidRPr="00040C21" w:rsidRDefault="002A1021" w:rsidP="008A41F9">
      <w:pPr>
        <w:pStyle w:val="Nadpis4"/>
      </w:pPr>
      <w:r w:rsidRPr="002A4AD4">
        <w:t>(75c)</w:t>
      </w:r>
      <w:r w:rsidRPr="00040C21">
        <w:t xml:space="preserve"> SOB10 Specifická oblast, která vymezuje oblasti nezbytné pro příspěvek ČR k celkovému cíli EU v oblasti obnovitelných zdrojů energie do roku 2030 z</w:t>
      </w:r>
      <w:r>
        <w:t> </w:t>
      </w:r>
      <w:r w:rsidRPr="00040C21">
        <w:t>hlediska rozvoje výroby energie z energie slunečního záření.</w:t>
      </w:r>
    </w:p>
    <w:p w14:paraId="32DD0194" w14:textId="77777777" w:rsidR="002A1021" w:rsidRPr="00830681" w:rsidRDefault="002A1021" w:rsidP="002A1021">
      <w:pPr>
        <w:pStyle w:val="Normalni-citace"/>
        <w:rPr>
          <w:u w:val="single"/>
        </w:rPr>
      </w:pPr>
      <w:r w:rsidRPr="00830681">
        <w:rPr>
          <w:u w:val="single"/>
        </w:rPr>
        <w:t>Vymezení:</w:t>
      </w:r>
    </w:p>
    <w:p w14:paraId="6392656D" w14:textId="77777777" w:rsidR="002A1021" w:rsidRPr="00040C21" w:rsidRDefault="002A1021" w:rsidP="002A1021">
      <w:r>
        <w:t>Správní území obce</w:t>
      </w:r>
      <w:r w:rsidRPr="00040C21">
        <w:t xml:space="preserve"> je součástí vymezení specifické oblasti. </w:t>
      </w:r>
    </w:p>
    <w:p w14:paraId="0249FE90" w14:textId="77777777" w:rsidR="002A1021" w:rsidRPr="00830681" w:rsidRDefault="002A1021" w:rsidP="002A1021">
      <w:pPr>
        <w:pStyle w:val="Normalni-citace"/>
        <w:rPr>
          <w:u w:val="single"/>
        </w:rPr>
      </w:pPr>
      <w:r w:rsidRPr="00830681">
        <w:rPr>
          <w:u w:val="single"/>
        </w:rPr>
        <w:t>Důvody vymezení:</w:t>
      </w:r>
    </w:p>
    <w:p w14:paraId="6BB7865E" w14:textId="3DF4E64E" w:rsidR="002A1021" w:rsidRPr="00040C21" w:rsidRDefault="002A1021">
      <w:pPr>
        <w:pStyle w:val="Normalni-citace"/>
        <w:numPr>
          <w:ilvl w:val="0"/>
          <w:numId w:val="29"/>
        </w:numPr>
        <w:ind w:left="993" w:hanging="283"/>
        <w:contextualSpacing/>
      </w:pPr>
      <w:r w:rsidRPr="00040C21">
        <w:t>Specifická oblast se specifickými hodnotami celostátního významu – území s potenciálem pro rozvoj výroby energie z energie slunečního záření, v rámci kterého dojde k budoucímu vymezení oblastí pro</w:t>
      </w:r>
      <w:r w:rsidR="008516A2">
        <w:t> </w:t>
      </w:r>
      <w:r w:rsidRPr="00040C21">
        <w:t xml:space="preserve">zrychlené zavádění obnovitelných zdrojů energie. </w:t>
      </w:r>
    </w:p>
    <w:p w14:paraId="7AAABCDB" w14:textId="77777777" w:rsidR="002A1021" w:rsidRPr="00040C21" w:rsidRDefault="002A1021">
      <w:pPr>
        <w:pStyle w:val="Normalni-citace"/>
        <w:numPr>
          <w:ilvl w:val="0"/>
          <w:numId w:val="29"/>
        </w:numPr>
        <w:ind w:left="993" w:hanging="295"/>
      </w:pPr>
      <w:r w:rsidRPr="00040C21">
        <w:t xml:space="preserve">Potřeba koordinace využívání území pro výrobu energie z energie slunečního záření. </w:t>
      </w:r>
    </w:p>
    <w:p w14:paraId="031C264F" w14:textId="77777777" w:rsidR="002A1021" w:rsidRPr="00830681" w:rsidRDefault="002A1021" w:rsidP="002A1021">
      <w:pPr>
        <w:pStyle w:val="Normalni-citace"/>
        <w:rPr>
          <w:u w:val="single"/>
        </w:rPr>
      </w:pPr>
      <w:r w:rsidRPr="00830681">
        <w:rPr>
          <w:u w:val="single"/>
        </w:rPr>
        <w:t xml:space="preserve">Podmínky pro navazující územně plánovací činnost: </w:t>
      </w:r>
    </w:p>
    <w:p w14:paraId="69F644D7" w14:textId="77777777" w:rsidR="002A1021" w:rsidRPr="00040C21" w:rsidRDefault="002A1021" w:rsidP="002A1021">
      <w:pPr>
        <w:pStyle w:val="Normalni-citace"/>
      </w:pPr>
      <w:r w:rsidRPr="00040C21">
        <w:t xml:space="preserve">Při vymezování záměrů vytvářet podmínky pro: </w:t>
      </w:r>
    </w:p>
    <w:p w14:paraId="27BBE964" w14:textId="77777777" w:rsidR="002A1021" w:rsidRPr="00040C21" w:rsidRDefault="002A1021">
      <w:pPr>
        <w:pStyle w:val="Normalni-citace"/>
        <w:numPr>
          <w:ilvl w:val="0"/>
          <w:numId w:val="30"/>
        </w:numPr>
        <w:ind w:left="993" w:hanging="283"/>
        <w:contextualSpacing/>
      </w:pPr>
      <w:r w:rsidRPr="00040C21">
        <w:lastRenderedPageBreak/>
        <w:t xml:space="preserve">minimalizování konfliktů s ochranou přírody a krajiny, včetně vyloučení lokalit soustavy Natura 2000 a zvláště chráněných území, </w:t>
      </w:r>
    </w:p>
    <w:p w14:paraId="6EF5606A" w14:textId="77777777" w:rsidR="002A1021" w:rsidRPr="00040C21" w:rsidRDefault="002A1021">
      <w:pPr>
        <w:pStyle w:val="Normalni-citace"/>
        <w:numPr>
          <w:ilvl w:val="0"/>
          <w:numId w:val="30"/>
        </w:numPr>
        <w:ind w:left="993" w:hanging="283"/>
        <w:contextualSpacing/>
      </w:pPr>
      <w:r w:rsidRPr="00040C21">
        <w:t xml:space="preserve">minimalizování konfliktů s kulturními a civilizačními hodnotami, včetně národních kulturních památek, území památkových rezervací a památek světového dědictví, </w:t>
      </w:r>
    </w:p>
    <w:p w14:paraId="5680C076" w14:textId="77777777" w:rsidR="002A1021" w:rsidRPr="00040C21" w:rsidRDefault="002A1021">
      <w:pPr>
        <w:pStyle w:val="Normalni-citace"/>
        <w:numPr>
          <w:ilvl w:val="0"/>
          <w:numId w:val="30"/>
        </w:numPr>
        <w:ind w:left="993" w:hanging="283"/>
        <w:contextualSpacing/>
      </w:pPr>
      <w:r w:rsidRPr="00040C21">
        <w:t xml:space="preserve">minimalizování konfliktů s pozemky určenými k plnění funkcí lesa, </w:t>
      </w:r>
    </w:p>
    <w:p w14:paraId="246455BF" w14:textId="77777777" w:rsidR="002A1021" w:rsidRPr="00040C21" w:rsidRDefault="002A1021">
      <w:pPr>
        <w:pStyle w:val="Normalni-citace"/>
        <w:numPr>
          <w:ilvl w:val="0"/>
          <w:numId w:val="30"/>
        </w:numPr>
        <w:ind w:left="993" w:hanging="283"/>
        <w:contextualSpacing/>
      </w:pPr>
      <w:r w:rsidRPr="00040C21">
        <w:t xml:space="preserve">minimalizování konfliktů se záměry dopravní a technické infrastruktury mezinárodního a celostátního významu, </w:t>
      </w:r>
    </w:p>
    <w:p w14:paraId="383A42ED" w14:textId="77777777" w:rsidR="002A1021" w:rsidRPr="00040C21" w:rsidRDefault="002A1021">
      <w:pPr>
        <w:pStyle w:val="Normalni-citace"/>
        <w:numPr>
          <w:ilvl w:val="0"/>
          <w:numId w:val="30"/>
        </w:numPr>
        <w:ind w:left="993" w:hanging="283"/>
        <w:contextualSpacing/>
      </w:pPr>
      <w:r w:rsidRPr="00040C21">
        <w:t>minimalizování konfliktů s územím pro bezpečnost a obranu státu</w:t>
      </w:r>
      <w:r>
        <w:t xml:space="preserve"> </w:t>
      </w:r>
      <w:r w:rsidRPr="00DE2BEB">
        <w:t>a s elektronickými komunikacemi</w:t>
      </w:r>
      <w:r w:rsidRPr="00040C21">
        <w:t xml:space="preserve">, </w:t>
      </w:r>
    </w:p>
    <w:p w14:paraId="2E263CF7" w14:textId="77777777" w:rsidR="002A1021" w:rsidRPr="00040C21" w:rsidRDefault="002A1021">
      <w:pPr>
        <w:pStyle w:val="Normalni-citace"/>
        <w:numPr>
          <w:ilvl w:val="0"/>
          <w:numId w:val="30"/>
        </w:numPr>
        <w:ind w:left="993" w:hanging="284"/>
      </w:pPr>
      <w:r w:rsidRPr="00040C21">
        <w:t xml:space="preserve">minimalizování negativních vlivů na vodní poměry v území. </w:t>
      </w:r>
    </w:p>
    <w:p w14:paraId="0BFD926C" w14:textId="77777777" w:rsidR="002A1021" w:rsidRPr="00C8722C" w:rsidRDefault="002A1021" w:rsidP="002A1021">
      <w:pPr>
        <w:pStyle w:val="Normalni-citace"/>
        <w:rPr>
          <w:u w:val="single"/>
        </w:rPr>
      </w:pPr>
      <w:r w:rsidRPr="00C8722C">
        <w:rPr>
          <w:u w:val="single"/>
        </w:rPr>
        <w:t>Úkoly pro územní plánování:</w:t>
      </w:r>
    </w:p>
    <w:p w14:paraId="19E6DFAD" w14:textId="77777777" w:rsidR="002A1021" w:rsidRPr="00040C21" w:rsidRDefault="002A1021" w:rsidP="002A1021">
      <w:pPr>
        <w:pStyle w:val="Normalni-citace"/>
      </w:pPr>
      <w:r w:rsidRPr="00040C21">
        <w:t xml:space="preserve">Pro </w:t>
      </w:r>
      <w:r w:rsidRPr="00C8722C">
        <w:t>koordinaci</w:t>
      </w:r>
      <w:r w:rsidRPr="00040C21">
        <w:t xml:space="preserve"> územně plánovací činnosti obcí, za podmínky platnosti příslušné právní úpravy, vyplývají tyto úkoly, zejména:</w:t>
      </w:r>
    </w:p>
    <w:p w14:paraId="491FAA4B" w14:textId="77777777" w:rsidR="002A1021" w:rsidRPr="00040C21" w:rsidRDefault="002A1021">
      <w:pPr>
        <w:pStyle w:val="Normalni-citace"/>
        <w:numPr>
          <w:ilvl w:val="0"/>
          <w:numId w:val="31"/>
        </w:numPr>
        <w:ind w:left="993" w:hanging="283"/>
        <w:contextualSpacing/>
      </w:pPr>
      <w:r w:rsidRPr="00040C21">
        <w:t>obce, je-li to účelné, prostřednictvím nástrojů územního plánování s využitím podkladů Ministerstva průmyslu a obchodu a Ministerstva životního prostředí vymezí plochy nebo koridory s lokálním významem pro oblasti pro zrychlené zavádění obnovitelných zdrojů energie,</w:t>
      </w:r>
    </w:p>
    <w:p w14:paraId="5ED4CCCC" w14:textId="5DB95582" w:rsidR="002A1021" w:rsidRDefault="002A1021" w:rsidP="002A1021">
      <w:r>
        <w:t>Územní plán nevymezuje</w:t>
      </w:r>
      <w:r w:rsidRPr="00040C21">
        <w:t xml:space="preserve"> samostatné centralizované plochy výroby energie z obnovitelných zdrojů. Předpokládá se individuální využívání obnovitelných zdrojů při zabezpečování energetických potřeb obyvatel v plochách bydlení nebo potřeb </w:t>
      </w:r>
      <w:r>
        <w:t>podnikání a komerce v rámci komerčních a podnikatelských ploch a areálů</w:t>
      </w:r>
      <w:r w:rsidRPr="00040C21">
        <w:t xml:space="preserve">. Vymezení ploch pro obnovitelné zdroje vyžaduje koordinaci takového požadavku na nadmístní úrovni, kdy musí nezbytně dojít k posouzení dopadu ploch pro OZE na krajinný ráz. </w:t>
      </w:r>
      <w:r w:rsidR="004A293B">
        <w:t>Olomoucký</w:t>
      </w:r>
      <w:r w:rsidRPr="00040C21">
        <w:t xml:space="preserve"> kraj v současné době nedisponuje </w:t>
      </w:r>
      <w:r>
        <w:t>materiálem</w:t>
      </w:r>
      <w:r w:rsidRPr="00040C21">
        <w:t>, kter</w:t>
      </w:r>
      <w:r>
        <w:t>ý</w:t>
      </w:r>
      <w:r w:rsidRPr="00040C21">
        <w:t xml:space="preserve"> by mohla být uplatněn v ÚP </w:t>
      </w:r>
      <w:r w:rsidR="004A293B">
        <w:t>Hlubočky</w:t>
      </w:r>
      <w:r w:rsidRPr="00040C21">
        <w:t>. Z toho důvodu nejsou vymezena velkoplošná zařízení OZE a</w:t>
      </w:r>
      <w:r>
        <w:t> </w:t>
      </w:r>
      <w:r w:rsidRPr="00040C21">
        <w:t>podmínky pro rozvoj decentralizované, efektivní a bezpečné výroby energie z obnovitelných zdrojů jsou stanoveny v rámci lokální nebo komunitní energetiky.</w:t>
      </w:r>
    </w:p>
    <w:p w14:paraId="24C187E0" w14:textId="77777777" w:rsidR="002A1021" w:rsidRPr="00040C21" w:rsidRDefault="002A1021">
      <w:pPr>
        <w:pStyle w:val="Normalni-citace"/>
        <w:numPr>
          <w:ilvl w:val="0"/>
          <w:numId w:val="31"/>
        </w:numPr>
        <w:ind w:left="993" w:hanging="283"/>
        <w:contextualSpacing/>
      </w:pPr>
      <w:r w:rsidRPr="00040C21">
        <w:t xml:space="preserve">obce prostřednictvím nástrojů územního plánování prověří území z hlediska možnosti umístění fotovoltaiky v zastavěném území (přednostně využívat střechy a fasády), </w:t>
      </w:r>
    </w:p>
    <w:p w14:paraId="2F866714" w14:textId="77777777" w:rsidR="002A1021" w:rsidRPr="00040C21" w:rsidRDefault="002A1021" w:rsidP="002A1021">
      <w:r w:rsidRPr="00040C21">
        <w:t>Umisťování systémů FVE na objektech zástavby (střechy a fasády) je přípustné jako standardní součást řešení TZB staveb a řešení technické infrastruktury za</w:t>
      </w:r>
      <w:r>
        <w:t> </w:t>
      </w:r>
      <w:r w:rsidRPr="00040C21">
        <w:t xml:space="preserve">účelem využití dané plochy. Umístění systémů FVE </w:t>
      </w:r>
      <w:r>
        <w:t>na nemovitých kulturních památkách</w:t>
      </w:r>
      <w:r w:rsidRPr="00040C21">
        <w:rPr>
          <w:rFonts w:asciiTheme="minorHAnsi" w:hAnsiTheme="minorHAnsi" w:cstheme="minorHAnsi"/>
          <w:spacing w:val="-1"/>
        </w:rPr>
        <w:t xml:space="preserve"> je </w:t>
      </w:r>
      <w:r>
        <w:rPr>
          <w:rFonts w:asciiTheme="minorHAnsi" w:hAnsiTheme="minorHAnsi" w:cstheme="minorHAnsi"/>
          <w:spacing w:val="-1"/>
        </w:rPr>
        <w:t>limitováno ochranou</w:t>
      </w:r>
      <w:r w:rsidRPr="00040C21">
        <w:rPr>
          <w:rFonts w:asciiTheme="minorHAnsi" w:hAnsiTheme="minorHAnsi" w:cstheme="minorHAnsi"/>
          <w:spacing w:val="-1"/>
        </w:rPr>
        <w:t xml:space="preserve"> veřejných zájmů na úseku památkové ochrany.</w:t>
      </w:r>
    </w:p>
    <w:p w14:paraId="522D47C6" w14:textId="77777777" w:rsidR="002A1021" w:rsidRPr="00C03AB1" w:rsidRDefault="002A1021">
      <w:pPr>
        <w:pStyle w:val="Normalni-citace"/>
        <w:numPr>
          <w:ilvl w:val="0"/>
          <w:numId w:val="31"/>
        </w:numPr>
        <w:ind w:left="993" w:hanging="283"/>
        <w:contextualSpacing/>
      </w:pPr>
      <w:r w:rsidRPr="00C03AB1">
        <w:t xml:space="preserve">obce prostřednictvím nástrojů územního plánování prověří území z hlediska možnosti umístění fotovoltaiky v plochách a koridorech dopravní a technické infrastruktury a jejich blízkém okolí či plochách výroby a skladování, </w:t>
      </w:r>
    </w:p>
    <w:p w14:paraId="2E276B25" w14:textId="77777777" w:rsidR="002A1021" w:rsidRPr="00040C21" w:rsidRDefault="002A1021" w:rsidP="002A1021">
      <w:pPr>
        <w:rPr>
          <w:i/>
        </w:rPr>
      </w:pPr>
      <w:r w:rsidRPr="00040C21">
        <w:t>Umisťování systémů FVE na objektech zástavby (střechy a fasády) je přípustné jako standardní součást řešení TZB staveb a řešení technické infrastruktury za</w:t>
      </w:r>
      <w:r>
        <w:t> </w:t>
      </w:r>
      <w:r w:rsidRPr="00040C21">
        <w:t>účelem využití dané plochy.</w:t>
      </w:r>
    </w:p>
    <w:p w14:paraId="394639B7" w14:textId="77777777" w:rsidR="002A1021" w:rsidRPr="00040C21" w:rsidRDefault="002A1021">
      <w:pPr>
        <w:pStyle w:val="Normalni-citace"/>
        <w:numPr>
          <w:ilvl w:val="0"/>
          <w:numId w:val="31"/>
        </w:numPr>
        <w:ind w:left="993" w:hanging="283"/>
        <w:contextualSpacing/>
      </w:pPr>
      <w:r w:rsidRPr="00040C21">
        <w:t>zamezit či významně omezit využívání kvalitních orných půd jako ploch pro</w:t>
      </w:r>
      <w:r>
        <w:t> </w:t>
      </w:r>
      <w:r w:rsidRPr="00040C21">
        <w:t xml:space="preserve">fotovoltaiku, s výjimkou agrovoltaiky </w:t>
      </w:r>
    </w:p>
    <w:p w14:paraId="56210210" w14:textId="77777777" w:rsidR="002A1021" w:rsidRPr="004C4569" w:rsidRDefault="002A1021" w:rsidP="002A1021">
      <w:r w:rsidRPr="004C4569">
        <w:t>Plochy pro fotovoltaické elektrárny na kvalitních zemědělských půdách nejsou navrženy. V plochách zemědělských všeobecných jsou přípustné systémy agrovoltaiky.</w:t>
      </w:r>
    </w:p>
    <w:p w14:paraId="4B58FED2" w14:textId="77777777" w:rsidR="002A1021" w:rsidRPr="00040C21" w:rsidRDefault="002A1021" w:rsidP="008A41F9">
      <w:pPr>
        <w:pStyle w:val="Nadpis4"/>
      </w:pPr>
      <w:r w:rsidRPr="00040C21">
        <w:t>(75d) SOB11 Specifická oblast, která vymezuje oblasti nezbytné pro příspěvek ČR k celkovému cíli EU v oblasti obnovitelných zdrojů energie do roku 2030 z</w:t>
      </w:r>
      <w:r>
        <w:t> </w:t>
      </w:r>
      <w:r w:rsidRPr="00040C21">
        <w:t>hlediska rozvoje výroby energie z větrné energie.</w:t>
      </w:r>
    </w:p>
    <w:p w14:paraId="3034A46B" w14:textId="77777777" w:rsidR="002A1021" w:rsidRPr="00CF471E" w:rsidRDefault="002A1021" w:rsidP="002A1021">
      <w:pPr>
        <w:pStyle w:val="Normalni-citace"/>
        <w:rPr>
          <w:u w:val="single"/>
        </w:rPr>
      </w:pPr>
      <w:r w:rsidRPr="00CF471E">
        <w:rPr>
          <w:u w:val="single"/>
        </w:rPr>
        <w:t>Vymezení:</w:t>
      </w:r>
    </w:p>
    <w:p w14:paraId="6E946673" w14:textId="77777777" w:rsidR="002A1021" w:rsidRPr="00040C21" w:rsidRDefault="002A1021" w:rsidP="002A1021">
      <w:r w:rsidRPr="00040C21">
        <w:t xml:space="preserve">Řešené území je součástí vymezení specifické oblasti. </w:t>
      </w:r>
    </w:p>
    <w:p w14:paraId="4E2B31DA" w14:textId="77777777" w:rsidR="002A1021" w:rsidRPr="00CF471E" w:rsidRDefault="002A1021" w:rsidP="002A1021">
      <w:pPr>
        <w:pStyle w:val="Normalni-citace"/>
        <w:rPr>
          <w:u w:val="single"/>
        </w:rPr>
      </w:pPr>
      <w:r w:rsidRPr="00CF471E">
        <w:rPr>
          <w:u w:val="single"/>
        </w:rPr>
        <w:t>Důvody vymezení:</w:t>
      </w:r>
    </w:p>
    <w:p w14:paraId="6A245D92" w14:textId="77777777" w:rsidR="002A1021" w:rsidRPr="00040C21" w:rsidRDefault="002A1021">
      <w:pPr>
        <w:pStyle w:val="Normalni-citace"/>
        <w:numPr>
          <w:ilvl w:val="0"/>
          <w:numId w:val="32"/>
        </w:numPr>
        <w:ind w:left="1134"/>
        <w:contextualSpacing/>
      </w:pPr>
      <w:r w:rsidRPr="00040C21">
        <w:t>Specifická oblast se specifickými hodnotami celostátního významu – území s</w:t>
      </w:r>
      <w:r>
        <w:t> </w:t>
      </w:r>
      <w:r w:rsidRPr="00040C21">
        <w:t xml:space="preserve">potenciálem pro rozvoj výroby energie z větrné energie, v rámci kterého dojde k budoucímu vymezení oblastí pro zrychlené zavádění obnovitelných zdrojů energie. </w:t>
      </w:r>
    </w:p>
    <w:p w14:paraId="1026A107" w14:textId="77777777" w:rsidR="002A1021" w:rsidRPr="00CF471E" w:rsidRDefault="002A1021">
      <w:pPr>
        <w:pStyle w:val="Normalni-citace"/>
        <w:numPr>
          <w:ilvl w:val="0"/>
          <w:numId w:val="32"/>
        </w:numPr>
        <w:ind w:left="1134" w:hanging="284"/>
      </w:pPr>
      <w:r w:rsidRPr="00040C21">
        <w:t>Potřeba koordinace využívání území pro výrobu energie z větrné energie.</w:t>
      </w:r>
    </w:p>
    <w:p w14:paraId="34FC4E1A" w14:textId="77777777" w:rsidR="002A1021" w:rsidRPr="007632FE" w:rsidRDefault="002A1021" w:rsidP="002A1021">
      <w:pPr>
        <w:pStyle w:val="Normalni-citace"/>
        <w:rPr>
          <w:u w:val="single"/>
        </w:rPr>
      </w:pPr>
      <w:r w:rsidRPr="007632FE">
        <w:rPr>
          <w:u w:val="single"/>
        </w:rPr>
        <w:t xml:space="preserve">Podmínky pro navazující územně plánovací činnost: </w:t>
      </w:r>
    </w:p>
    <w:p w14:paraId="4E4D1D00" w14:textId="77777777" w:rsidR="002A1021" w:rsidRPr="00040C21" w:rsidRDefault="002A1021" w:rsidP="002A1021">
      <w:r w:rsidRPr="00040C21">
        <w:t xml:space="preserve">Při vymezování záměrů vytvářet podmínky pro: </w:t>
      </w:r>
    </w:p>
    <w:p w14:paraId="7F5E75DE" w14:textId="77777777" w:rsidR="002A1021" w:rsidRPr="00040C21" w:rsidRDefault="002A1021">
      <w:pPr>
        <w:pStyle w:val="Normalni-citace"/>
        <w:numPr>
          <w:ilvl w:val="0"/>
          <w:numId w:val="33"/>
        </w:numPr>
        <w:ind w:left="1134" w:hanging="283"/>
        <w:contextualSpacing/>
      </w:pPr>
      <w:r w:rsidRPr="00040C21">
        <w:t xml:space="preserve">minimalizování konfliktů s ochranou přírody a krajiny, včetně vyloučení lokalit soustavy Natura 2000 a zvláště chráněných území, </w:t>
      </w:r>
    </w:p>
    <w:p w14:paraId="65DCC2ED" w14:textId="77777777" w:rsidR="002A1021" w:rsidRPr="00040C21" w:rsidRDefault="002A1021">
      <w:pPr>
        <w:pStyle w:val="Normalni-citace"/>
        <w:numPr>
          <w:ilvl w:val="0"/>
          <w:numId w:val="33"/>
        </w:numPr>
        <w:ind w:left="1134" w:hanging="283"/>
        <w:contextualSpacing/>
      </w:pPr>
      <w:r w:rsidRPr="00040C21">
        <w:t xml:space="preserve">minimalizování konfliktů s kulturními a civilizačními hodnotami, včetně národních kulturních památek, území památkových rezervací a památek světového dědictví, </w:t>
      </w:r>
    </w:p>
    <w:p w14:paraId="612EF2E9" w14:textId="77777777" w:rsidR="002A1021" w:rsidRPr="00040C21" w:rsidRDefault="002A1021">
      <w:pPr>
        <w:pStyle w:val="Normalni-citace"/>
        <w:numPr>
          <w:ilvl w:val="0"/>
          <w:numId w:val="33"/>
        </w:numPr>
        <w:ind w:left="1134" w:hanging="283"/>
        <w:contextualSpacing/>
      </w:pPr>
      <w:r w:rsidRPr="0051610D">
        <w:t>zohledňování ochrany pozemků určených k plnění funkcí lesa se zohledněním místních podmínek v území, minimalizovat konflikty s lesy ochrannými a lesy zvláštního určení,</w:t>
      </w:r>
      <w:r w:rsidRPr="00040C21">
        <w:t xml:space="preserve"> </w:t>
      </w:r>
    </w:p>
    <w:p w14:paraId="6129B54D" w14:textId="77777777" w:rsidR="002A1021" w:rsidRPr="00040C21" w:rsidRDefault="002A1021">
      <w:pPr>
        <w:pStyle w:val="Normalni-citace"/>
        <w:numPr>
          <w:ilvl w:val="0"/>
          <w:numId w:val="33"/>
        </w:numPr>
        <w:ind w:left="1134" w:hanging="283"/>
        <w:contextualSpacing/>
      </w:pPr>
      <w:r w:rsidRPr="00040C21">
        <w:t xml:space="preserve">minimalizování konfliktů se záměry dopravní a technické infrastruktury mezinárodního a celostátního významu, </w:t>
      </w:r>
    </w:p>
    <w:p w14:paraId="181D30F4" w14:textId="77777777" w:rsidR="002A1021" w:rsidRPr="00040C21" w:rsidRDefault="002A1021">
      <w:pPr>
        <w:pStyle w:val="Normalni-citace"/>
        <w:numPr>
          <w:ilvl w:val="0"/>
          <w:numId w:val="33"/>
        </w:numPr>
        <w:ind w:left="1134" w:hanging="283"/>
        <w:contextualSpacing/>
      </w:pPr>
      <w:r w:rsidRPr="00040C21">
        <w:lastRenderedPageBreak/>
        <w:t>minimalizování konfliktů s územím pro bezpečnost a obranu státu</w:t>
      </w:r>
      <w:r>
        <w:t xml:space="preserve"> </w:t>
      </w:r>
      <w:r w:rsidRPr="00E3438A">
        <w:t>a s elektronickými komunikacemi</w:t>
      </w:r>
      <w:r w:rsidRPr="00040C21">
        <w:t xml:space="preserve">, </w:t>
      </w:r>
    </w:p>
    <w:p w14:paraId="32EBBC49" w14:textId="77777777" w:rsidR="002A1021" w:rsidRPr="00040C21" w:rsidRDefault="002A1021">
      <w:pPr>
        <w:pStyle w:val="Normalni-citace"/>
        <w:numPr>
          <w:ilvl w:val="0"/>
          <w:numId w:val="33"/>
        </w:numPr>
        <w:ind w:left="1134" w:hanging="283"/>
        <w:contextualSpacing/>
      </w:pPr>
      <w:r w:rsidRPr="00040C21">
        <w:t xml:space="preserve">minimalizování negativních vlivů na vodní poměry v území. </w:t>
      </w:r>
    </w:p>
    <w:p w14:paraId="18A3067A" w14:textId="77777777" w:rsidR="002A1021" w:rsidRPr="00D044B6" w:rsidRDefault="002A1021" w:rsidP="002A1021">
      <w:pPr>
        <w:pStyle w:val="Normalni-citace"/>
        <w:rPr>
          <w:u w:val="single"/>
        </w:rPr>
      </w:pPr>
      <w:r w:rsidRPr="00D044B6">
        <w:rPr>
          <w:u w:val="single"/>
        </w:rPr>
        <w:t>Úkoly pro územní plánování:</w:t>
      </w:r>
    </w:p>
    <w:p w14:paraId="413C3483" w14:textId="77777777" w:rsidR="002A1021" w:rsidRPr="00040C21" w:rsidRDefault="002A1021" w:rsidP="002A1021">
      <w:pPr>
        <w:pStyle w:val="Normalni-citace"/>
      </w:pPr>
      <w:r w:rsidRPr="00040C21">
        <w:t>Pro koordinaci územně plánovací činnosti obcí, za podmínky platnosti příslušné právní úpravy, vyplývají tyto úkoly, zejména:</w:t>
      </w:r>
    </w:p>
    <w:p w14:paraId="3DB7564A" w14:textId="77777777" w:rsidR="002A1021" w:rsidRPr="00040C21" w:rsidRDefault="002A1021">
      <w:pPr>
        <w:pStyle w:val="Normalni-citace"/>
        <w:numPr>
          <w:ilvl w:val="0"/>
          <w:numId w:val="34"/>
        </w:numPr>
        <w:ind w:left="1134" w:hanging="283"/>
        <w:contextualSpacing/>
      </w:pPr>
      <w:r w:rsidRPr="00040C21">
        <w:t xml:space="preserve">obce, je-li to účelné, prostřednictvím nástrojů územního plánování s využitím podkladů Ministerstva průmyslu a obchodu a Ministerstva životního prostředí vymezí plochy nebo koridory s lokálním významem pro oblasti pro zrychlené zavádění obnovitelných zdrojů energie, </w:t>
      </w:r>
      <w:r w:rsidRPr="00BD7E37">
        <w:t>včetně ploch a koridorů pro umístění související veřejné infrastruktury a zohledňující i potřeby pro ukládání energie,</w:t>
      </w:r>
    </w:p>
    <w:p w14:paraId="3D762069" w14:textId="6EB77AE2" w:rsidR="002A1021" w:rsidRDefault="002A1021" w:rsidP="002A1021">
      <w:r>
        <w:t>Územní plán nevymezuje</w:t>
      </w:r>
      <w:r w:rsidRPr="00040C21">
        <w:t xml:space="preserve"> samostatné centralizované plochy výroby energie z obnovitelných zdrojů. Předpokládá se individuální využívání obnovitelných zdrojů při zabezpečování energetických potřeb obyvatel v plochách bydlení nebo potřeb </w:t>
      </w:r>
      <w:r>
        <w:t>podnikání a komerce v rámci komerčních a podnikatelských ploch a areálů</w:t>
      </w:r>
      <w:r w:rsidRPr="00040C21">
        <w:t xml:space="preserve">. Vymezení ploch pro obnovitelné zdroje vyžaduje koordinaci takového požadavku na nadmístní úrovni, kdy musí nezbytně dojít k posouzení dopadu ploch pro OZE na krajinný ráz. </w:t>
      </w:r>
      <w:r w:rsidR="004A293B">
        <w:t>Územní studie větrných elektráren na území Olomouckého kraje nevymezuje ve správním území obce Hlubočky rozvojové lokality pro větrné elektrárny</w:t>
      </w:r>
      <w:r w:rsidR="0097438B">
        <w:t xml:space="preserve"> a celé správní území je zařazeno do nepřípustného území pro umisťování větrných elektráren</w:t>
      </w:r>
      <w:r w:rsidRPr="00040C21">
        <w:t>.</w:t>
      </w:r>
      <w:r>
        <w:t xml:space="preserve"> </w:t>
      </w:r>
    </w:p>
    <w:p w14:paraId="77C63994" w14:textId="77777777" w:rsidR="002A1021" w:rsidRDefault="002A1021" w:rsidP="002A1021">
      <w:r>
        <w:t>Území obce není vhodné pro umístění větrných energetických zařízení z důvodu nedostatečné potenciální vzdálenosti takového zařízení od hranice zastavěného území obce a hranice zastavitelných ploch (min. vzdálenost je 1 km a větší).</w:t>
      </w:r>
    </w:p>
    <w:p w14:paraId="36262CA3" w14:textId="77777777" w:rsidR="00F67872" w:rsidRDefault="00F67872" w:rsidP="00F67872">
      <w:pPr>
        <w:pStyle w:val="Nadpis2"/>
      </w:pPr>
      <w:bookmarkStart w:id="40" w:name="_Toc213254696"/>
      <w:bookmarkStart w:id="41" w:name="_Toc213947224"/>
      <w:bookmarkStart w:id="42" w:name="_Toc214308131"/>
      <w:bookmarkStart w:id="43" w:name="_Toc232612597"/>
      <w:bookmarkStart w:id="44" w:name="_Toc213941329"/>
      <w:bookmarkStart w:id="45" w:name="_Toc213941597"/>
      <w:bookmarkStart w:id="46" w:name="_Toc213941705"/>
      <w:r>
        <w:t>V</w:t>
      </w:r>
      <w:r w:rsidRPr="003812C6">
        <w:t xml:space="preserve">yhodnocení souladu </w:t>
      </w:r>
      <w:r>
        <w:t>s územním rozvojovým plánem</w:t>
      </w:r>
      <w:bookmarkEnd w:id="40"/>
      <w:bookmarkEnd w:id="41"/>
      <w:bookmarkEnd w:id="42"/>
      <w:bookmarkEnd w:id="43"/>
    </w:p>
    <w:p w14:paraId="718B3B69" w14:textId="19BFC078" w:rsidR="00F67872" w:rsidRDefault="00F67872">
      <w:pPr>
        <w:pStyle w:val="normalni-cisla"/>
        <w:numPr>
          <w:ilvl w:val="0"/>
          <w:numId w:val="58"/>
        </w:numPr>
        <w:ind w:left="709"/>
      </w:pPr>
      <w:r w:rsidRPr="00030E9D">
        <w:t>Územní rozvojový plán schválený usnesením vlády ze dne 28.08.2024 č. 581 je účinný dnem 29.10.2024. V</w:t>
      </w:r>
      <w:r>
        <w:t> </w:t>
      </w:r>
      <w:r w:rsidRPr="00030E9D">
        <w:t>souladu</w:t>
      </w:r>
      <w:r>
        <w:t xml:space="preserve"> </w:t>
      </w:r>
      <w:r w:rsidRPr="00030E9D">
        <w:t>s ust. § 319 odst. 5 stavebního zákona bude Územní rozvojový plán (dále jen „ÚRP“) závazný až</w:t>
      </w:r>
      <w:r>
        <w:t> </w:t>
      </w:r>
      <w:r w:rsidRPr="00030E9D">
        <w:t>po vydání jeho 1.</w:t>
      </w:r>
      <w:r>
        <w:t> </w:t>
      </w:r>
      <w:r w:rsidRPr="00030E9D">
        <w:t>změny, tzn., že v současné době není pro rozhodování v území závazný, avšak obsahuje některé záměry obsažené v</w:t>
      </w:r>
      <w:r>
        <w:t xml:space="preserve"> </w:t>
      </w:r>
      <w:r w:rsidRPr="00030E9D">
        <w:t xml:space="preserve">Zásadách územního rozvoje </w:t>
      </w:r>
      <w:r w:rsidR="004C241B">
        <w:t>Olomouckého kraje</w:t>
      </w:r>
      <w:r>
        <w:t>.</w:t>
      </w:r>
    </w:p>
    <w:p w14:paraId="05730EF4" w14:textId="2C07AD0C" w:rsidR="00F67872" w:rsidRDefault="00F67872" w:rsidP="00F67872">
      <w:r>
        <w:t xml:space="preserve">Dle ÚRP jsou na území obce </w:t>
      </w:r>
      <w:r w:rsidR="004C241B">
        <w:t>Hlubočky</w:t>
      </w:r>
      <w:r>
        <w:t xml:space="preserve"> vymezeny následující záměry:</w:t>
      </w:r>
    </w:p>
    <w:p w14:paraId="2A115805" w14:textId="1CDD19C9" w:rsidR="00F67872" w:rsidRPr="00243358" w:rsidRDefault="00F67872">
      <w:pPr>
        <w:pStyle w:val="Odstavecseseznamem"/>
        <w:numPr>
          <w:ilvl w:val="0"/>
          <w:numId w:val="60"/>
        </w:numPr>
        <w:ind w:left="1134"/>
      </w:pPr>
      <w:r w:rsidRPr="0006350D">
        <w:rPr>
          <w:b/>
          <w:bCs/>
        </w:rPr>
        <w:t>NRBK64-426-66</w:t>
      </w:r>
      <w:r w:rsidRPr="00243358">
        <w:t xml:space="preserve"> – </w:t>
      </w:r>
      <w:r>
        <w:t xml:space="preserve">Nadregionální biokoridor </w:t>
      </w:r>
      <w:r w:rsidRPr="00F67872">
        <w:t>Raškov (64) – Sovinec (426) – Jezernice (66)</w:t>
      </w:r>
      <w:r w:rsidRPr="00243358">
        <w:t>.</w:t>
      </w:r>
    </w:p>
    <w:p w14:paraId="766A8630" w14:textId="7A5A065F" w:rsidR="00F67872" w:rsidRDefault="00E8310E" w:rsidP="00F67872">
      <w:r>
        <w:t xml:space="preserve">Koridor </w:t>
      </w:r>
      <w:r w:rsidRPr="00E8310E">
        <w:t>NRBK64-426-66</w:t>
      </w:r>
      <w:r>
        <w:t xml:space="preserve"> je v územním plánu respektován a upřesněn </w:t>
      </w:r>
      <w:r w:rsidR="00403E81">
        <w:t>jako NRBK K91 včetně vložených biocenter LBC Rozdíly, LBC Pod Drápalovou samotou, RBC Drábí a LBC Černý les.</w:t>
      </w:r>
    </w:p>
    <w:p w14:paraId="6FAADF7D" w14:textId="77777777" w:rsidR="00F67872" w:rsidRPr="00563582" w:rsidRDefault="00F67872" w:rsidP="00F67872">
      <w:r>
        <w:t>Řešení návrhu územního plánu je v souladu s URP v platném znění.</w:t>
      </w:r>
    </w:p>
    <w:p w14:paraId="094CA896" w14:textId="77777777" w:rsidR="00F67872" w:rsidRPr="00040C21" w:rsidRDefault="00F67872" w:rsidP="00F67872">
      <w:pPr>
        <w:pStyle w:val="Nadpis2"/>
      </w:pPr>
      <w:bookmarkStart w:id="47" w:name="_Toc213947225"/>
      <w:bookmarkStart w:id="48" w:name="_Toc214308132"/>
      <w:bookmarkStart w:id="49" w:name="_Toc232612598"/>
      <w:r>
        <w:t>V</w:t>
      </w:r>
      <w:r w:rsidRPr="003812C6">
        <w:t xml:space="preserve">yhodnocení </w:t>
      </w:r>
      <w:r w:rsidRPr="00CF7027">
        <w:t xml:space="preserve">souladu </w:t>
      </w:r>
      <w:bookmarkEnd w:id="44"/>
      <w:bookmarkEnd w:id="45"/>
      <w:bookmarkEnd w:id="46"/>
      <w:r>
        <w:t>se zásadami územního rozvoje</w:t>
      </w:r>
      <w:bookmarkEnd w:id="47"/>
      <w:bookmarkEnd w:id="48"/>
      <w:bookmarkEnd w:id="49"/>
    </w:p>
    <w:p w14:paraId="7F2B3EF6" w14:textId="47A798D1" w:rsidR="007672F8" w:rsidRDefault="007672F8" w:rsidP="007672F8">
      <w:pPr>
        <w:pStyle w:val="Nadpis3"/>
      </w:pPr>
      <w:bookmarkStart w:id="50" w:name="_Toc232612599"/>
      <w:r>
        <w:t>Rozvojové oblasti</w:t>
      </w:r>
      <w:bookmarkEnd w:id="50"/>
    </w:p>
    <w:p w14:paraId="5CEC44CD" w14:textId="0394D13A" w:rsidR="00F67872" w:rsidRDefault="00F67872">
      <w:pPr>
        <w:pStyle w:val="normalni-cisla"/>
        <w:numPr>
          <w:ilvl w:val="0"/>
          <w:numId w:val="59"/>
        </w:numPr>
        <w:ind w:left="709"/>
      </w:pPr>
      <w:r>
        <w:t>Územní plán je v souladu se Zásadami územního rozvoje</w:t>
      </w:r>
      <w:r w:rsidRPr="00040C21">
        <w:t xml:space="preserve"> v</w:t>
      </w:r>
      <w:r>
        <w:t> </w:t>
      </w:r>
      <w:r w:rsidRPr="00040C21">
        <w:t xml:space="preserve">Úplném znění </w:t>
      </w:r>
      <w:r w:rsidRPr="009B14A0">
        <w:t>po</w:t>
      </w:r>
      <w:r w:rsidR="002301B1">
        <w:t xml:space="preserve"> vydání aktualizací</w:t>
      </w:r>
      <w:r w:rsidRPr="009B14A0">
        <w:t xml:space="preserve"> </w:t>
      </w:r>
      <w:r w:rsidR="002301B1">
        <w:t>č. 1, 2a, 2b, 3, 4, 5 a změny č. 7</w:t>
      </w:r>
      <w:r w:rsidRPr="00040C21">
        <w:t xml:space="preserve"> (dále jen „</w:t>
      </w:r>
      <w:r>
        <w:t>ZÚR</w:t>
      </w:r>
      <w:r w:rsidR="002301B1">
        <w:t xml:space="preserve"> OK</w:t>
      </w:r>
      <w:r w:rsidRPr="00040C21">
        <w:t>“)</w:t>
      </w:r>
      <w:r>
        <w:t>.</w:t>
      </w:r>
    </w:p>
    <w:p w14:paraId="3313121A" w14:textId="39BF367D" w:rsidR="007672F8" w:rsidRDefault="007672F8" w:rsidP="00F67872">
      <w:r>
        <w:t xml:space="preserve">Správní území obce je součástí </w:t>
      </w:r>
      <w:r w:rsidRPr="007672F8">
        <w:t>rozvojov</w:t>
      </w:r>
      <w:r>
        <w:t>é</w:t>
      </w:r>
      <w:r w:rsidRPr="007672F8">
        <w:t xml:space="preserve"> oblast</w:t>
      </w:r>
      <w:r>
        <w:t>i</w:t>
      </w:r>
      <w:r w:rsidRPr="007672F8">
        <w:t xml:space="preserve"> celostátního významu OB8 Olomouc</w:t>
      </w:r>
      <w:r>
        <w:t>. Územní plán Hlubočky je v souladu s úkoly pro územní plánování obcí, stanovenými pro rozvojovou oblast OB8 Olomouc, zejména:</w:t>
      </w:r>
    </w:p>
    <w:p w14:paraId="722B6A3B" w14:textId="1DE1F1F7" w:rsidR="007672F8" w:rsidRPr="005B0579" w:rsidRDefault="007672F8">
      <w:pPr>
        <w:pStyle w:val="Odstavecseseznamem"/>
        <w:numPr>
          <w:ilvl w:val="0"/>
          <w:numId w:val="46"/>
        </w:numPr>
        <w:ind w:left="1134"/>
        <w:rPr>
          <w:i/>
          <w:iCs/>
        </w:rPr>
      </w:pPr>
      <w:r w:rsidRPr="005B0579">
        <w:rPr>
          <w:i/>
          <w:iCs/>
        </w:rPr>
        <w:t>koordinovat rozvojové záměry s exploatací ložisek nerostných surovin a s limity u podmíněně vyhovujícího území;</w:t>
      </w:r>
    </w:p>
    <w:p w14:paraId="07AAFD2A" w14:textId="415CDDB3" w:rsidR="007672F8" w:rsidRPr="005B0579" w:rsidRDefault="007672F8">
      <w:pPr>
        <w:pStyle w:val="Odstavecseseznamem"/>
        <w:numPr>
          <w:ilvl w:val="0"/>
          <w:numId w:val="46"/>
        </w:numPr>
        <w:ind w:left="1134"/>
        <w:rPr>
          <w:i/>
          <w:iCs/>
        </w:rPr>
      </w:pPr>
      <w:r w:rsidRPr="005B0579">
        <w:rPr>
          <w:i/>
          <w:iCs/>
        </w:rPr>
        <w:t>z hlediska přípustnosti těžbu nerostných surovin orientovat do území ploch ložisek a prognózních zdrojů s nejnižšími střety, popř. střety řešitelnými;</w:t>
      </w:r>
    </w:p>
    <w:p w14:paraId="704E49F9" w14:textId="4BB79C9F" w:rsidR="007672F8" w:rsidRDefault="007672F8" w:rsidP="007672F8">
      <w:pPr>
        <w:pStyle w:val="Odstavecseseznamem"/>
        <w:ind w:left="709"/>
      </w:pPr>
      <w:r>
        <w:t>Plochy pro těžbu nerostů jsou stabilizovány a nové plochy nejsou navrhovány s ohledem na ochranu prostoru přírodního parku Údolí Bystřice.</w:t>
      </w:r>
    </w:p>
    <w:p w14:paraId="6D4667CA" w14:textId="4E57BC2B" w:rsidR="007672F8" w:rsidRPr="005B0579" w:rsidRDefault="007672F8">
      <w:pPr>
        <w:pStyle w:val="Odstavecseseznamem"/>
        <w:numPr>
          <w:ilvl w:val="0"/>
          <w:numId w:val="46"/>
        </w:numPr>
        <w:ind w:left="1134"/>
        <w:rPr>
          <w:i/>
          <w:iCs/>
        </w:rPr>
      </w:pPr>
      <w:r w:rsidRPr="005B0579">
        <w:rPr>
          <w:i/>
          <w:iCs/>
        </w:rPr>
        <w:t>elektrizaci železničních tratí č. 310;</w:t>
      </w:r>
    </w:p>
    <w:p w14:paraId="724DEF2A" w14:textId="3BF7D604" w:rsidR="007672F8" w:rsidRDefault="007672F8" w:rsidP="007672F8">
      <w:pPr>
        <w:ind w:left="774"/>
      </w:pPr>
      <w:r>
        <w:t xml:space="preserve">Tento koridor je upřesněn stabilizovanými plocha dopravy drážní (DD) tak, aby byl minimalizován dopad na stabilizované plochy zastavěného území obce, které jsou dotčeny průchodem železniční trati.  </w:t>
      </w:r>
    </w:p>
    <w:p w14:paraId="2B158BDF" w14:textId="59E56259" w:rsidR="005B0579" w:rsidRDefault="005B0579" w:rsidP="005B0579">
      <w:pPr>
        <w:pStyle w:val="Nadpis3"/>
      </w:pPr>
      <w:bookmarkStart w:id="51" w:name="_Toc232612600"/>
      <w:r>
        <w:t>Ochrana krajinných hodnot</w:t>
      </w:r>
      <w:bookmarkEnd w:id="51"/>
    </w:p>
    <w:p w14:paraId="667225E4" w14:textId="3F46756C" w:rsidR="005B0579" w:rsidRDefault="005B0579">
      <w:pPr>
        <w:pStyle w:val="normalni-cisla"/>
        <w:numPr>
          <w:ilvl w:val="0"/>
          <w:numId w:val="61"/>
        </w:numPr>
        <w:ind w:left="709"/>
      </w:pPr>
      <w:r>
        <w:t xml:space="preserve">Správní území obce je součástí </w:t>
      </w:r>
      <w:r w:rsidRPr="005B0579">
        <w:t>kulturní krajinn</w:t>
      </w:r>
      <w:r>
        <w:t>é</w:t>
      </w:r>
      <w:r w:rsidRPr="005B0579">
        <w:t xml:space="preserve"> oblast</w:t>
      </w:r>
      <w:r>
        <w:t>i</w:t>
      </w:r>
      <w:r w:rsidRPr="005B0579">
        <w:t xml:space="preserve"> Svatý Kopeček</w:t>
      </w:r>
      <w:r>
        <w:t xml:space="preserve"> (KK08) a v severní části správního území i kulturní krajinné oblasti </w:t>
      </w:r>
      <w:r w:rsidRPr="005B0579">
        <w:t>svahy Nízkého Jeseníku</w:t>
      </w:r>
      <w:r>
        <w:t xml:space="preserve"> (K09). </w:t>
      </w:r>
    </w:p>
    <w:p w14:paraId="40D8B5C2" w14:textId="0B99B8F7" w:rsidR="005B0579" w:rsidRDefault="005B0579" w:rsidP="007672F8">
      <w:pPr>
        <w:ind w:left="774"/>
      </w:pPr>
      <w:r>
        <w:t>V těchto kulturních krajinných oblastech je nepřípustné:</w:t>
      </w:r>
    </w:p>
    <w:p w14:paraId="3E61AFB8" w14:textId="364F9384" w:rsidR="005B0579" w:rsidRPr="005B0579" w:rsidRDefault="005B0579">
      <w:pPr>
        <w:pStyle w:val="Odstavecseseznamem"/>
        <w:numPr>
          <w:ilvl w:val="0"/>
          <w:numId w:val="46"/>
        </w:numPr>
        <w:rPr>
          <w:i/>
          <w:iCs/>
        </w:rPr>
      </w:pPr>
      <w:r w:rsidRPr="005B0579">
        <w:rPr>
          <w:i/>
          <w:iCs/>
        </w:rPr>
        <w:lastRenderedPageBreak/>
        <w:t>umísťovat stavby a zařízení obnovitelných zdrojů energie uplatňujících se v krajině (větrné turbíny, větrné parky, elektrárny, sluneční parkové elektrárny na samostatných stavebních konstrukcích) s výjimkou staveb a zařízení, které zároveň splňují tyto podmínky</w:t>
      </w:r>
      <w:r>
        <w:rPr>
          <w:i/>
          <w:iCs/>
        </w:rPr>
        <w:t>:</w:t>
      </w:r>
    </w:p>
    <w:p w14:paraId="1F3DB735" w14:textId="20FE9EA1" w:rsidR="005B0579" w:rsidRPr="005B0579" w:rsidRDefault="005B0579">
      <w:pPr>
        <w:pStyle w:val="Odstavecseseznamem"/>
        <w:numPr>
          <w:ilvl w:val="1"/>
          <w:numId w:val="46"/>
        </w:numPr>
        <w:rPr>
          <w:i/>
          <w:iCs/>
        </w:rPr>
      </w:pPr>
      <w:r w:rsidRPr="005B0579">
        <w:rPr>
          <w:i/>
          <w:iCs/>
        </w:rPr>
        <w:t>před nabytím účinnosti Aktualizace č. 2a ZÚR OK byla pro tyto stavby a zařízení vymezena plocha umožňující umístění těchto staveb a zařízení v platné územně plánovací dokumentaci dotčené obce</w:t>
      </w:r>
      <w:r>
        <w:rPr>
          <w:i/>
          <w:iCs/>
        </w:rPr>
        <w:t>;</w:t>
      </w:r>
    </w:p>
    <w:p w14:paraId="2CDB2F2A" w14:textId="63184055" w:rsidR="005B0579" w:rsidRPr="005B0579" w:rsidRDefault="005B0579">
      <w:pPr>
        <w:pStyle w:val="Odstavecseseznamem"/>
        <w:numPr>
          <w:ilvl w:val="1"/>
          <w:numId w:val="46"/>
        </w:numPr>
        <w:rPr>
          <w:i/>
          <w:iCs/>
        </w:rPr>
      </w:pPr>
      <w:r w:rsidRPr="005B0579">
        <w:rPr>
          <w:i/>
          <w:iCs/>
        </w:rPr>
        <w:t>pro tyto stavby a zařízení v minulosti bylo nebo v budoucnosti na základě žádosti bude vydáno příslušným úřadem souhlasné stanovisko k posouzení vlivu provedení záměru na životní prostředí</w:t>
      </w:r>
      <w:r>
        <w:rPr>
          <w:i/>
          <w:iCs/>
        </w:rPr>
        <w:t>;</w:t>
      </w:r>
    </w:p>
    <w:p w14:paraId="1739F378" w14:textId="3468DF69" w:rsidR="005B0579" w:rsidRDefault="005B0579">
      <w:pPr>
        <w:pStyle w:val="Odstavecseseznamem"/>
        <w:numPr>
          <w:ilvl w:val="1"/>
          <w:numId w:val="46"/>
        </w:numPr>
        <w:rPr>
          <w:i/>
          <w:iCs/>
        </w:rPr>
      </w:pPr>
      <w:r w:rsidRPr="005B0579">
        <w:rPr>
          <w:i/>
          <w:iCs/>
        </w:rPr>
        <w:t>tyto stavby a zařízení neztíží nebo neznemožní realizaci záměru, pro nějž byla v politice územního rozvoje nebo ZÚR OK vymezena plocha nebo koridor dopravní a technické infrastruktury</w:t>
      </w:r>
      <w:r>
        <w:rPr>
          <w:i/>
          <w:iCs/>
        </w:rPr>
        <w:t>.</w:t>
      </w:r>
    </w:p>
    <w:p w14:paraId="4A294991" w14:textId="7DD6E014" w:rsidR="005B0579" w:rsidRDefault="005B0579" w:rsidP="005B0579">
      <w:r>
        <w:t>Územní plán tyto podmínky respektuje a nevymezuje plochy pro OZE ve volné krajině.</w:t>
      </w:r>
    </w:p>
    <w:p w14:paraId="55DE7A2E" w14:textId="25DAF6A9" w:rsidR="005B0579" w:rsidRDefault="005B0579">
      <w:pPr>
        <w:pStyle w:val="Odstavecseseznamem"/>
        <w:numPr>
          <w:ilvl w:val="0"/>
          <w:numId w:val="46"/>
        </w:numPr>
        <w:rPr>
          <w:i/>
          <w:iCs/>
        </w:rPr>
      </w:pPr>
      <w:r w:rsidRPr="005B0579">
        <w:rPr>
          <w:i/>
          <w:iCs/>
        </w:rPr>
        <w:t>výškové stavby jako věže a stožáry pro GSM radiotelefonní sítě, základnové stanice (BTS), antény, vysílače, přijímače a zařízení související s mobilními sítěmi, které mohou narušit kulturní hodnotu a harmonický ráz krajiny</w:t>
      </w:r>
      <w:r>
        <w:rPr>
          <w:i/>
          <w:iCs/>
        </w:rPr>
        <w:t>;</w:t>
      </w:r>
    </w:p>
    <w:p w14:paraId="2CB46E77" w14:textId="10F4EE8C" w:rsidR="005B0579" w:rsidRDefault="005B0579" w:rsidP="005B0579">
      <w:r>
        <w:t>Územní plán tyto podmínky respektuje stanovením požadavků na ochranu charakteru krajiny</w:t>
      </w:r>
      <w:r w:rsidR="00900D69">
        <w:t xml:space="preserve"> a podmínkami prostorového uspřádání zástavby.</w:t>
      </w:r>
    </w:p>
    <w:p w14:paraId="6E082F8F" w14:textId="17761007" w:rsidR="00AF1816" w:rsidRDefault="00AF1816">
      <w:pPr>
        <w:pStyle w:val="Odstavecseseznamem"/>
        <w:numPr>
          <w:ilvl w:val="0"/>
          <w:numId w:val="46"/>
        </w:numPr>
        <w:rPr>
          <w:i/>
          <w:iCs/>
        </w:rPr>
      </w:pPr>
      <w:r w:rsidRPr="00AF1816">
        <w:rPr>
          <w:i/>
          <w:iCs/>
        </w:rPr>
        <w:t>umísťování nadzemních staveb elektroenergetiky, staveb vodní energetiky, teplárenství, plynárenství je podmíněno souhlasem orgánu ochrany přírody a orgánu památkové péče v souladu s legislativou platnou ke dni vydání rozhodnutí</w:t>
      </w:r>
      <w:r>
        <w:rPr>
          <w:i/>
          <w:iCs/>
        </w:rPr>
        <w:t>;</w:t>
      </w:r>
    </w:p>
    <w:p w14:paraId="208CA0D7" w14:textId="6F42FEDF" w:rsidR="00AF1816" w:rsidRDefault="00AF1816" w:rsidP="00AF1816">
      <w:r>
        <w:t>Územní plán tyto podmínky respektuje a nevymezuje plochy pro výše uvedené stavby.</w:t>
      </w:r>
    </w:p>
    <w:p w14:paraId="0BA2D0EB" w14:textId="4FA6B7F9" w:rsidR="00706600" w:rsidRPr="00706600" w:rsidRDefault="00706600">
      <w:pPr>
        <w:pStyle w:val="Odstavecseseznamem"/>
        <w:numPr>
          <w:ilvl w:val="0"/>
          <w:numId w:val="46"/>
        </w:numPr>
        <w:rPr>
          <w:i/>
          <w:iCs/>
        </w:rPr>
      </w:pPr>
      <w:r w:rsidRPr="00706600">
        <w:rPr>
          <w:i/>
          <w:iCs/>
        </w:rPr>
        <w:t>umísťování významných dopravních staveb je přípustné za předpokladu zachování krajinotvorné památkové hodnoty území, tj. za předpokladu akceptace uplatnění kulturních památek v krajině, zachování otevřených pohledů a průhledů, respektování dochovaných dominant a prostředí kulturních památek a při minimalizaci zásahů do krajinného rázu. Podmínkou je provedení následných opatření eliminujících negativní dopad dopravní stavby a napomáhajících jejímu vhodnému zapojení do krajiny (kompenzace).</w:t>
      </w:r>
    </w:p>
    <w:p w14:paraId="1C3E86E5" w14:textId="69901464" w:rsidR="00706600" w:rsidRDefault="00706600" w:rsidP="00AF1816">
      <w:r>
        <w:t>Územní plán tyto podmínky respektuje a nevymezuje významné dopravní stavby.</w:t>
      </w:r>
    </w:p>
    <w:p w14:paraId="008E0AD5" w14:textId="2A5CE67E" w:rsidR="004D6A82" w:rsidRDefault="004D6A82" w:rsidP="004D6A82">
      <w:pPr>
        <w:pStyle w:val="Nadpis3"/>
      </w:pPr>
      <w:bookmarkStart w:id="52" w:name="_Toc232612601"/>
      <w:r>
        <w:t>Rekreace a cestovní ruch</w:t>
      </w:r>
      <w:bookmarkEnd w:id="52"/>
    </w:p>
    <w:p w14:paraId="61819CC4" w14:textId="08508DAA" w:rsidR="004D6A82" w:rsidRPr="004D6A82" w:rsidRDefault="004D6A82">
      <w:pPr>
        <w:pStyle w:val="normalni-cisla"/>
        <w:numPr>
          <w:ilvl w:val="0"/>
          <w:numId w:val="62"/>
        </w:numPr>
        <w:ind w:left="709"/>
      </w:pPr>
      <w:r>
        <w:t xml:space="preserve">Správní územní obce je součástí rekreačního krajinného celku RKC Olomoucko – východ. Tento rekreační krajinný celek je řazen do kategorie rekreačních celků </w:t>
      </w:r>
      <w:r w:rsidRPr="004D6A82">
        <w:t>s dosud nižší koncentrací ubytovacích kapacit a méně rozvinutou infrastrukturou cestovního ruchu</w:t>
      </w:r>
      <w:r>
        <w:t>.</w:t>
      </w:r>
    </w:p>
    <w:p w14:paraId="3AEB1DB6" w14:textId="7F5CCDAF" w:rsidR="007672F8" w:rsidRDefault="007672F8" w:rsidP="007672F8">
      <w:pPr>
        <w:pStyle w:val="Nadpis3"/>
      </w:pPr>
      <w:bookmarkStart w:id="53" w:name="_Toc232612602"/>
      <w:r>
        <w:t>Koridory veřejné infrastruktury</w:t>
      </w:r>
      <w:bookmarkEnd w:id="53"/>
    </w:p>
    <w:p w14:paraId="2A649865" w14:textId="6CAB829D" w:rsidR="007672F8" w:rsidRDefault="007672F8">
      <w:pPr>
        <w:pStyle w:val="normalni-cisla"/>
        <w:numPr>
          <w:ilvl w:val="0"/>
          <w:numId w:val="63"/>
        </w:numPr>
        <w:ind w:left="709"/>
      </w:pPr>
      <w:r>
        <w:t>ZÚR OK vymezuje ve správním území obce následující koridory veřejné infrastruktury:</w:t>
      </w:r>
    </w:p>
    <w:p w14:paraId="51A962AF" w14:textId="6386B699" w:rsidR="007672F8" w:rsidRPr="00BD6FC2" w:rsidRDefault="00BD6FC2">
      <w:pPr>
        <w:pStyle w:val="Odstavecseseznamem"/>
        <w:numPr>
          <w:ilvl w:val="0"/>
          <w:numId w:val="46"/>
        </w:numPr>
        <w:ind w:left="993" w:hanging="283"/>
        <w:rPr>
          <w:b/>
          <w:bCs/>
        </w:rPr>
      </w:pPr>
      <w:r w:rsidRPr="00BD6FC2">
        <w:rPr>
          <w:b/>
          <w:bCs/>
        </w:rPr>
        <w:t xml:space="preserve">DD7 </w:t>
      </w:r>
      <w:r w:rsidRPr="00BD6FC2">
        <w:t>– železniční trať č.310 Olomouc – Opava - revitalizace trati</w:t>
      </w:r>
      <w:r>
        <w:t xml:space="preserve"> </w:t>
      </w:r>
    </w:p>
    <w:p w14:paraId="2C4A3511" w14:textId="2817367A" w:rsidR="00BD6FC2" w:rsidRDefault="00BD6FC2" w:rsidP="00BD6FC2">
      <w:pPr>
        <w:ind w:left="710"/>
      </w:pPr>
      <w:r>
        <w:t>Koridor je upřesněn stabilizovanými ploch</w:t>
      </w:r>
      <w:r w:rsidR="000958CB">
        <w:t>ami</w:t>
      </w:r>
      <w:r>
        <w:t xml:space="preserve"> dopravy drážní (DD) tak, aby byl minimalizován dopad na stabilizované plochy zastavěného území obce, které jsou dotčeny průchodem železniční trati.</w:t>
      </w:r>
    </w:p>
    <w:p w14:paraId="2FEC1414" w14:textId="6F86964E" w:rsidR="007672F8" w:rsidRDefault="007672F8" w:rsidP="007672F8">
      <w:pPr>
        <w:pStyle w:val="Nadpis3"/>
      </w:pPr>
      <w:bookmarkStart w:id="54" w:name="_Toc232612603"/>
      <w:r>
        <w:t>Plochy a koridory ÚSES</w:t>
      </w:r>
      <w:bookmarkEnd w:id="54"/>
    </w:p>
    <w:p w14:paraId="40389B43" w14:textId="594DD439" w:rsidR="007672F8" w:rsidRDefault="007672F8">
      <w:pPr>
        <w:pStyle w:val="normalni-cisla"/>
        <w:numPr>
          <w:ilvl w:val="0"/>
          <w:numId w:val="64"/>
        </w:numPr>
        <w:ind w:left="709"/>
      </w:pPr>
      <w:r>
        <w:t>ZÚR OK vymezuje ve správním území obce následující plochy a koridory ÚSES:</w:t>
      </w:r>
    </w:p>
    <w:p w14:paraId="30391EAA" w14:textId="61E8B62D" w:rsidR="001B34D8" w:rsidRPr="00605836" w:rsidRDefault="001B34D8">
      <w:pPr>
        <w:pStyle w:val="Odstavecseseznamem"/>
        <w:numPr>
          <w:ilvl w:val="0"/>
          <w:numId w:val="46"/>
        </w:numPr>
        <w:ind w:left="993" w:hanging="283"/>
        <w:rPr>
          <w:b/>
          <w:bCs/>
        </w:rPr>
      </w:pPr>
      <w:r>
        <w:rPr>
          <w:b/>
          <w:bCs/>
        </w:rPr>
        <w:t>N</w:t>
      </w:r>
      <w:r w:rsidRPr="00BD6FC2">
        <w:rPr>
          <w:b/>
          <w:bCs/>
        </w:rPr>
        <w:t>RB</w:t>
      </w:r>
      <w:r>
        <w:rPr>
          <w:b/>
          <w:bCs/>
        </w:rPr>
        <w:t>K</w:t>
      </w:r>
      <w:r w:rsidRPr="00BD6FC2">
        <w:rPr>
          <w:b/>
          <w:bCs/>
        </w:rPr>
        <w:t>9</w:t>
      </w:r>
      <w:r w:rsidRPr="00BD6FC2">
        <w:t xml:space="preserve"> – </w:t>
      </w:r>
      <w:r w:rsidRPr="001B34D8">
        <w:t>mezofilní bučinná osa</w:t>
      </w:r>
      <w:r w:rsidR="00794A30">
        <w:t>;</w:t>
      </w:r>
    </w:p>
    <w:p w14:paraId="1A5A1CD4" w14:textId="63041720" w:rsidR="001B34D8" w:rsidRDefault="001B34D8" w:rsidP="001B34D8">
      <w:r>
        <w:t xml:space="preserve">NRBK9 je upřesněn </w:t>
      </w:r>
      <w:r w:rsidR="002A7AE3">
        <w:t>N</w:t>
      </w:r>
      <w:r>
        <w:t xml:space="preserve">RBK </w:t>
      </w:r>
      <w:r w:rsidR="002A7AE3">
        <w:t>K 91 včetně vložených lokálních biocenter</w:t>
      </w:r>
      <w:r>
        <w:t>.</w:t>
      </w:r>
    </w:p>
    <w:p w14:paraId="0459E957" w14:textId="37A1BBBB" w:rsidR="004477C1" w:rsidRPr="00605836" w:rsidRDefault="004477C1">
      <w:pPr>
        <w:pStyle w:val="Odstavecseseznamem"/>
        <w:numPr>
          <w:ilvl w:val="0"/>
          <w:numId w:val="46"/>
        </w:numPr>
        <w:ind w:left="993" w:hanging="283"/>
        <w:rPr>
          <w:b/>
          <w:bCs/>
        </w:rPr>
      </w:pPr>
      <w:r w:rsidRPr="00BD6FC2">
        <w:rPr>
          <w:b/>
          <w:bCs/>
        </w:rPr>
        <w:t>RBC</w:t>
      </w:r>
      <w:r>
        <w:rPr>
          <w:b/>
          <w:bCs/>
        </w:rPr>
        <w:t>21</w:t>
      </w:r>
      <w:r w:rsidRPr="00BD6FC2">
        <w:t xml:space="preserve"> – </w:t>
      </w:r>
      <w:r w:rsidRPr="002A7AE3">
        <w:t>Hrubá voda</w:t>
      </w:r>
      <w:r>
        <w:t xml:space="preserve"> – mezofilní</w:t>
      </w:r>
      <w:r w:rsidRPr="00D35ECF">
        <w:t xml:space="preserve"> bučinné, nivní</w:t>
      </w:r>
      <w:r w:rsidR="00794A30">
        <w:t>;</w:t>
      </w:r>
    </w:p>
    <w:p w14:paraId="0859660E" w14:textId="77777777" w:rsidR="004477C1" w:rsidRDefault="004477C1" w:rsidP="004477C1">
      <w:r>
        <w:t>RBC21 je upřesněno RBC Hrubá voda.</w:t>
      </w:r>
    </w:p>
    <w:p w14:paraId="3895087D" w14:textId="52ABD78A" w:rsidR="004477C1" w:rsidRPr="00605836" w:rsidRDefault="004477C1">
      <w:pPr>
        <w:pStyle w:val="Odstavecseseznamem"/>
        <w:numPr>
          <w:ilvl w:val="0"/>
          <w:numId w:val="46"/>
        </w:numPr>
        <w:ind w:left="993" w:hanging="283"/>
        <w:rPr>
          <w:b/>
          <w:bCs/>
        </w:rPr>
      </w:pPr>
      <w:r w:rsidRPr="00BD6FC2">
        <w:rPr>
          <w:b/>
          <w:bCs/>
        </w:rPr>
        <w:t>RBC</w:t>
      </w:r>
      <w:r>
        <w:rPr>
          <w:b/>
          <w:bCs/>
        </w:rPr>
        <w:t>22</w:t>
      </w:r>
      <w:r w:rsidRPr="00BD6FC2">
        <w:t xml:space="preserve"> – </w:t>
      </w:r>
      <w:r w:rsidRPr="00D35ECF">
        <w:t>Vrábl</w:t>
      </w:r>
      <w:r>
        <w:t xml:space="preserve"> – mezofilní</w:t>
      </w:r>
      <w:r w:rsidRPr="00D35ECF">
        <w:t xml:space="preserve"> bučinné, nivní</w:t>
      </w:r>
      <w:r w:rsidR="00794A30">
        <w:t>;</w:t>
      </w:r>
    </w:p>
    <w:p w14:paraId="4873747B" w14:textId="77777777" w:rsidR="004477C1" w:rsidRDefault="004477C1" w:rsidP="004477C1">
      <w:r>
        <w:t>RBC22 je upřesněno RBC Vrábl.</w:t>
      </w:r>
    </w:p>
    <w:p w14:paraId="50417630" w14:textId="2578A479" w:rsidR="00BD6FC2" w:rsidRPr="00BD6FC2" w:rsidRDefault="00BD6FC2">
      <w:pPr>
        <w:pStyle w:val="Odstavecseseznamem"/>
        <w:numPr>
          <w:ilvl w:val="0"/>
          <w:numId w:val="46"/>
        </w:numPr>
        <w:ind w:left="993" w:hanging="283"/>
        <w:rPr>
          <w:b/>
          <w:bCs/>
        </w:rPr>
      </w:pPr>
      <w:r w:rsidRPr="00BD6FC2">
        <w:rPr>
          <w:b/>
          <w:bCs/>
        </w:rPr>
        <w:t>RBC98</w:t>
      </w:r>
      <w:r w:rsidRPr="00BD6FC2">
        <w:t xml:space="preserve"> – Údolí Bystřice – nivní</w:t>
      </w:r>
      <w:r w:rsidR="00794A30">
        <w:t>;</w:t>
      </w:r>
    </w:p>
    <w:p w14:paraId="6C13F51E" w14:textId="5134ABAB" w:rsidR="00BD6FC2" w:rsidRDefault="000958CB" w:rsidP="007672F8">
      <w:r>
        <w:t>RBC98</w:t>
      </w:r>
      <w:r w:rsidR="00BD6FC2">
        <w:t xml:space="preserve"> je upřesněn</w:t>
      </w:r>
      <w:r w:rsidR="00415868">
        <w:t>o</w:t>
      </w:r>
      <w:r w:rsidR="00BD6FC2">
        <w:t xml:space="preserve"> RBC Zlaté doly.</w:t>
      </w:r>
    </w:p>
    <w:p w14:paraId="0B055534" w14:textId="204A798B" w:rsidR="004477C1" w:rsidRPr="00605836" w:rsidRDefault="004477C1">
      <w:pPr>
        <w:pStyle w:val="Odstavecseseznamem"/>
        <w:numPr>
          <w:ilvl w:val="0"/>
          <w:numId w:val="46"/>
        </w:numPr>
        <w:ind w:left="993" w:hanging="283"/>
        <w:rPr>
          <w:b/>
          <w:bCs/>
        </w:rPr>
      </w:pPr>
      <w:r w:rsidRPr="00BD6FC2">
        <w:rPr>
          <w:b/>
          <w:bCs/>
        </w:rPr>
        <w:t>RBC</w:t>
      </w:r>
      <w:r>
        <w:rPr>
          <w:b/>
          <w:bCs/>
        </w:rPr>
        <w:t>154</w:t>
      </w:r>
      <w:r w:rsidRPr="00BD6FC2">
        <w:t xml:space="preserve"> – nivní</w:t>
      </w:r>
      <w:r w:rsidR="00794A30">
        <w:t>;</w:t>
      </w:r>
    </w:p>
    <w:p w14:paraId="66A2717F" w14:textId="77777777" w:rsidR="004477C1" w:rsidRDefault="004477C1" w:rsidP="004477C1">
      <w:r>
        <w:t>RBC154 je upřesněno RBK Hlubočská niva.</w:t>
      </w:r>
    </w:p>
    <w:p w14:paraId="02A36B56" w14:textId="64259D30" w:rsidR="00705947" w:rsidRPr="00605836" w:rsidRDefault="00705947">
      <w:pPr>
        <w:pStyle w:val="Odstavecseseznamem"/>
        <w:numPr>
          <w:ilvl w:val="0"/>
          <w:numId w:val="46"/>
        </w:numPr>
        <w:ind w:left="993" w:hanging="283"/>
        <w:rPr>
          <w:b/>
          <w:bCs/>
        </w:rPr>
      </w:pPr>
      <w:r w:rsidRPr="00BD6FC2">
        <w:rPr>
          <w:b/>
          <w:bCs/>
        </w:rPr>
        <w:lastRenderedPageBreak/>
        <w:t>RB</w:t>
      </w:r>
      <w:r>
        <w:rPr>
          <w:b/>
          <w:bCs/>
        </w:rPr>
        <w:t xml:space="preserve">K60 </w:t>
      </w:r>
      <w:r w:rsidRPr="00BD6FC2">
        <w:t xml:space="preserve">– </w:t>
      </w:r>
      <w:r w:rsidRPr="00705947">
        <w:t>mezofilní bučinné</w:t>
      </w:r>
      <w:r w:rsidR="00794A30">
        <w:t>;</w:t>
      </w:r>
    </w:p>
    <w:p w14:paraId="52597D96" w14:textId="7A69A2B9" w:rsidR="00705947" w:rsidRDefault="00705947" w:rsidP="00705947">
      <w:r>
        <w:t>RBK60 je upřesněn RBK 931s.</w:t>
      </w:r>
    </w:p>
    <w:p w14:paraId="325F8126" w14:textId="120C3686" w:rsidR="004477C1" w:rsidRPr="00605836" w:rsidRDefault="004477C1">
      <w:pPr>
        <w:pStyle w:val="Odstavecseseznamem"/>
        <w:numPr>
          <w:ilvl w:val="0"/>
          <w:numId w:val="46"/>
        </w:numPr>
        <w:ind w:left="993" w:hanging="283"/>
        <w:rPr>
          <w:b/>
          <w:bCs/>
        </w:rPr>
      </w:pPr>
      <w:r w:rsidRPr="00BD6FC2">
        <w:rPr>
          <w:b/>
          <w:bCs/>
        </w:rPr>
        <w:t>RB</w:t>
      </w:r>
      <w:r>
        <w:rPr>
          <w:b/>
          <w:bCs/>
        </w:rPr>
        <w:t xml:space="preserve">K61 </w:t>
      </w:r>
      <w:r w:rsidRPr="00BD6FC2">
        <w:t xml:space="preserve">– </w:t>
      </w:r>
      <w:r w:rsidRPr="00705947">
        <w:t>vodní, nivní, mokřadní</w:t>
      </w:r>
      <w:r w:rsidR="00794A30">
        <w:t>;</w:t>
      </w:r>
    </w:p>
    <w:p w14:paraId="14EA5085" w14:textId="77777777" w:rsidR="004477C1" w:rsidRDefault="004477C1" w:rsidP="004477C1">
      <w:r>
        <w:t>RBK61 je upřesněn RBK 931v.</w:t>
      </w:r>
    </w:p>
    <w:p w14:paraId="78F87C0B" w14:textId="79945E5C" w:rsidR="004477C1" w:rsidRPr="00605836" w:rsidRDefault="004477C1">
      <w:pPr>
        <w:pStyle w:val="Odstavecseseznamem"/>
        <w:numPr>
          <w:ilvl w:val="0"/>
          <w:numId w:val="46"/>
        </w:numPr>
        <w:ind w:left="993" w:hanging="283"/>
        <w:rPr>
          <w:b/>
          <w:bCs/>
        </w:rPr>
      </w:pPr>
      <w:r w:rsidRPr="00BD6FC2">
        <w:rPr>
          <w:b/>
          <w:bCs/>
        </w:rPr>
        <w:t>RB</w:t>
      </w:r>
      <w:r>
        <w:rPr>
          <w:b/>
          <w:bCs/>
        </w:rPr>
        <w:t xml:space="preserve">K92 </w:t>
      </w:r>
      <w:r w:rsidRPr="00BD6FC2">
        <w:t xml:space="preserve">– </w:t>
      </w:r>
      <w:r w:rsidRPr="00705947">
        <w:t>mezofilní bučinné</w:t>
      </w:r>
      <w:r w:rsidR="00794A30">
        <w:t>;</w:t>
      </w:r>
    </w:p>
    <w:p w14:paraId="6FBBAF46" w14:textId="77777777" w:rsidR="004477C1" w:rsidRDefault="004477C1" w:rsidP="004477C1">
      <w:r>
        <w:t>RBK92 je upřesněn RBK 1518s včetně vložených lokálních biocenter.</w:t>
      </w:r>
    </w:p>
    <w:p w14:paraId="635DF097" w14:textId="4BF4EBA7" w:rsidR="004477C1" w:rsidRPr="00605836" w:rsidRDefault="004477C1">
      <w:pPr>
        <w:pStyle w:val="Odstavecseseznamem"/>
        <w:numPr>
          <w:ilvl w:val="0"/>
          <w:numId w:val="46"/>
        </w:numPr>
        <w:ind w:left="993" w:hanging="283"/>
        <w:rPr>
          <w:b/>
          <w:bCs/>
        </w:rPr>
      </w:pPr>
      <w:r w:rsidRPr="00BD6FC2">
        <w:rPr>
          <w:b/>
          <w:bCs/>
        </w:rPr>
        <w:t>RB</w:t>
      </w:r>
      <w:r>
        <w:rPr>
          <w:b/>
          <w:bCs/>
        </w:rPr>
        <w:t xml:space="preserve">K93 </w:t>
      </w:r>
      <w:r w:rsidRPr="00BD6FC2">
        <w:t xml:space="preserve">– </w:t>
      </w:r>
      <w:r w:rsidRPr="00705947">
        <w:t>vodní, nivní, mokřadní</w:t>
      </w:r>
      <w:r w:rsidR="00794A30">
        <w:t>;</w:t>
      </w:r>
    </w:p>
    <w:p w14:paraId="25E3B81C" w14:textId="77777777" w:rsidR="004477C1" w:rsidRDefault="004477C1" w:rsidP="004477C1">
      <w:r>
        <w:t>RBK93 je upřesněn RBK 1518v včetně vložených lokálních biocenter.</w:t>
      </w:r>
    </w:p>
    <w:p w14:paraId="4850A47D" w14:textId="0E0145CE" w:rsidR="004477C1" w:rsidRPr="00605836" w:rsidRDefault="004477C1">
      <w:pPr>
        <w:pStyle w:val="Odstavecseseznamem"/>
        <w:numPr>
          <w:ilvl w:val="0"/>
          <w:numId w:val="46"/>
        </w:numPr>
        <w:ind w:left="993" w:hanging="283"/>
        <w:rPr>
          <w:b/>
          <w:bCs/>
        </w:rPr>
      </w:pPr>
      <w:r w:rsidRPr="00BD6FC2">
        <w:rPr>
          <w:b/>
          <w:bCs/>
        </w:rPr>
        <w:t>RB</w:t>
      </w:r>
      <w:r>
        <w:rPr>
          <w:b/>
          <w:bCs/>
        </w:rPr>
        <w:t>K94</w:t>
      </w:r>
      <w:r w:rsidRPr="00BD6FC2">
        <w:t xml:space="preserve"> – nivní</w:t>
      </w:r>
      <w:r w:rsidR="00794A30">
        <w:t>;</w:t>
      </w:r>
    </w:p>
    <w:p w14:paraId="58C331CA" w14:textId="77777777" w:rsidR="004477C1" w:rsidRDefault="004477C1" w:rsidP="004477C1">
      <w:r>
        <w:t>RBK94 je upřesněn RBK 1518v.</w:t>
      </w:r>
    </w:p>
    <w:p w14:paraId="41FFC293" w14:textId="61DFA509" w:rsidR="004477C1" w:rsidRPr="00605836" w:rsidRDefault="004477C1">
      <w:pPr>
        <w:pStyle w:val="Odstavecseseznamem"/>
        <w:numPr>
          <w:ilvl w:val="0"/>
          <w:numId w:val="46"/>
        </w:numPr>
        <w:ind w:left="993" w:hanging="283"/>
        <w:rPr>
          <w:b/>
          <w:bCs/>
        </w:rPr>
      </w:pPr>
      <w:r w:rsidRPr="00BD6FC2">
        <w:rPr>
          <w:b/>
          <w:bCs/>
        </w:rPr>
        <w:t>RB</w:t>
      </w:r>
      <w:r>
        <w:rPr>
          <w:b/>
          <w:bCs/>
        </w:rPr>
        <w:t>K</w:t>
      </w:r>
      <w:r w:rsidRPr="00BD6FC2">
        <w:rPr>
          <w:b/>
          <w:bCs/>
        </w:rPr>
        <w:t>9</w:t>
      </w:r>
      <w:r>
        <w:rPr>
          <w:b/>
          <w:bCs/>
        </w:rPr>
        <w:t>5</w:t>
      </w:r>
      <w:r w:rsidRPr="00BD6FC2">
        <w:t xml:space="preserve"> – nivní</w:t>
      </w:r>
      <w:r w:rsidR="00794A30">
        <w:t>;</w:t>
      </w:r>
    </w:p>
    <w:p w14:paraId="0BD84BF6" w14:textId="77777777" w:rsidR="004477C1" w:rsidRDefault="004477C1" w:rsidP="004477C1">
      <w:r>
        <w:t>RBK95 je upřesněn RBK 1519.</w:t>
      </w:r>
    </w:p>
    <w:p w14:paraId="4128CF16" w14:textId="5BCB22C2" w:rsidR="00945FDE" w:rsidRPr="00605836" w:rsidRDefault="00945FDE">
      <w:pPr>
        <w:pStyle w:val="Odstavecseseznamem"/>
        <w:numPr>
          <w:ilvl w:val="0"/>
          <w:numId w:val="46"/>
        </w:numPr>
        <w:ind w:left="993" w:hanging="283"/>
        <w:rPr>
          <w:b/>
          <w:bCs/>
        </w:rPr>
      </w:pPr>
      <w:r w:rsidRPr="00BD6FC2">
        <w:rPr>
          <w:b/>
          <w:bCs/>
        </w:rPr>
        <w:t>RB</w:t>
      </w:r>
      <w:r>
        <w:rPr>
          <w:b/>
          <w:bCs/>
        </w:rPr>
        <w:t xml:space="preserve">K90 </w:t>
      </w:r>
      <w:r w:rsidRPr="00BD6FC2">
        <w:t xml:space="preserve">– </w:t>
      </w:r>
      <w:r w:rsidRPr="00705947">
        <w:t>mezofilní bučinné</w:t>
      </w:r>
      <w:r w:rsidR="00794A30">
        <w:t>.</w:t>
      </w:r>
    </w:p>
    <w:p w14:paraId="559D4AF8" w14:textId="25FA77F8" w:rsidR="00945FDE" w:rsidRDefault="00945FDE" w:rsidP="00945FDE">
      <w:r>
        <w:t>RBK90 je upřesněn RBK 1516 včetně vložených lokálních biocenter.</w:t>
      </w:r>
    </w:p>
    <w:p w14:paraId="08475E85" w14:textId="202BEF2C" w:rsidR="007418A1" w:rsidRDefault="007418A1" w:rsidP="007418A1">
      <w:pPr>
        <w:pStyle w:val="Nadpis3"/>
      </w:pPr>
      <w:bookmarkStart w:id="55" w:name="_Toc232612604"/>
      <w:r>
        <w:t>Plochy pro těžbu nerostů</w:t>
      </w:r>
      <w:bookmarkEnd w:id="55"/>
    </w:p>
    <w:p w14:paraId="50CFCB11" w14:textId="5DDCA6F0" w:rsidR="007418A1" w:rsidRDefault="007418A1">
      <w:pPr>
        <w:pStyle w:val="normalni-cisla"/>
        <w:numPr>
          <w:ilvl w:val="0"/>
          <w:numId w:val="65"/>
        </w:numPr>
        <w:ind w:left="709"/>
      </w:pPr>
      <w:r>
        <w:t>ZÚR OK vymezuje ve správním území obce následující plochy pro těžbu nerostů:</w:t>
      </w:r>
    </w:p>
    <w:p w14:paraId="30314379" w14:textId="081BD9D4" w:rsidR="007418A1" w:rsidRDefault="007418A1">
      <w:pPr>
        <w:pStyle w:val="Odstavecseseznamem"/>
        <w:numPr>
          <w:ilvl w:val="0"/>
          <w:numId w:val="46"/>
        </w:numPr>
        <w:ind w:left="993" w:hanging="283"/>
      </w:pPr>
      <w:r w:rsidRPr="00BD6FC2">
        <w:rPr>
          <w:b/>
          <w:bCs/>
        </w:rPr>
        <w:t>LNS95</w:t>
      </w:r>
      <w:r>
        <w:t xml:space="preserve"> – lze využít v plném rozsahu – stávající lom Hrubá Voda</w:t>
      </w:r>
      <w:r w:rsidR="000A1248">
        <w:t>;</w:t>
      </w:r>
    </w:p>
    <w:p w14:paraId="3EAD854D" w14:textId="7C13EA03" w:rsidR="007418A1" w:rsidRDefault="007418A1">
      <w:pPr>
        <w:pStyle w:val="Odstavecseseznamem"/>
        <w:numPr>
          <w:ilvl w:val="0"/>
          <w:numId w:val="46"/>
        </w:numPr>
        <w:ind w:left="993" w:hanging="283"/>
      </w:pPr>
      <w:r w:rsidRPr="00BD6FC2">
        <w:rPr>
          <w:b/>
          <w:bCs/>
        </w:rPr>
        <w:t xml:space="preserve">LNS179 </w:t>
      </w:r>
      <w:r>
        <w:t xml:space="preserve">– nelze využít komplexně </w:t>
      </w:r>
      <w:r w:rsidRPr="007418A1">
        <w:t>(je zásadně dotčen limity ochrany přírody a dílčích složek na ŽP, v současné době převažují zákonem chráněné zájmy o dílčích složkách ŽP nad zájmem využití ložiska)</w:t>
      </w:r>
      <w:r>
        <w:t xml:space="preserve"> – bez dopadu na řešení územního plánu</w:t>
      </w:r>
      <w:r w:rsidR="00632714">
        <w:t>.</w:t>
      </w:r>
    </w:p>
    <w:p w14:paraId="6135D3CF" w14:textId="5A192A50" w:rsidR="007672F8" w:rsidRDefault="007672F8" w:rsidP="007672F8">
      <w:pPr>
        <w:pStyle w:val="Nadpis3"/>
      </w:pPr>
      <w:bookmarkStart w:id="56" w:name="_Toc232612605"/>
      <w:r>
        <w:t>Veřejně prospěšné stavby a opatření</w:t>
      </w:r>
      <w:bookmarkEnd w:id="56"/>
    </w:p>
    <w:p w14:paraId="7BEFA1AE" w14:textId="785CD3BD" w:rsidR="007672F8" w:rsidRDefault="007672F8">
      <w:pPr>
        <w:pStyle w:val="normalni-cisla"/>
        <w:numPr>
          <w:ilvl w:val="0"/>
          <w:numId w:val="66"/>
        </w:numPr>
        <w:ind w:left="709"/>
      </w:pPr>
      <w:r>
        <w:t>ZÚR OK vymezuje ve správním území obce následující veřejně prospěšné stavby a opatření:</w:t>
      </w:r>
    </w:p>
    <w:p w14:paraId="12EDE87C" w14:textId="1012AD74" w:rsidR="00945FDE" w:rsidRPr="00BD6FC2" w:rsidRDefault="00945FDE">
      <w:pPr>
        <w:pStyle w:val="Odstavecseseznamem"/>
        <w:numPr>
          <w:ilvl w:val="0"/>
          <w:numId w:val="46"/>
        </w:numPr>
        <w:ind w:left="993" w:hanging="283"/>
        <w:rPr>
          <w:b/>
          <w:bCs/>
        </w:rPr>
      </w:pPr>
      <w:r w:rsidRPr="00BD6FC2">
        <w:rPr>
          <w:b/>
          <w:bCs/>
        </w:rPr>
        <w:t xml:space="preserve">DD7 </w:t>
      </w:r>
      <w:r w:rsidRPr="00BD6FC2">
        <w:t xml:space="preserve">– železniční trať č.310 Olomouc – </w:t>
      </w:r>
      <w:r w:rsidR="00FB0B53" w:rsidRPr="00BD6FC2">
        <w:t>Opava – revitalizace</w:t>
      </w:r>
      <w:r w:rsidRPr="00BD6FC2">
        <w:t xml:space="preserve"> trati</w:t>
      </w:r>
      <w:r>
        <w:t xml:space="preserve"> </w:t>
      </w:r>
    </w:p>
    <w:p w14:paraId="4BFC85BC" w14:textId="2E0F55DE" w:rsidR="00945FDE" w:rsidRDefault="00945FDE" w:rsidP="00945FDE">
      <w:pPr>
        <w:ind w:left="710"/>
      </w:pPr>
      <w:r>
        <w:t>Koridor je upřesněn stabilizovanými plochami dopravy drážní (DD) tak, aby byl minimalizován dopad na stabilizované plochy zastavěného území obce, které jsou dotčeny průchodem železniční trati. Z tohoto důvodu není stabilizovaná plocha DD vymezena jako veřejně prospěšná stavba.</w:t>
      </w:r>
    </w:p>
    <w:p w14:paraId="081525C0" w14:textId="02876BDB" w:rsidR="00105E8C" w:rsidRPr="00105E8C" w:rsidRDefault="00105E8C">
      <w:pPr>
        <w:pStyle w:val="Odstavecseseznamem"/>
        <w:numPr>
          <w:ilvl w:val="0"/>
          <w:numId w:val="46"/>
        </w:numPr>
        <w:ind w:left="993" w:hanging="283"/>
        <w:rPr>
          <w:b/>
          <w:bCs/>
        </w:rPr>
      </w:pPr>
      <w:r w:rsidRPr="00105E8C">
        <w:rPr>
          <w:b/>
          <w:bCs/>
        </w:rPr>
        <w:t>plochy a koridory ÚSES</w:t>
      </w:r>
      <w:r>
        <w:t xml:space="preserve"> viz kap. IV.c/5</w:t>
      </w:r>
    </w:p>
    <w:p w14:paraId="0922EDE0" w14:textId="681B99D7" w:rsidR="00105E8C" w:rsidRDefault="00105E8C" w:rsidP="00105E8C">
      <w:pPr>
        <w:ind w:left="710"/>
      </w:pPr>
      <w:r w:rsidRPr="00105E8C">
        <w:t>V souladu s</w:t>
      </w:r>
      <w:r>
        <w:t> ustanovením ZÚR OK, kap. 87.1 jsou jako veřejně prospěšná opatření vymezeny ty části ÚSES, které nejsou funkční, resp. návrhové:</w:t>
      </w:r>
    </w:p>
    <w:p w14:paraId="75C63160" w14:textId="50BC3BA8" w:rsidR="00105E8C" w:rsidRPr="00CB1483" w:rsidRDefault="00105E8C">
      <w:pPr>
        <w:pStyle w:val="Odstavecseseznamem"/>
        <w:numPr>
          <w:ilvl w:val="0"/>
          <w:numId w:val="47"/>
        </w:numPr>
        <w:ind w:left="1134"/>
        <w:contextualSpacing w:val="0"/>
      </w:pPr>
      <w:r w:rsidRPr="004E5AC0">
        <w:rPr>
          <w:b/>
        </w:rPr>
        <w:t>VU.1</w:t>
      </w:r>
      <w:r w:rsidRPr="00CB1483">
        <w:t xml:space="preserve"> - regionální biokoridor ÚSES RBK 1518v</w:t>
      </w:r>
      <w:r>
        <w:t xml:space="preserve"> – RBK94</w:t>
      </w:r>
      <w:r w:rsidR="005A1D71">
        <w:t>;</w:t>
      </w:r>
    </w:p>
    <w:p w14:paraId="72EF5E77" w14:textId="215B9051" w:rsidR="00105E8C" w:rsidRPr="00105E8C" w:rsidRDefault="00105E8C">
      <w:pPr>
        <w:pStyle w:val="Odstavecseseznamem"/>
        <w:numPr>
          <w:ilvl w:val="0"/>
          <w:numId w:val="47"/>
        </w:numPr>
        <w:ind w:left="1134"/>
        <w:contextualSpacing w:val="0"/>
        <w:rPr>
          <w:b/>
        </w:rPr>
      </w:pPr>
      <w:r w:rsidRPr="004E5AC0">
        <w:rPr>
          <w:b/>
        </w:rPr>
        <w:t>VU.2</w:t>
      </w:r>
      <w:r w:rsidRPr="00105E8C">
        <w:rPr>
          <w:bCs/>
        </w:rPr>
        <w:t xml:space="preserve"> – regionální biokoridor ÚSES RBK 1519</w:t>
      </w:r>
      <w:r>
        <w:rPr>
          <w:bCs/>
        </w:rPr>
        <w:t xml:space="preserve"> – RBK95</w:t>
      </w:r>
      <w:r w:rsidR="005A1D71">
        <w:rPr>
          <w:bCs/>
        </w:rPr>
        <w:t>.</w:t>
      </w:r>
    </w:p>
    <w:p w14:paraId="4239EE21" w14:textId="43712F3F" w:rsidR="004059E1" w:rsidRPr="00040C21" w:rsidRDefault="004059E1">
      <w:pPr>
        <w:ind w:left="0"/>
        <w:rPr>
          <w:rFonts w:asciiTheme="minorHAnsi" w:hAnsiTheme="minorHAnsi" w:cstheme="minorHAnsi"/>
          <w:bCs/>
          <w:szCs w:val="18"/>
        </w:rPr>
      </w:pPr>
      <w:r w:rsidRPr="00040C21">
        <w:rPr>
          <w:rFonts w:asciiTheme="minorHAnsi" w:hAnsiTheme="minorHAnsi" w:cstheme="minorHAnsi"/>
          <w:bCs/>
          <w:szCs w:val="18"/>
        </w:rPr>
        <w:br w:type="page"/>
      </w:r>
    </w:p>
    <w:p w14:paraId="4B201A3B" w14:textId="77777777" w:rsidR="00E4543A" w:rsidRPr="00040C21" w:rsidRDefault="00E4543A" w:rsidP="00E4543A">
      <w:pPr>
        <w:pStyle w:val="Nadpis1"/>
      </w:pPr>
      <w:bookmarkStart w:id="57" w:name="_Toc202844455"/>
      <w:bookmarkStart w:id="58" w:name="_Toc210713019"/>
      <w:bookmarkStart w:id="59" w:name="_Toc213947226"/>
      <w:bookmarkStart w:id="60" w:name="_Toc214308133"/>
      <w:bookmarkStart w:id="61" w:name="_Toc232612606"/>
      <w:bookmarkEnd w:id="57"/>
      <w:bookmarkEnd w:id="58"/>
      <w:r>
        <w:lastRenderedPageBreak/>
        <w:t>V</w:t>
      </w:r>
      <w:r w:rsidRPr="00D35278">
        <w:t>yhodnocení souladu se zadáním</w:t>
      </w:r>
      <w:bookmarkEnd w:id="59"/>
      <w:bookmarkEnd w:id="60"/>
      <w:bookmarkEnd w:id="61"/>
    </w:p>
    <w:p w14:paraId="78C4E261" w14:textId="31176D00" w:rsidR="00E4543A" w:rsidRDefault="00504394" w:rsidP="00E4543A">
      <w:pPr>
        <w:pStyle w:val="Nadpis2"/>
      </w:pPr>
      <w:bookmarkStart w:id="62" w:name="_Toc232612607"/>
      <w:r>
        <w:t>P</w:t>
      </w:r>
      <w:r w:rsidR="00E4543A" w:rsidRPr="00E4543A">
        <w:t>ožadavky na základní koncepci rozvoje území obce</w:t>
      </w:r>
      <w:bookmarkEnd w:id="62"/>
    </w:p>
    <w:p w14:paraId="2A92B339" w14:textId="6514E600" w:rsidR="00E4543A" w:rsidRPr="00244C40" w:rsidRDefault="00E4543A" w:rsidP="00E4543A">
      <w:pPr>
        <w:rPr>
          <w:i/>
          <w:iCs/>
        </w:rPr>
      </w:pPr>
      <w:r w:rsidRPr="00244C40">
        <w:rPr>
          <w:i/>
          <w:iCs/>
        </w:rPr>
        <w:t>Při zpracování Územního plánu Hlubočky respektovat Politiku územního rozvoje České republiky (PÚR ČR), schválenou Vládou ČR usnesením č. 929 dne 20.7.2009</w:t>
      </w:r>
      <w:r w:rsidR="00981C5C" w:rsidRPr="00244C40">
        <w:rPr>
          <w:i/>
          <w:iCs/>
        </w:rPr>
        <w:t xml:space="preserve">, ve znění </w:t>
      </w:r>
      <w:r w:rsidRPr="00244C40">
        <w:rPr>
          <w:i/>
          <w:iCs/>
        </w:rPr>
        <w:t xml:space="preserve">Aktualizace č. </w:t>
      </w:r>
      <w:r w:rsidR="00981C5C" w:rsidRPr="00244C40">
        <w:rPr>
          <w:i/>
          <w:iCs/>
        </w:rPr>
        <w:t>8</w:t>
      </w:r>
      <w:r w:rsidRPr="00244C40">
        <w:rPr>
          <w:i/>
          <w:iCs/>
        </w:rPr>
        <w:t xml:space="preserve"> závazném od 01.</w:t>
      </w:r>
      <w:r w:rsidR="00981C5C" w:rsidRPr="00244C40">
        <w:rPr>
          <w:i/>
          <w:iCs/>
        </w:rPr>
        <w:t>10</w:t>
      </w:r>
      <w:r w:rsidRPr="00244C40">
        <w:rPr>
          <w:i/>
          <w:iCs/>
        </w:rPr>
        <w:t>.202</w:t>
      </w:r>
      <w:r w:rsidR="00981C5C" w:rsidRPr="00244C40">
        <w:rPr>
          <w:i/>
          <w:iCs/>
        </w:rPr>
        <w:t>5</w:t>
      </w:r>
      <w:r w:rsidRPr="00244C40">
        <w:rPr>
          <w:i/>
          <w:iCs/>
        </w:rPr>
        <w:t>, podle které spadá obec Hlubočky do rozvojové oblasti OB8 Olomouc, která je charakterizována silnou koncentrací obyvatelstva a koncentrací ekonomických činností s republikovým významem. Jedná se o území ovlivněné rozvojovou dynamikou krajského města Olomouce.</w:t>
      </w:r>
    </w:p>
    <w:p w14:paraId="61D0A2CD" w14:textId="111B48BC" w:rsidR="00E4543A" w:rsidRPr="00244C40" w:rsidRDefault="00E4543A" w:rsidP="00E4543A">
      <w:pPr>
        <w:rPr>
          <w:i/>
          <w:iCs/>
        </w:rPr>
      </w:pPr>
      <w:r w:rsidRPr="00244C40">
        <w:rPr>
          <w:i/>
          <w:iCs/>
        </w:rPr>
        <w:t>Území obce Hlubočky je součástí území řešeného Zásadami územního rozvoje Olomouckého kraje (ZÚR OK), vydanými Zastupitelstvem Olomouckého kraje dne 22.2.2008 (opatření obecné povahy, kterým byly ZÚR OK vydány, nabylo účinnosti dne 28.3.2008), Aktualizace č. 1 nabyla účinnosti dne 14.07.2011, Aktualizace č.</w:t>
      </w:r>
      <w:r w:rsidR="00013E2C" w:rsidRPr="00244C40">
        <w:rPr>
          <w:i/>
          <w:iCs/>
        </w:rPr>
        <w:t> </w:t>
      </w:r>
      <w:r w:rsidRPr="00244C40">
        <w:rPr>
          <w:i/>
          <w:iCs/>
        </w:rPr>
        <w:t>2b nabyla účinnosti dne 19.05.2017, Aktualizace č. 3 nabyla účinnosti dne 19.03.2019, Aktualizace č. 2a nabyla účinnosti dne 15.11.2019, Aktualizace č. 4 nabyla účinnosti dne 27.02.2022 a Aktualizace č. 5 nabyla účinnosti dne 22.10.2022</w:t>
      </w:r>
      <w:r w:rsidR="00375839" w:rsidRPr="00244C40">
        <w:rPr>
          <w:i/>
          <w:iCs/>
        </w:rPr>
        <w:t xml:space="preserve">  a Změna č. 7 ZÚR OK nabyla účinnosti dne 31. 12. 2025</w:t>
      </w:r>
      <w:r w:rsidRPr="00244C40">
        <w:rPr>
          <w:i/>
          <w:iCs/>
        </w:rPr>
        <w:t>.</w:t>
      </w:r>
    </w:p>
    <w:p w14:paraId="1F58E52E" w14:textId="70C86C67" w:rsidR="00D82587" w:rsidRPr="00244C40" w:rsidRDefault="00E4543A" w:rsidP="00D82587">
      <w:pPr>
        <w:rPr>
          <w:i/>
          <w:iCs/>
        </w:rPr>
      </w:pPr>
      <w:r w:rsidRPr="00244C40">
        <w:rPr>
          <w:i/>
          <w:iCs/>
        </w:rPr>
        <w:t>Územně analytické podklady ORP Olomouc, pod kterou obec Hlubočky spadá, byly pořízeny v roce 2008, v</w:t>
      </w:r>
      <w:r w:rsidR="00D82587" w:rsidRPr="00244C40">
        <w:rPr>
          <w:i/>
          <w:iCs/>
        </w:rPr>
        <w:t> </w:t>
      </w:r>
      <w:r w:rsidRPr="00244C40">
        <w:rPr>
          <w:i/>
          <w:iCs/>
        </w:rPr>
        <w:t xml:space="preserve">současné době je platná jejich </w:t>
      </w:r>
      <w:r w:rsidR="00D82587" w:rsidRPr="00244C40">
        <w:rPr>
          <w:i/>
          <w:iCs/>
        </w:rPr>
        <w:t>7</w:t>
      </w:r>
      <w:r w:rsidRPr="00244C40">
        <w:rPr>
          <w:i/>
          <w:iCs/>
        </w:rPr>
        <w:t>. úplná aktualizace, která proběhla v roce 202</w:t>
      </w:r>
      <w:r w:rsidR="00D82587" w:rsidRPr="00244C40">
        <w:rPr>
          <w:i/>
          <w:iCs/>
        </w:rPr>
        <w:t>5</w:t>
      </w:r>
      <w:r w:rsidRPr="00244C40">
        <w:rPr>
          <w:i/>
          <w:iCs/>
        </w:rPr>
        <w:t>.</w:t>
      </w:r>
      <w:r w:rsidR="00D82587" w:rsidRPr="00244C40">
        <w:rPr>
          <w:i/>
          <w:iCs/>
        </w:rPr>
        <w:t xml:space="preserve"> </w:t>
      </w:r>
    </w:p>
    <w:p w14:paraId="65541341" w14:textId="65739CF2" w:rsidR="00D82587" w:rsidRPr="00244C40" w:rsidRDefault="00D82587" w:rsidP="00D82587">
      <w:pPr>
        <w:rPr>
          <w:i/>
          <w:iCs/>
        </w:rPr>
      </w:pPr>
      <w:r w:rsidRPr="00244C40">
        <w:rPr>
          <w:i/>
          <w:iCs/>
        </w:rPr>
        <w:t>Dle Územně analytických podkladů ORP Olomouc je třeba:</w:t>
      </w:r>
    </w:p>
    <w:p w14:paraId="1EF9F64B" w14:textId="305CD374" w:rsidR="00D82587" w:rsidRPr="00244C40" w:rsidRDefault="00D82587">
      <w:pPr>
        <w:pStyle w:val="Odstavecseseznamem"/>
        <w:numPr>
          <w:ilvl w:val="0"/>
          <w:numId w:val="48"/>
        </w:numPr>
        <w:ind w:left="709"/>
        <w:rPr>
          <w:i/>
          <w:iCs/>
        </w:rPr>
      </w:pPr>
      <w:r w:rsidRPr="00244C40">
        <w:rPr>
          <w:i/>
          <w:iCs/>
        </w:rPr>
        <w:t>respektovat krajinný ráz přírodního parku Údolí Bystřice.</w:t>
      </w:r>
    </w:p>
    <w:p w14:paraId="766A4E45" w14:textId="23D63F6D" w:rsidR="00D82587" w:rsidRPr="00244C40" w:rsidRDefault="00D82587">
      <w:pPr>
        <w:pStyle w:val="Odstavecseseznamem"/>
        <w:numPr>
          <w:ilvl w:val="0"/>
          <w:numId w:val="48"/>
        </w:numPr>
        <w:ind w:left="709"/>
        <w:rPr>
          <w:i/>
          <w:iCs/>
        </w:rPr>
      </w:pPr>
      <w:r w:rsidRPr="00244C40">
        <w:rPr>
          <w:i/>
          <w:iCs/>
        </w:rPr>
        <w:t>prověřit návaznost ÚSES při hranicích obce. Respektovat Plán ÚSES ORP Olomouc.</w:t>
      </w:r>
    </w:p>
    <w:p w14:paraId="6749A1A7" w14:textId="158F7C5C" w:rsidR="00D82587" w:rsidRPr="00244C40" w:rsidRDefault="00D82587">
      <w:pPr>
        <w:pStyle w:val="Odstavecseseznamem"/>
        <w:numPr>
          <w:ilvl w:val="0"/>
          <w:numId w:val="48"/>
        </w:numPr>
        <w:ind w:left="709"/>
        <w:rPr>
          <w:i/>
          <w:iCs/>
        </w:rPr>
      </w:pPr>
      <w:r w:rsidRPr="00244C40">
        <w:rPr>
          <w:i/>
          <w:iCs/>
        </w:rPr>
        <w:t>nerozšiřovat plochy pro chatové kolonie.</w:t>
      </w:r>
    </w:p>
    <w:p w14:paraId="278A36A7" w14:textId="45504FDC" w:rsidR="00E4543A" w:rsidRPr="00244C40" w:rsidRDefault="00D82587">
      <w:pPr>
        <w:pStyle w:val="Odstavecseseznamem"/>
        <w:numPr>
          <w:ilvl w:val="0"/>
          <w:numId w:val="48"/>
        </w:numPr>
        <w:ind w:left="709"/>
        <w:rPr>
          <w:i/>
          <w:iCs/>
        </w:rPr>
      </w:pPr>
      <w:r w:rsidRPr="00244C40">
        <w:rPr>
          <w:i/>
          <w:iCs/>
        </w:rPr>
        <w:t>vytvořit podmínky pro realizaci drobných protipovodňových opatření.</w:t>
      </w:r>
    </w:p>
    <w:p w14:paraId="1B0D624A" w14:textId="77777777" w:rsidR="00D82587" w:rsidRDefault="00D82587" w:rsidP="00D82587">
      <w:pPr>
        <w:pStyle w:val="Odstavecseseznamem"/>
        <w:ind w:left="709"/>
      </w:pPr>
    </w:p>
    <w:p w14:paraId="7934B580" w14:textId="487E78F6" w:rsidR="00D82587" w:rsidRDefault="00D82587" w:rsidP="00D82587">
      <w:pPr>
        <w:pStyle w:val="Odstavecseseznamem"/>
        <w:ind w:left="709"/>
      </w:pPr>
      <w:r>
        <w:t>Územní plán je v souladu s Politikou územního rozvoje ČR, Zásadami územního rozvoje Olomouckého kraje a Územně analytickými podklady Olomouckého kraje</w:t>
      </w:r>
      <w:r w:rsidR="00C12603">
        <w:t xml:space="preserve"> v platném znění.</w:t>
      </w:r>
    </w:p>
    <w:p w14:paraId="4A5AC1DF" w14:textId="01B1CADC" w:rsidR="00E4543A" w:rsidRDefault="00504394" w:rsidP="00E4543A">
      <w:pPr>
        <w:pStyle w:val="Nadpis3"/>
      </w:pPr>
      <w:bookmarkStart w:id="63" w:name="_Toc232612608"/>
      <w:r>
        <w:t>P</w:t>
      </w:r>
      <w:r w:rsidR="00E4543A" w:rsidRPr="00E4543A">
        <w:t>ožadavky na urbanistickou koncepci</w:t>
      </w:r>
      <w:r w:rsidR="00947BE8">
        <w:t>,</w:t>
      </w:r>
      <w:bookmarkEnd w:id="63"/>
    </w:p>
    <w:p w14:paraId="1ED1A24D" w14:textId="641E41BE" w:rsidR="00E4543A" w:rsidRDefault="00E4543A" w:rsidP="00E4543A">
      <w:r w:rsidRPr="00E4543A">
        <w:t>zejména na prověření plošného a prostorového uspořádání zastavěného území a na prověření možných změn, včetně vymezení zastavitelných ploch</w:t>
      </w:r>
      <w:r>
        <w:t>.</w:t>
      </w:r>
    </w:p>
    <w:p w14:paraId="5420DE06" w14:textId="77777777" w:rsidR="00E4543A" w:rsidRPr="00514C76" w:rsidRDefault="00E4543A" w:rsidP="00E4543A">
      <w:pPr>
        <w:rPr>
          <w:i/>
          <w:iCs/>
          <w:u w:val="single"/>
        </w:rPr>
      </w:pPr>
      <w:r w:rsidRPr="00514C76">
        <w:rPr>
          <w:i/>
          <w:iCs/>
          <w:u w:val="single"/>
        </w:rPr>
        <w:t xml:space="preserve">Z uvedené </w:t>
      </w:r>
      <w:r w:rsidRPr="00514C76">
        <w:rPr>
          <w:b/>
          <w:bCs/>
          <w:i/>
          <w:iCs/>
          <w:u w:val="single"/>
        </w:rPr>
        <w:t xml:space="preserve">PÚR ČR </w:t>
      </w:r>
      <w:r w:rsidRPr="00514C76">
        <w:rPr>
          <w:i/>
          <w:iCs/>
          <w:u w:val="single"/>
        </w:rPr>
        <w:t xml:space="preserve">budou respektovány mimo jiné tyto </w:t>
      </w:r>
      <w:r w:rsidRPr="00514C76">
        <w:rPr>
          <w:b/>
          <w:bCs/>
          <w:i/>
          <w:iCs/>
          <w:u w:val="single"/>
        </w:rPr>
        <w:t>republikové priority</w:t>
      </w:r>
      <w:r w:rsidRPr="00514C76">
        <w:rPr>
          <w:i/>
          <w:iCs/>
          <w:u w:val="single"/>
        </w:rPr>
        <w:t xml:space="preserve">: </w:t>
      </w:r>
    </w:p>
    <w:p w14:paraId="0BF268CB" w14:textId="7A080ABF" w:rsidR="00E4543A" w:rsidRPr="00244C40" w:rsidRDefault="00E4543A">
      <w:pPr>
        <w:pStyle w:val="Odstavecseseznamem"/>
        <w:numPr>
          <w:ilvl w:val="0"/>
          <w:numId w:val="18"/>
        </w:numPr>
        <w:ind w:left="709"/>
        <w:rPr>
          <w:i/>
          <w:iCs/>
        </w:rPr>
      </w:pPr>
      <w:r w:rsidRPr="00244C40">
        <w:rPr>
          <w:i/>
          <w:iCs/>
        </w:rPr>
        <w:t xml:space="preserve">Chránit a rozvíjet přírodní, civilizační a kulturní hodnoty území, včetně urbanistického, architektonického a archeologického dědictví. Zachovat ráz urbanistické struktury území, struktury osídlení a kulturní krajiny, které jsou výrazem identity území, jeho historie a tradice. (čl. 14) </w:t>
      </w:r>
    </w:p>
    <w:p w14:paraId="6DAAFAB3" w14:textId="5A43A9FC" w:rsidR="00E4543A" w:rsidRPr="00244C40" w:rsidRDefault="00E4543A">
      <w:pPr>
        <w:pStyle w:val="Odstavecseseznamem"/>
        <w:numPr>
          <w:ilvl w:val="0"/>
          <w:numId w:val="18"/>
        </w:numPr>
        <w:ind w:left="709"/>
        <w:rPr>
          <w:i/>
          <w:iCs/>
        </w:rPr>
      </w:pPr>
      <w:r w:rsidRPr="00244C40">
        <w:rPr>
          <w:i/>
          <w:iCs/>
        </w:rPr>
        <w:t xml:space="preserve">Předcházet prostorově sociální segregaci s negativními vlivy na sociální soudržnost území. (čl. 15) </w:t>
      </w:r>
    </w:p>
    <w:p w14:paraId="5360A5C1" w14:textId="6A2CFC13" w:rsidR="00E4543A" w:rsidRPr="00244C40" w:rsidRDefault="00E4543A">
      <w:pPr>
        <w:pStyle w:val="Odstavecseseznamem"/>
        <w:numPr>
          <w:ilvl w:val="0"/>
          <w:numId w:val="18"/>
        </w:numPr>
        <w:ind w:left="709"/>
        <w:rPr>
          <w:i/>
          <w:iCs/>
        </w:rPr>
      </w:pPr>
      <w:r w:rsidRPr="00244C40">
        <w:rPr>
          <w:i/>
          <w:iCs/>
        </w:rPr>
        <w:t xml:space="preserve">Při stanovování způsobu využití území v územně plánovací dokumentaci dávat přednost komplexním řešením před uplatňováním jednostranných hledisek a požadavků, které ve svých důsledcích zhoršují stav i hodnoty území. (čl. 16) </w:t>
      </w:r>
    </w:p>
    <w:p w14:paraId="3DC3B95A" w14:textId="5DC8F81F" w:rsidR="00E4543A" w:rsidRPr="00244C40" w:rsidRDefault="00E4543A">
      <w:pPr>
        <w:pStyle w:val="Odstavecseseznamem"/>
        <w:numPr>
          <w:ilvl w:val="0"/>
          <w:numId w:val="18"/>
        </w:numPr>
        <w:ind w:left="709"/>
        <w:rPr>
          <w:i/>
          <w:iCs/>
        </w:rPr>
      </w:pPr>
      <w:r w:rsidRPr="00244C40">
        <w:rPr>
          <w:i/>
          <w:iCs/>
        </w:rPr>
        <w:t xml:space="preserve">Hospodárně využívat zastavěné území (podpora přestaveb revitalizací a sanací území) a zajistit ochranu nezastavěného území (zejména zemědělské a lesní půdy) a zachování veřejné zeleně. (čl. 19) </w:t>
      </w:r>
    </w:p>
    <w:p w14:paraId="18AA7C2D" w14:textId="167B6BD7" w:rsidR="00E4543A" w:rsidRPr="00244C40" w:rsidRDefault="00E4543A">
      <w:pPr>
        <w:pStyle w:val="Odstavecseseznamem"/>
        <w:numPr>
          <w:ilvl w:val="0"/>
          <w:numId w:val="18"/>
        </w:numPr>
        <w:ind w:left="709"/>
        <w:rPr>
          <w:i/>
          <w:iCs/>
        </w:rPr>
      </w:pPr>
      <w:r w:rsidRPr="00244C40">
        <w:rPr>
          <w:i/>
          <w:iCs/>
        </w:rPr>
        <w:t xml:space="preserve">Vytvářet územní podmínky pro zajištění migrační propustnosti krajiny pro volně žijící živočichy a pro člověka, zejména při umísťování dopravní a technické infrastruktury a při vymezování ploch pro bydlení, občanskou vybavenost, výrobu a skladování. V rámci územně plánovací činnosti omezovat nežádoucí srůstání sídel s ohledem na zajištění přístupnosti a prostupnosti krajiny, uplatňovat integrované přístupy k předcházení a řešení environmentálních problémů. (čl. 20a) </w:t>
      </w:r>
    </w:p>
    <w:p w14:paraId="5F6A92F4" w14:textId="40565221" w:rsidR="00E4543A" w:rsidRPr="00244C40" w:rsidRDefault="00E4543A">
      <w:pPr>
        <w:pStyle w:val="Odstavecseseznamem"/>
        <w:numPr>
          <w:ilvl w:val="0"/>
          <w:numId w:val="18"/>
        </w:numPr>
        <w:ind w:left="709"/>
        <w:rPr>
          <w:i/>
          <w:iCs/>
        </w:rPr>
      </w:pPr>
      <w:r w:rsidRPr="00244C40">
        <w:rPr>
          <w:i/>
          <w:iCs/>
        </w:rPr>
        <w:t xml:space="preserve">Vytvářet podmínky pro rozvoj a využití předpokladů území pro různé formy cestovního ruchu (např. cykloturistika, pěší turistika), při zachování a rozvoji hodnot území. (čl. 22) </w:t>
      </w:r>
    </w:p>
    <w:p w14:paraId="169474DB" w14:textId="026048D2" w:rsidR="00E4543A" w:rsidRPr="00244C40" w:rsidRDefault="00E4543A">
      <w:pPr>
        <w:pStyle w:val="Odstavecseseznamem"/>
        <w:numPr>
          <w:ilvl w:val="0"/>
          <w:numId w:val="18"/>
        </w:numPr>
        <w:ind w:left="709"/>
        <w:rPr>
          <w:i/>
          <w:iCs/>
        </w:rPr>
      </w:pPr>
      <w:r w:rsidRPr="00244C40">
        <w:rPr>
          <w:i/>
          <w:iCs/>
        </w:rPr>
        <w:t xml:space="preserve">Vhodným uspořádáním ploch v území obcí vytvářet podmínky pro minimalizaci negativních vlivů koncentrované výrobní činnosti na bydlení. Vymezovat plochy pro novou obytnou zástavbu tak, aby byl zachován dostatečný odstup od průmyslových nebo zemědělských areálů. (čl. 24a) </w:t>
      </w:r>
    </w:p>
    <w:p w14:paraId="5A686AA6" w14:textId="68F19958" w:rsidR="00E4543A" w:rsidRDefault="00E4543A" w:rsidP="00E4543A">
      <w:r>
        <w:t xml:space="preserve">Řešení urbanistické koncepce </w:t>
      </w:r>
      <w:r w:rsidR="00244C40">
        <w:t>územního plánu</w:t>
      </w:r>
      <w:r>
        <w:t xml:space="preserve"> respektuje a naplňuje republikové priority PÚR.</w:t>
      </w:r>
      <w:r w:rsidR="00947BE8">
        <w:t xml:space="preserve"> Vyhodnocení souladu </w:t>
      </w:r>
      <w:r w:rsidR="00244C40">
        <w:t>územního plánu</w:t>
      </w:r>
      <w:r w:rsidR="00881E07">
        <w:t xml:space="preserve"> </w:t>
      </w:r>
      <w:r w:rsidR="00947BE8">
        <w:t>s PÚR je předmětem kap. IV.a</w:t>
      </w:r>
      <w:r w:rsidR="0011693D">
        <w:t>.</w:t>
      </w:r>
    </w:p>
    <w:p w14:paraId="5FDCBB66" w14:textId="77777777" w:rsidR="00244C40" w:rsidRPr="00514C76" w:rsidRDefault="00244C40" w:rsidP="00244C40">
      <w:pPr>
        <w:rPr>
          <w:i/>
          <w:iCs/>
          <w:u w:val="single"/>
        </w:rPr>
      </w:pPr>
      <w:r w:rsidRPr="00514C76">
        <w:rPr>
          <w:i/>
          <w:iCs/>
          <w:u w:val="single"/>
        </w:rPr>
        <w:t xml:space="preserve">Z uvedených </w:t>
      </w:r>
      <w:r w:rsidRPr="00514C76">
        <w:rPr>
          <w:b/>
          <w:bCs/>
          <w:i/>
          <w:iCs/>
          <w:u w:val="single"/>
        </w:rPr>
        <w:t xml:space="preserve">ZÚR OK </w:t>
      </w:r>
      <w:r w:rsidRPr="00514C76">
        <w:rPr>
          <w:i/>
          <w:iCs/>
          <w:u w:val="single"/>
        </w:rPr>
        <w:t>vyplývají pro řešení Územního plánu Hlubočky mimo jiné tyto požadavky:</w:t>
      </w:r>
    </w:p>
    <w:p w14:paraId="320E32B7" w14:textId="17DC6589" w:rsidR="00244C40" w:rsidRPr="00244C40" w:rsidRDefault="00244C40">
      <w:pPr>
        <w:pStyle w:val="Odstavecseseznamem"/>
        <w:numPr>
          <w:ilvl w:val="0"/>
          <w:numId w:val="18"/>
        </w:numPr>
        <w:ind w:left="709"/>
        <w:rPr>
          <w:i/>
          <w:iCs/>
        </w:rPr>
      </w:pPr>
      <w:r w:rsidRPr="00244C40">
        <w:rPr>
          <w:i/>
          <w:iCs/>
        </w:rPr>
        <w:t>Zachovat a rozvíjet současný stav polycentrického osídlení Olomouckého kraje. (odst. 3.2.1)</w:t>
      </w:r>
    </w:p>
    <w:p w14:paraId="056AD6CA" w14:textId="1195CABE" w:rsidR="00244C40" w:rsidRPr="00244C40" w:rsidRDefault="00244C40">
      <w:pPr>
        <w:pStyle w:val="Odstavecseseznamem"/>
        <w:numPr>
          <w:ilvl w:val="0"/>
          <w:numId w:val="18"/>
        </w:numPr>
        <w:ind w:left="709"/>
        <w:rPr>
          <w:i/>
          <w:iCs/>
        </w:rPr>
      </w:pPr>
      <w:r w:rsidRPr="00244C40">
        <w:rPr>
          <w:i/>
          <w:iCs/>
        </w:rPr>
        <w:t>Plochy bydlení vymezovat s ohledem na posílení sociální soudržnosti obyvatel. Zamezovat územní segregaci obyvatel. (odst. 3.2.3)</w:t>
      </w:r>
    </w:p>
    <w:p w14:paraId="25548947" w14:textId="2453CEBA" w:rsidR="00244C40" w:rsidRPr="00244C40" w:rsidRDefault="00244C40">
      <w:pPr>
        <w:pStyle w:val="Odstavecseseznamem"/>
        <w:numPr>
          <w:ilvl w:val="0"/>
          <w:numId w:val="18"/>
        </w:numPr>
        <w:ind w:left="709"/>
        <w:rPr>
          <w:i/>
          <w:iCs/>
        </w:rPr>
      </w:pPr>
      <w:r w:rsidRPr="00244C40">
        <w:rPr>
          <w:i/>
          <w:iCs/>
        </w:rPr>
        <w:t>Chránit a rozvíjet přírodní, civilizační a kulturní hodnoty území, včetně urbanistického, architektonického a archeologického dědictví. (odst. 5.1)</w:t>
      </w:r>
    </w:p>
    <w:p w14:paraId="5B397B21" w14:textId="198B947A" w:rsidR="00244C40" w:rsidRPr="00244C40" w:rsidRDefault="00244C40">
      <w:pPr>
        <w:pStyle w:val="Odstavecseseznamem"/>
        <w:numPr>
          <w:ilvl w:val="0"/>
          <w:numId w:val="18"/>
        </w:numPr>
        <w:ind w:left="709"/>
        <w:rPr>
          <w:i/>
          <w:iCs/>
        </w:rPr>
      </w:pPr>
      <w:r w:rsidRPr="00244C40">
        <w:rPr>
          <w:i/>
          <w:iCs/>
        </w:rPr>
        <w:lastRenderedPageBreak/>
        <w:t>Vhodným uspořádáním ploch vytvářet podmínky pro minimalizaci negativních vlivů ploch s koncentrovanou výrobní činností na plochy bydlení. (odst. 5.4.1.1)</w:t>
      </w:r>
    </w:p>
    <w:p w14:paraId="47359667" w14:textId="427D6E2D" w:rsidR="00244C40" w:rsidRPr="00244C40" w:rsidRDefault="00244C40">
      <w:pPr>
        <w:pStyle w:val="Odstavecseseznamem"/>
        <w:numPr>
          <w:ilvl w:val="0"/>
          <w:numId w:val="18"/>
        </w:numPr>
        <w:ind w:left="709"/>
        <w:rPr>
          <w:i/>
          <w:iCs/>
        </w:rPr>
      </w:pPr>
      <w:r w:rsidRPr="00244C40">
        <w:rPr>
          <w:i/>
          <w:iCs/>
        </w:rPr>
        <w:t>Obec je součástí rekreačního krajinného celku RKC Olomoucko - východ. (odst. 73.3.4)</w:t>
      </w:r>
    </w:p>
    <w:p w14:paraId="07E4B918" w14:textId="61407D4E" w:rsidR="00244C40" w:rsidRPr="00244C40" w:rsidRDefault="00244C40">
      <w:pPr>
        <w:pStyle w:val="Odstavecseseznamem"/>
        <w:numPr>
          <w:ilvl w:val="0"/>
          <w:numId w:val="18"/>
        </w:numPr>
        <w:ind w:left="709"/>
        <w:rPr>
          <w:i/>
          <w:iCs/>
        </w:rPr>
      </w:pPr>
      <w:r w:rsidRPr="00244C40">
        <w:rPr>
          <w:i/>
          <w:iCs/>
        </w:rPr>
        <w:t>Respektovat zásady ochrany nemovitých kulturních památek a podmínky ochrany památkově chráněných území. (odst. 76)</w:t>
      </w:r>
    </w:p>
    <w:p w14:paraId="6C9D8C6E" w14:textId="1F0F6F13" w:rsidR="00244C40" w:rsidRPr="00244C40" w:rsidRDefault="00244C40">
      <w:pPr>
        <w:pStyle w:val="Odstavecseseznamem"/>
        <w:numPr>
          <w:ilvl w:val="0"/>
          <w:numId w:val="18"/>
        </w:numPr>
        <w:ind w:left="709"/>
        <w:rPr>
          <w:i/>
          <w:iCs/>
        </w:rPr>
      </w:pPr>
      <w:r w:rsidRPr="00244C40">
        <w:rPr>
          <w:i/>
          <w:iCs/>
        </w:rPr>
        <w:t>Obec je součástí kulturní krajinné oblasti svahy Nízkého Jeseníku. (odst. 77.9)</w:t>
      </w:r>
    </w:p>
    <w:p w14:paraId="6C7F19CE" w14:textId="0A2BB8A7" w:rsidR="00244C40" w:rsidRPr="00244C40" w:rsidRDefault="00244C40">
      <w:pPr>
        <w:pStyle w:val="Odstavecseseznamem"/>
        <w:numPr>
          <w:ilvl w:val="0"/>
          <w:numId w:val="18"/>
        </w:numPr>
        <w:ind w:left="709"/>
        <w:rPr>
          <w:i/>
          <w:iCs/>
        </w:rPr>
      </w:pPr>
      <w:r w:rsidRPr="00244C40">
        <w:rPr>
          <w:i/>
          <w:iCs/>
        </w:rPr>
        <w:t>Zachovat ráz urbanistické struktury území se specifickými hodnotami, jedinečné kulturní krajiny, které jsou výrazem identity území, jeho historie a tradice. (odst.90.1)</w:t>
      </w:r>
    </w:p>
    <w:p w14:paraId="7B572B69" w14:textId="7F275C46" w:rsidR="00244C40" w:rsidRPr="00244C40" w:rsidRDefault="00244C40">
      <w:pPr>
        <w:pStyle w:val="Odstavecseseznamem"/>
        <w:numPr>
          <w:ilvl w:val="0"/>
          <w:numId w:val="18"/>
        </w:numPr>
        <w:ind w:left="709"/>
        <w:rPr>
          <w:i/>
          <w:iCs/>
        </w:rPr>
      </w:pPr>
      <w:r w:rsidRPr="00244C40">
        <w:rPr>
          <w:i/>
          <w:iCs/>
        </w:rPr>
        <w:t>Nepodporovat vznik „satelitních" městeček mimo zastavěné území sídel a již založenou sídelní strukturu. (odst.90.4)</w:t>
      </w:r>
    </w:p>
    <w:p w14:paraId="016E2264" w14:textId="331683FA" w:rsidR="00244C40" w:rsidRPr="00244C40" w:rsidRDefault="00244C40">
      <w:pPr>
        <w:pStyle w:val="Odstavecseseznamem"/>
        <w:numPr>
          <w:ilvl w:val="0"/>
          <w:numId w:val="18"/>
        </w:numPr>
        <w:ind w:left="709"/>
        <w:rPr>
          <w:i/>
          <w:iCs/>
        </w:rPr>
      </w:pPr>
      <w:r w:rsidRPr="00244C40">
        <w:rPr>
          <w:i/>
          <w:iCs/>
        </w:rPr>
        <w:t>Změny v území provádět s ohledem na hospodárné využití zastavěného území, zejména existujících proluk v zástavbě a ploch nevyužitých. (odst. 91.1)</w:t>
      </w:r>
    </w:p>
    <w:p w14:paraId="5CAD16AC" w14:textId="693BB7E6" w:rsidR="00244C40" w:rsidRPr="00244C40" w:rsidRDefault="00244C40">
      <w:pPr>
        <w:pStyle w:val="Odstavecseseznamem"/>
        <w:numPr>
          <w:ilvl w:val="0"/>
          <w:numId w:val="18"/>
        </w:numPr>
        <w:ind w:left="709"/>
        <w:rPr>
          <w:i/>
          <w:iCs/>
        </w:rPr>
      </w:pPr>
      <w:r w:rsidRPr="00244C40">
        <w:rPr>
          <w:i/>
          <w:iCs/>
        </w:rPr>
        <w:t>Návrh ploch pro novou bytovou výstavbu stanovit přiměřeně s ohledem na očekávanou koupěschopnou poptávku v území obce a možnosti optimálního využití území. (odst. 91.3)</w:t>
      </w:r>
    </w:p>
    <w:p w14:paraId="428DD146" w14:textId="27117A86" w:rsidR="009067EB" w:rsidRPr="00244C40" w:rsidRDefault="00244C40">
      <w:pPr>
        <w:pStyle w:val="Odstavecseseznamem"/>
        <w:numPr>
          <w:ilvl w:val="0"/>
          <w:numId w:val="18"/>
        </w:numPr>
        <w:ind w:left="709"/>
        <w:rPr>
          <w:i/>
          <w:iCs/>
        </w:rPr>
      </w:pPr>
      <w:r w:rsidRPr="00244C40">
        <w:rPr>
          <w:i/>
          <w:iCs/>
        </w:rPr>
        <w:t>Řešit návaznosti na územně plánovací dokumentaci sousedních obcí: Olomouc, Velká Bystřice, Dolany Mrsklesy, Vojenský újezd Libavá, Jívová – především návaznosti dopravní a technické infrastruktury, územního systému ekologické stability a limitů využití území.</w:t>
      </w:r>
    </w:p>
    <w:p w14:paraId="6DA9FFDF" w14:textId="77777777" w:rsidR="00244C40" w:rsidRPr="00244C40" w:rsidRDefault="00244C40" w:rsidP="00244C40">
      <w:pPr>
        <w:pStyle w:val="Odstavecseseznamem"/>
        <w:ind w:left="709"/>
        <w:rPr>
          <w:i/>
          <w:iCs/>
        </w:rPr>
      </w:pPr>
    </w:p>
    <w:p w14:paraId="11DBCD6B" w14:textId="77777777" w:rsidR="00244C40" w:rsidRPr="00244C40" w:rsidRDefault="00244C40" w:rsidP="00244C40">
      <w:pPr>
        <w:pStyle w:val="Odstavecseseznamem"/>
        <w:ind w:left="709"/>
        <w:rPr>
          <w:i/>
          <w:iCs/>
        </w:rPr>
      </w:pPr>
      <w:r w:rsidRPr="00244C40">
        <w:rPr>
          <w:i/>
          <w:iCs/>
        </w:rPr>
        <w:t>Dále respektovat:</w:t>
      </w:r>
    </w:p>
    <w:p w14:paraId="3BE0A21B" w14:textId="38644010" w:rsidR="00244C40" w:rsidRPr="00244C40" w:rsidRDefault="00244C40" w:rsidP="00244C40">
      <w:pPr>
        <w:pStyle w:val="Odstavecseseznamem"/>
        <w:ind w:left="709"/>
        <w:rPr>
          <w:i/>
          <w:iCs/>
        </w:rPr>
      </w:pPr>
      <w:r w:rsidRPr="00244C40">
        <w:rPr>
          <w:i/>
          <w:iCs/>
        </w:rPr>
        <w:t>Program rozvoje územního obvodu Olomouckého kraje</w:t>
      </w:r>
    </w:p>
    <w:p w14:paraId="625C3B71" w14:textId="77777777" w:rsidR="00244C40" w:rsidRDefault="00244C40" w:rsidP="00244C40">
      <w:pPr>
        <w:pStyle w:val="Odstavecseseznamem"/>
        <w:ind w:left="709"/>
      </w:pPr>
    </w:p>
    <w:p w14:paraId="3B6A0C4E" w14:textId="715AB3C7" w:rsidR="00244C40" w:rsidRDefault="00244C40" w:rsidP="00244C40">
      <w:r>
        <w:t>Řešení urbanistické koncepce územního plánu respektuje a naplňuje požadavky ZÚR OK. Vyhodnocení souladu územního plánu se ZÚR OK je předmětem kap. IV.c.</w:t>
      </w:r>
    </w:p>
    <w:p w14:paraId="00E1C387" w14:textId="53DDC6B9" w:rsidR="00244C40" w:rsidRDefault="00244C40" w:rsidP="00244C40">
      <w:r>
        <w:t>Územní plán respektuje stávající krajinný ráz obce a jeho krajinného rámce, přírodního parku Údolí Bystřice. Územní plán nevymezuje plochy charakteru satelitní zástavby, podrobně vyhodnocuje stav využití návrhových ploch a případně upravuje jejich rozsah a využití. Územní plán upřednostňuje využití zastavěného území, proluk v zástavbě a transformačních ploch před záborem volné krajiny.</w:t>
      </w:r>
    </w:p>
    <w:p w14:paraId="4D1D58D5" w14:textId="038FC428" w:rsidR="00244C40" w:rsidRDefault="00244C40" w:rsidP="00244C40">
      <w:r>
        <w:t xml:space="preserve">Územní plán je koordinován s územními plány sousedních obcí – územním plánem </w:t>
      </w:r>
      <w:r w:rsidRPr="00244C40">
        <w:t>Olomouc, Velká Bystřice, Dolany</w:t>
      </w:r>
      <w:r>
        <w:t>,</w:t>
      </w:r>
      <w:r w:rsidRPr="00244C40">
        <w:t xml:space="preserve"> Mrsklesy, Vojenský újezd Libavá, Jívová – především návaznosti dopravní a technické infrastruktury, územního systému ekologické stability a limitů využití území</w:t>
      </w:r>
    </w:p>
    <w:p w14:paraId="18192341" w14:textId="787BC7B6" w:rsidR="005A0CA0" w:rsidRPr="00514C76" w:rsidRDefault="005A0CA0" w:rsidP="005A0CA0">
      <w:pPr>
        <w:rPr>
          <w:i/>
          <w:iCs/>
          <w:u w:val="single"/>
        </w:rPr>
      </w:pPr>
      <w:r w:rsidRPr="00514C76">
        <w:rPr>
          <w:i/>
          <w:iCs/>
          <w:u w:val="single"/>
        </w:rPr>
        <w:t xml:space="preserve">Z územně </w:t>
      </w:r>
      <w:r w:rsidRPr="00514C76">
        <w:rPr>
          <w:b/>
          <w:bCs/>
          <w:i/>
          <w:iCs/>
          <w:u w:val="single"/>
        </w:rPr>
        <w:t xml:space="preserve">analytických </w:t>
      </w:r>
      <w:r w:rsidRPr="00514C76">
        <w:rPr>
          <w:i/>
          <w:iCs/>
          <w:u w:val="single"/>
        </w:rPr>
        <w:t>podkladů vyplývají pro řešení Územního plánu Hlubočky následující požadavky:</w:t>
      </w:r>
    </w:p>
    <w:p w14:paraId="176A2625" w14:textId="77777777" w:rsidR="005A0CA0" w:rsidRPr="005A0CA0" w:rsidRDefault="005A0CA0">
      <w:pPr>
        <w:pStyle w:val="Odstavecseseznamem"/>
        <w:numPr>
          <w:ilvl w:val="0"/>
          <w:numId w:val="18"/>
        </w:numPr>
        <w:ind w:left="709"/>
        <w:rPr>
          <w:i/>
          <w:iCs/>
        </w:rPr>
      </w:pPr>
      <w:r w:rsidRPr="005A0CA0">
        <w:rPr>
          <w:i/>
          <w:iCs/>
        </w:rPr>
        <w:t>Nerozšiřovat plochy pro chatové kolonie.</w:t>
      </w:r>
    </w:p>
    <w:p w14:paraId="34EC2DC2" w14:textId="5E460F63" w:rsidR="00244C40" w:rsidRDefault="005A0CA0">
      <w:pPr>
        <w:pStyle w:val="Odstavecseseznamem"/>
        <w:numPr>
          <w:ilvl w:val="0"/>
          <w:numId w:val="18"/>
        </w:numPr>
        <w:ind w:left="709"/>
        <w:rPr>
          <w:i/>
          <w:iCs/>
        </w:rPr>
      </w:pPr>
      <w:r w:rsidRPr="005A0CA0">
        <w:rPr>
          <w:i/>
          <w:iCs/>
        </w:rPr>
        <w:t>Vytvořit podmínky pro realizaci drobných protipovodňových opatření.</w:t>
      </w:r>
    </w:p>
    <w:p w14:paraId="04639558" w14:textId="456F61C2" w:rsidR="005A0CA0" w:rsidRPr="005A0CA0" w:rsidRDefault="007A5C53" w:rsidP="005A0CA0">
      <w:r>
        <w:t xml:space="preserve">Územní plán stabilizuje stávající plochy chatových kolonií, nenavrhuje jejich rozšiřování a stanovuje podmínky jejich </w:t>
      </w:r>
      <w:r w:rsidR="00A25837">
        <w:t xml:space="preserve">využití a </w:t>
      </w:r>
      <w:r>
        <w:t>prostorového uspořádání</w:t>
      </w:r>
      <w:r w:rsidR="00A25837">
        <w:t xml:space="preserve"> tak, aby byl zachován jejich charakter a nebyly využívány pro rozvoj bydlení.</w:t>
      </w:r>
    </w:p>
    <w:p w14:paraId="6DCA16B0" w14:textId="5948D914" w:rsidR="005A0CA0" w:rsidRDefault="00AE3D63" w:rsidP="005A0CA0">
      <w:r>
        <w:t xml:space="preserve">Realizace protipovodňových opatření je přípustná ve všech plochách s rozdílným způsobem využití za podmínky, že </w:t>
      </w:r>
      <w:r w:rsidRPr="00FF5FBE">
        <w:t>nedojde k narušení charakteru a hodnot území a protipovodňová opatření budou v maximální možné míře řešena přírodně blízkým způsobem</w:t>
      </w:r>
      <w:r>
        <w:t>.</w:t>
      </w:r>
      <w:r w:rsidR="009E6DB9">
        <w:t xml:space="preserve"> Odtokové poměry v území jsou dále stabilizovány systéme krajinné zeleně a interakčních prvků.</w:t>
      </w:r>
    </w:p>
    <w:p w14:paraId="1550A446" w14:textId="77777777" w:rsidR="00166D50" w:rsidRPr="00166D50" w:rsidRDefault="00166D50" w:rsidP="00166D50">
      <w:pPr>
        <w:rPr>
          <w:i/>
          <w:iCs/>
          <w:u w:val="single"/>
        </w:rPr>
      </w:pPr>
      <w:r w:rsidRPr="00166D50">
        <w:rPr>
          <w:i/>
          <w:iCs/>
          <w:u w:val="single"/>
        </w:rPr>
        <w:t>Další požadavky:</w:t>
      </w:r>
    </w:p>
    <w:p w14:paraId="06B8F798" w14:textId="30F55115" w:rsidR="00166D50" w:rsidRDefault="00166D50">
      <w:pPr>
        <w:pStyle w:val="Odstavecseseznamem"/>
        <w:numPr>
          <w:ilvl w:val="0"/>
          <w:numId w:val="18"/>
        </w:numPr>
        <w:ind w:left="709"/>
        <w:rPr>
          <w:i/>
          <w:iCs/>
        </w:rPr>
      </w:pPr>
      <w:r w:rsidRPr="00D05F46">
        <w:rPr>
          <w:i/>
          <w:iCs/>
        </w:rPr>
        <w:t>Respektovat postavení obce ve struktuře osídlení s převládající funkcí obytnou, obslužnou, výrobní a</w:t>
      </w:r>
      <w:r w:rsidR="00D05F46">
        <w:rPr>
          <w:i/>
          <w:iCs/>
        </w:rPr>
        <w:t> </w:t>
      </w:r>
      <w:r w:rsidRPr="00D05F46">
        <w:rPr>
          <w:i/>
          <w:iCs/>
        </w:rPr>
        <w:t>rekreační s dobrými předpoklady pro rozvoj těchto funkcí.</w:t>
      </w:r>
    </w:p>
    <w:p w14:paraId="4BCA8DEC" w14:textId="4B48C7A2" w:rsidR="00D05F46" w:rsidRPr="00D05F46" w:rsidRDefault="00D05F46" w:rsidP="00D05F46">
      <w:r>
        <w:t>Územní plán stabilizuje charakter obce a chrání podrobnými podmínkami využití a prostorového uspořádání.</w:t>
      </w:r>
    </w:p>
    <w:p w14:paraId="57D000A9" w14:textId="7F0129F0" w:rsidR="00166D50" w:rsidRDefault="00166D50">
      <w:pPr>
        <w:pStyle w:val="Odstavecseseznamem"/>
        <w:numPr>
          <w:ilvl w:val="0"/>
          <w:numId w:val="18"/>
        </w:numPr>
        <w:ind w:left="709"/>
        <w:rPr>
          <w:i/>
          <w:iCs/>
        </w:rPr>
      </w:pPr>
      <w:r w:rsidRPr="00D05F46">
        <w:rPr>
          <w:i/>
          <w:iCs/>
        </w:rPr>
        <w:t>V územním plánu bude formulován budoucí rozvoj obce s cílem vytvoření harmonické obce všestranně atraktivní s ohledem na její celkový potenciál. Koncepce územního plánu bude tvořit soulad mezi rozvojem obce na jedné straně a zachováním kvalitní okolní nezastavěné krajiny na straně druhé. Je třeba zohlednit zejména její krajinný ráz a rekreační potenciál se zajištěním prostupnosti území pro nemotorovou dopravu. Prostupnost bude směrována i k plochám zeleně a ke všem vodním plochám a tokům v řešeném území.</w:t>
      </w:r>
    </w:p>
    <w:p w14:paraId="4B844AB0" w14:textId="410D2852" w:rsidR="00D05F46" w:rsidRPr="00D05F46" w:rsidRDefault="00D05F46" w:rsidP="00D05F46">
      <w:r>
        <w:t xml:space="preserve">Územní plán svou urbanistickou koncepcí (kap. c) stanovuje podmínky pro rozvoj rekreačního a krajinného potenciálu obce a harmonického zapojení zástavby do jejího krajinného rámce. </w:t>
      </w:r>
      <w:r w:rsidR="00A10A8E">
        <w:t>Rozsah a lokalizace rozvojových ploch je přizpůsobena harmonickému krajinnému obrazu obce. Významné rekreační trasy a propojení jsou koncepčně vymezeny jako cestní síť v krajině. Prostupnost sídla a krajiny je posilována řešení struktury veřejných prostranství s napojeními do krajiny.</w:t>
      </w:r>
    </w:p>
    <w:p w14:paraId="772078EB" w14:textId="1E55BBC3" w:rsidR="00166D50" w:rsidRDefault="00166D50">
      <w:pPr>
        <w:pStyle w:val="Odstavecseseznamem"/>
        <w:numPr>
          <w:ilvl w:val="0"/>
          <w:numId w:val="18"/>
        </w:numPr>
        <w:ind w:left="709"/>
        <w:rPr>
          <w:i/>
          <w:iCs/>
        </w:rPr>
      </w:pPr>
      <w:r w:rsidRPr="00D05F46">
        <w:rPr>
          <w:i/>
          <w:iCs/>
        </w:rPr>
        <w:t>Všechny plochy územního plánu budou vymezeny podle stávajícího nebo požadovaného způsobu využití s respektováním ochrany veřejných zájmů (ochrana přírodního a kulturního dědictví, civilizačních, architektonických a urbanistických hodnot).</w:t>
      </w:r>
    </w:p>
    <w:p w14:paraId="46470E5B" w14:textId="5C5D3D98" w:rsidR="00267007" w:rsidRPr="00267007" w:rsidRDefault="00267007" w:rsidP="00267007">
      <w:r>
        <w:lastRenderedPageBreak/>
        <w:t>Územní plán vymezuje chrání a rozvíjí polyfunkční charakter sídla s vyváženým podílem bydlení, občanského vybavení, služeb a ploch pro podnikatelskou činnost.</w:t>
      </w:r>
    </w:p>
    <w:p w14:paraId="29241766" w14:textId="6E734D0C" w:rsidR="00166D50" w:rsidRDefault="00166D50">
      <w:pPr>
        <w:pStyle w:val="Odstavecseseznamem"/>
        <w:numPr>
          <w:ilvl w:val="0"/>
          <w:numId w:val="18"/>
        </w:numPr>
        <w:ind w:left="709"/>
        <w:rPr>
          <w:i/>
          <w:iCs/>
        </w:rPr>
      </w:pPr>
      <w:r w:rsidRPr="00D05F46">
        <w:rPr>
          <w:i/>
          <w:iCs/>
        </w:rPr>
        <w:t>Rozvoj obce na nových plochách řešit zejména v návaznosti na stávající zástavbu a s ohledem na životní prostředí a ekologickou únosnost území s minimalizací zásahů do krajiny.</w:t>
      </w:r>
    </w:p>
    <w:p w14:paraId="6E4EBA88" w14:textId="613A590E" w:rsidR="00D15BC6" w:rsidRPr="00D15BC6" w:rsidRDefault="00DF1C78" w:rsidP="00D15BC6">
      <w:r>
        <w:t xml:space="preserve">Územní plán </w:t>
      </w:r>
      <w:r w:rsidR="00533574">
        <w:t>vymezuje</w:t>
      </w:r>
      <w:r>
        <w:t xml:space="preserve"> zastavitelné plochy vždy v návaznosti na zastavění území obce a minimalizuje tak zábor volné krajiny. Nevymezuje zastavitelné plochy na krajinných horizontech a soustředí je </w:t>
      </w:r>
      <w:r w:rsidR="002F130A">
        <w:t xml:space="preserve">přednostně </w:t>
      </w:r>
      <w:r>
        <w:t>v prostoru údolí Bystřice a na nižších polohách jeho svahů.</w:t>
      </w:r>
    </w:p>
    <w:p w14:paraId="3C9F2D8C" w14:textId="3C41F485" w:rsidR="00166D50" w:rsidRDefault="00166D50">
      <w:pPr>
        <w:pStyle w:val="Odstavecseseznamem"/>
        <w:numPr>
          <w:ilvl w:val="0"/>
          <w:numId w:val="18"/>
        </w:numPr>
        <w:ind w:left="709"/>
        <w:contextualSpacing w:val="0"/>
        <w:rPr>
          <w:i/>
          <w:iCs/>
        </w:rPr>
      </w:pPr>
      <w:r w:rsidRPr="00D05F46">
        <w:rPr>
          <w:i/>
          <w:iCs/>
        </w:rPr>
        <w:t>V územním plánu respektovat stávající plochy zeleně. V rozvojových plochách navrhnout další plochy zeleně pro zvýšení obytnosti prostoru.</w:t>
      </w:r>
    </w:p>
    <w:p w14:paraId="28938670" w14:textId="0C174E4F" w:rsidR="00166D50" w:rsidRDefault="00166D50">
      <w:pPr>
        <w:pStyle w:val="Odstavecseseznamem"/>
        <w:numPr>
          <w:ilvl w:val="0"/>
          <w:numId w:val="18"/>
        </w:numPr>
        <w:ind w:left="709"/>
        <w:contextualSpacing w:val="0"/>
        <w:rPr>
          <w:i/>
          <w:iCs/>
        </w:rPr>
      </w:pPr>
      <w:r w:rsidRPr="00D05F46">
        <w:rPr>
          <w:i/>
          <w:iCs/>
        </w:rPr>
        <w:t>Umožnit umístění zeleně v příslušné formě ve všech plochách a zvážit povinný podíl zeleně</w:t>
      </w:r>
      <w:r w:rsidR="00584D2E" w:rsidRPr="00D05F46">
        <w:rPr>
          <w:i/>
          <w:iCs/>
        </w:rPr>
        <w:t xml:space="preserve"> </w:t>
      </w:r>
      <w:r w:rsidRPr="00D05F46">
        <w:rPr>
          <w:i/>
          <w:iCs/>
        </w:rPr>
        <w:t>v plochách s</w:t>
      </w:r>
      <w:r w:rsidR="00D05F46" w:rsidRPr="00D05F46">
        <w:rPr>
          <w:i/>
          <w:iCs/>
        </w:rPr>
        <w:t> </w:t>
      </w:r>
      <w:r w:rsidRPr="00D05F46">
        <w:rPr>
          <w:i/>
          <w:iCs/>
        </w:rPr>
        <w:t>potenciálním negativním vlivem na své okolí.</w:t>
      </w:r>
    </w:p>
    <w:p w14:paraId="35327052" w14:textId="77777777" w:rsidR="00E71DA3" w:rsidRPr="00533574" w:rsidRDefault="00E71DA3" w:rsidP="00E71DA3">
      <w:pPr>
        <w:pStyle w:val="Odstavecseseznamem"/>
        <w:ind w:left="709"/>
        <w:contextualSpacing w:val="0"/>
      </w:pPr>
      <w:r>
        <w:t>Územní plán stanovuje min. podíl nezpevněných ploch pozemku pro jednotlivé lokality a chrání tak venkovský až příměstský charakter obce, typický vysokým podílem vegetačních ploch a zahrad. Stávající parkové a krajinné plchy stabilizuje a posiluje jejich propojení systémem veřejných prostranství.</w:t>
      </w:r>
    </w:p>
    <w:p w14:paraId="195A7E13" w14:textId="1FBF5AE9" w:rsidR="00166D50" w:rsidRDefault="00166D50">
      <w:pPr>
        <w:pStyle w:val="Odstavecseseznamem"/>
        <w:numPr>
          <w:ilvl w:val="0"/>
          <w:numId w:val="18"/>
        </w:numPr>
        <w:ind w:left="709"/>
        <w:contextualSpacing w:val="0"/>
        <w:rPr>
          <w:i/>
          <w:iCs/>
        </w:rPr>
      </w:pPr>
      <w:r w:rsidRPr="00D05F46">
        <w:rPr>
          <w:i/>
          <w:iCs/>
        </w:rPr>
        <w:t>Návrh územního plánu bude zohledňovat prostorové uspořádání zastavitelného území i území</w:t>
      </w:r>
      <w:r w:rsidR="00584D2E" w:rsidRPr="00D05F46">
        <w:rPr>
          <w:i/>
          <w:iCs/>
        </w:rPr>
        <w:t xml:space="preserve"> nezastavitelného – krajiny</w:t>
      </w:r>
      <w:r w:rsidRPr="00D05F46">
        <w:rPr>
          <w:i/>
          <w:iCs/>
        </w:rPr>
        <w:t>. Stanovit prostorové regulativy jak pro rozvojové plochy, tak pro</w:t>
      </w:r>
      <w:r w:rsidR="00584D2E" w:rsidRPr="00D05F46">
        <w:rPr>
          <w:i/>
          <w:iCs/>
        </w:rPr>
        <w:t xml:space="preserve"> </w:t>
      </w:r>
      <w:r w:rsidRPr="00D05F46">
        <w:rPr>
          <w:i/>
          <w:iCs/>
        </w:rPr>
        <w:t>stabilizované území. U stabilizovaných ploch popsat charakter zástavby a urbanistickou strukturu.</w:t>
      </w:r>
      <w:r w:rsidR="00584D2E" w:rsidRPr="00D05F46">
        <w:rPr>
          <w:i/>
          <w:iCs/>
        </w:rPr>
        <w:t xml:space="preserve"> </w:t>
      </w:r>
      <w:r w:rsidRPr="00D05F46">
        <w:rPr>
          <w:i/>
          <w:iCs/>
        </w:rPr>
        <w:t>Stanovit základní podmínky ochrany krajinného rázu (výšková regulace, intenzita využití zástavby</w:t>
      </w:r>
      <w:r w:rsidR="00584D2E" w:rsidRPr="00D05F46">
        <w:rPr>
          <w:i/>
          <w:iCs/>
        </w:rPr>
        <w:t xml:space="preserve"> </w:t>
      </w:r>
      <w:r w:rsidRPr="00D05F46">
        <w:rPr>
          <w:i/>
          <w:iCs/>
        </w:rPr>
        <w:t>atd.).</w:t>
      </w:r>
    </w:p>
    <w:p w14:paraId="1F25CCFF" w14:textId="5182817F" w:rsidR="00E71DA3" w:rsidRPr="00E71DA3" w:rsidRDefault="00E71DA3" w:rsidP="00E71DA3">
      <w:pPr>
        <w:pStyle w:val="Odstavecseseznamem"/>
        <w:ind w:left="709"/>
        <w:contextualSpacing w:val="0"/>
      </w:pPr>
      <w:r>
        <w:t>Územní plán stanovuje podrobné podmínky prostorového uspořádání a ochrany charakteru území. Pro jednotlivé lokality jsou stanoveny podmínky prostorového uspořádání zohledňující současný charakter zástavby a zároveň umožňující přiměřený udržitelný rozvoj území. Podmínky prvků regulačního plánu upřesňují požadavky na charakter</w:t>
      </w:r>
      <w:r w:rsidR="002B4772">
        <w:t xml:space="preserve"> a uspořádání</w:t>
      </w:r>
      <w:r>
        <w:t xml:space="preserve"> zástavby a veřejných prostranství.</w:t>
      </w:r>
    </w:p>
    <w:p w14:paraId="3FA36350" w14:textId="6672FC11" w:rsidR="00166D50" w:rsidRDefault="00166D50">
      <w:pPr>
        <w:pStyle w:val="Odstavecseseznamem"/>
        <w:numPr>
          <w:ilvl w:val="0"/>
          <w:numId w:val="18"/>
        </w:numPr>
        <w:ind w:left="709"/>
        <w:contextualSpacing w:val="0"/>
        <w:rPr>
          <w:i/>
          <w:iCs/>
        </w:rPr>
      </w:pPr>
      <w:r w:rsidRPr="00D05F46">
        <w:rPr>
          <w:i/>
          <w:iCs/>
        </w:rPr>
        <w:t>Prověřit možnost doplnění veřejné vybavenosti.</w:t>
      </w:r>
    </w:p>
    <w:p w14:paraId="1FB168E0" w14:textId="21B8FA32" w:rsidR="00E71DA3" w:rsidRPr="00E71DA3" w:rsidRDefault="00CB6E52" w:rsidP="00E71DA3">
      <w:pPr>
        <w:pStyle w:val="Odstavecseseznamem"/>
        <w:ind w:left="709"/>
        <w:contextualSpacing w:val="0"/>
      </w:pPr>
      <w:r>
        <w:t>Územní plán posiluje polyfunkční charakter území, plochy s rozdílným způsobem využití jsou řešeny jako smíšené (smíšené obytné, smíšené výrobní atp.) s plošně přípustným občanským vybavením. Tento způsob řešení využití umožňuje rozvoj občanského vybavení tam, kde je potřebné. Zároveň je chráněno stávající občanské vybavení</w:t>
      </w:r>
      <w:r w:rsidR="000C3CA8">
        <w:t xml:space="preserve"> veřejné</w:t>
      </w:r>
      <w:r>
        <w:t xml:space="preserve"> a při jeho </w:t>
      </w:r>
      <w:r w:rsidR="000C3CA8">
        <w:t>případné relokaci je nezbytné jej nahradit. V rozsáhlejších návrhových plochách (např. Z.02-1) je občanské vybavení vymezeno plochou občanského vybavení</w:t>
      </w:r>
      <w:r w:rsidR="00A125AD">
        <w:t>.</w:t>
      </w:r>
    </w:p>
    <w:p w14:paraId="080B6D66" w14:textId="16F46E30" w:rsidR="00166D50" w:rsidRDefault="00166D50">
      <w:pPr>
        <w:pStyle w:val="Odstavecseseznamem"/>
        <w:numPr>
          <w:ilvl w:val="0"/>
          <w:numId w:val="18"/>
        </w:numPr>
        <w:ind w:left="709"/>
        <w:contextualSpacing w:val="0"/>
        <w:rPr>
          <w:i/>
          <w:iCs/>
        </w:rPr>
      </w:pPr>
      <w:r w:rsidRPr="00D05F46">
        <w:rPr>
          <w:i/>
          <w:iCs/>
        </w:rPr>
        <w:t>Projektant zhodnotí využití stávajících zastavěných i zastavitelných ploch a navrhne jejich další</w:t>
      </w:r>
      <w:r w:rsidR="00774655" w:rsidRPr="00D05F46">
        <w:rPr>
          <w:i/>
          <w:iCs/>
        </w:rPr>
        <w:t xml:space="preserve"> </w:t>
      </w:r>
      <w:r w:rsidRPr="00D05F46">
        <w:rPr>
          <w:i/>
          <w:iCs/>
        </w:rPr>
        <w:t>využití, případně navrhne nové plochy s ohledem na předpokládaný demografický vývoj a</w:t>
      </w:r>
      <w:r w:rsidR="00774655" w:rsidRPr="00D05F46">
        <w:rPr>
          <w:i/>
          <w:iCs/>
        </w:rPr>
        <w:t xml:space="preserve"> </w:t>
      </w:r>
      <w:r w:rsidRPr="00D05F46">
        <w:rPr>
          <w:i/>
          <w:iCs/>
        </w:rPr>
        <w:t>s ohledem na limity využití území.</w:t>
      </w:r>
    </w:p>
    <w:p w14:paraId="5103AC61" w14:textId="44FFFD9D" w:rsidR="00E71DA3" w:rsidRDefault="00A125AD" w:rsidP="00E71DA3">
      <w:pPr>
        <w:pStyle w:val="Odstavecseseznamem"/>
        <w:ind w:left="709"/>
        <w:contextualSpacing w:val="0"/>
      </w:pPr>
      <w:r>
        <w:t>Z demografického vývoje obce nevplývá potřeba navýšení zastavitelných ploch pro bydlení. Jejích kapacita je stále dostatečná pro udržitelný rozvoj obce v návrhovém horizontu územního plánu. Zastavitelné plochy pro bydlení jsou vymezeny tak, aby přirozeně doplňovaly zástavbu obce v souladu s jejím charakterem.</w:t>
      </w:r>
    </w:p>
    <w:p w14:paraId="4E124987" w14:textId="56A59F68" w:rsidR="00A125AD" w:rsidRPr="00A125AD" w:rsidRDefault="00A125AD" w:rsidP="00E71DA3">
      <w:pPr>
        <w:pStyle w:val="Odstavecseseznamem"/>
        <w:ind w:left="709"/>
        <w:contextualSpacing w:val="0"/>
      </w:pPr>
      <w:r>
        <w:t>Rozsah ploch pro výrobu a individuální rekreaci je stabilizovaný, navrženo je místní rozšíření ploch nadmístních rekreačních areálů, vymezené již přechozím územním plánem.</w:t>
      </w:r>
    </w:p>
    <w:p w14:paraId="2F89EF8E" w14:textId="1643745A" w:rsidR="00166D50" w:rsidRDefault="00166D50">
      <w:pPr>
        <w:pStyle w:val="Odstavecseseznamem"/>
        <w:numPr>
          <w:ilvl w:val="0"/>
          <w:numId w:val="18"/>
        </w:numPr>
        <w:ind w:left="709"/>
        <w:contextualSpacing w:val="0"/>
        <w:rPr>
          <w:i/>
          <w:iCs/>
        </w:rPr>
      </w:pPr>
      <w:r w:rsidRPr="00D05F46">
        <w:rPr>
          <w:i/>
          <w:iCs/>
        </w:rPr>
        <w:t>Projektant prověří předpokládané důsledky navrhovaného řešení na ZPF. Zábory ZPF budou řádně</w:t>
      </w:r>
      <w:r w:rsidR="00774655" w:rsidRPr="00D05F46">
        <w:rPr>
          <w:i/>
          <w:iCs/>
        </w:rPr>
        <w:t xml:space="preserve"> </w:t>
      </w:r>
      <w:r w:rsidRPr="00D05F46">
        <w:rPr>
          <w:i/>
          <w:iCs/>
        </w:rPr>
        <w:t>odůvodněny.</w:t>
      </w:r>
    </w:p>
    <w:p w14:paraId="2ACC515A" w14:textId="7F2867EB" w:rsidR="00E71DA3" w:rsidRPr="00632F88" w:rsidRDefault="00632F88" w:rsidP="00E71DA3">
      <w:pPr>
        <w:pStyle w:val="Odstavecseseznamem"/>
        <w:ind w:left="709"/>
        <w:contextualSpacing w:val="0"/>
      </w:pPr>
      <w:r>
        <w:t xml:space="preserve">Zábory ZPF jsou vymezeny pouze v nezbytném rozsahu a jsou podrobně odůvodněny, viz kap. </w:t>
      </w:r>
      <w:r w:rsidR="0041557C">
        <w:t>XIV.</w:t>
      </w:r>
    </w:p>
    <w:p w14:paraId="24D427C0" w14:textId="4AA249F8" w:rsidR="00166D50" w:rsidRDefault="00166D50">
      <w:pPr>
        <w:pStyle w:val="Odstavecseseznamem"/>
        <w:numPr>
          <w:ilvl w:val="0"/>
          <w:numId w:val="18"/>
        </w:numPr>
        <w:ind w:left="709"/>
        <w:contextualSpacing w:val="0"/>
        <w:rPr>
          <w:i/>
          <w:iCs/>
        </w:rPr>
      </w:pPr>
      <w:r w:rsidRPr="00D05F46">
        <w:rPr>
          <w:i/>
          <w:iCs/>
        </w:rPr>
        <w:t>Využitelnost funkčních ploch bude specifikována v souladu s požadavky vyhl.č.501/2006 Sb., o</w:t>
      </w:r>
      <w:r w:rsidR="00774655" w:rsidRPr="00D05F46">
        <w:rPr>
          <w:i/>
          <w:iCs/>
        </w:rPr>
        <w:t xml:space="preserve"> </w:t>
      </w:r>
      <w:r w:rsidRPr="00D05F46">
        <w:rPr>
          <w:i/>
          <w:iCs/>
        </w:rPr>
        <w:t>obecných požadavcích na využívání území. Projektant stanoví podmínky pro využití ploch</w:t>
      </w:r>
      <w:r w:rsidR="00774655" w:rsidRPr="00D05F46">
        <w:rPr>
          <w:i/>
          <w:iCs/>
        </w:rPr>
        <w:t xml:space="preserve"> </w:t>
      </w:r>
      <w:r w:rsidRPr="00D05F46">
        <w:rPr>
          <w:i/>
          <w:iCs/>
        </w:rPr>
        <w:t>s rozdílným způsobem využití s určením hlavního účelu využití, přípustného využití,</w:t>
      </w:r>
      <w:r w:rsidR="00774655" w:rsidRPr="00D05F46">
        <w:rPr>
          <w:i/>
          <w:iCs/>
        </w:rPr>
        <w:t xml:space="preserve"> </w:t>
      </w:r>
      <w:r w:rsidRPr="00D05F46">
        <w:rPr>
          <w:i/>
          <w:iCs/>
        </w:rPr>
        <w:t>nepřípustného využití, podmíněně přípustného využití. V případě podmíněně přípustného využití</w:t>
      </w:r>
      <w:r w:rsidR="00774655" w:rsidRPr="00D05F46">
        <w:rPr>
          <w:i/>
          <w:iCs/>
        </w:rPr>
        <w:t xml:space="preserve"> </w:t>
      </w:r>
      <w:r w:rsidRPr="00D05F46">
        <w:rPr>
          <w:i/>
          <w:iCs/>
        </w:rPr>
        <w:t>stanovit podmínky podmíněné přípustnosti. Uvést vysvětlení pojmů.</w:t>
      </w:r>
    </w:p>
    <w:p w14:paraId="3CC37B0C" w14:textId="100E5FC9" w:rsidR="00E71DA3" w:rsidRPr="00290D4D" w:rsidRDefault="00152332" w:rsidP="00E71DA3">
      <w:pPr>
        <w:pStyle w:val="Odstavecseseznamem"/>
        <w:ind w:left="709"/>
        <w:contextualSpacing w:val="0"/>
      </w:pPr>
      <w:r>
        <w:t>Řešení podmínek využití a prostorového uspořádání respektuje požadavky vyhl. č. 157/2024 Sb. v platném znění. Pojmy jsou definovány v kap. m/1.</w:t>
      </w:r>
    </w:p>
    <w:p w14:paraId="6F702841" w14:textId="01B881CE" w:rsidR="003A273E" w:rsidRDefault="00166D50">
      <w:pPr>
        <w:pStyle w:val="Odstavecseseznamem"/>
        <w:numPr>
          <w:ilvl w:val="0"/>
          <w:numId w:val="18"/>
        </w:numPr>
        <w:ind w:left="709"/>
        <w:contextualSpacing w:val="0"/>
        <w:rPr>
          <w:i/>
          <w:iCs/>
        </w:rPr>
      </w:pPr>
      <w:r w:rsidRPr="00D05F46">
        <w:rPr>
          <w:i/>
          <w:iCs/>
        </w:rPr>
        <w:t>V návrhu prostorového uspořádání území budou stanoveny výškové hladiny jednotlivých lokalit</w:t>
      </w:r>
      <w:r w:rsidR="00774655" w:rsidRPr="00D05F46">
        <w:rPr>
          <w:i/>
          <w:iCs/>
        </w:rPr>
        <w:t xml:space="preserve"> </w:t>
      </w:r>
      <w:r w:rsidRPr="00D05F46">
        <w:rPr>
          <w:i/>
          <w:iCs/>
        </w:rPr>
        <w:t>v návaznosti na zastavěné území a plochy přestavby. Jasně definovat počátek výškové hladiny.</w:t>
      </w:r>
      <w:r w:rsidR="00774655" w:rsidRPr="00D05F46">
        <w:rPr>
          <w:i/>
          <w:iCs/>
        </w:rPr>
        <w:t xml:space="preserve"> </w:t>
      </w:r>
      <w:r w:rsidRPr="00D05F46">
        <w:rPr>
          <w:i/>
          <w:iCs/>
        </w:rPr>
        <w:t>Specifikovat koeficienty zastavitelnosti území. Toto uvést rovněž formou schémat.</w:t>
      </w:r>
    </w:p>
    <w:p w14:paraId="672A64A6" w14:textId="4B47E54B" w:rsidR="00E71DA3" w:rsidRPr="00345682" w:rsidRDefault="00345682" w:rsidP="00E71DA3">
      <w:pPr>
        <w:pStyle w:val="Odstavecseseznamem"/>
        <w:ind w:left="709"/>
        <w:contextualSpacing w:val="0"/>
      </w:pPr>
      <w:r>
        <w:t>Podmínky prostorového uspořádání jsou stanoveny pro jednotlivé lokality, resp. části území obce se společným charakterem prostředí. Jsou stanoveny podmínky mj. výškového a plošného uspořádání, s ohledem na formu regulace území není zvoleno grafické vyjádření</w:t>
      </w:r>
      <w:r w:rsidR="00B219D3">
        <w:t xml:space="preserve"> regulace</w:t>
      </w:r>
      <w:r>
        <w:t>, ale vyjádření textové v kap. f/1.2.</w:t>
      </w:r>
      <w:r w:rsidR="00B219D3">
        <w:t xml:space="preserve"> Součástí textové části odůvodnění je schématické vyjádření principů podmínek prostorového uspořádání.</w:t>
      </w:r>
    </w:p>
    <w:p w14:paraId="7857C89F" w14:textId="3FF2B5E9" w:rsidR="00584D2E" w:rsidRDefault="00584D2E">
      <w:pPr>
        <w:pStyle w:val="Odstavecseseznamem"/>
        <w:numPr>
          <w:ilvl w:val="0"/>
          <w:numId w:val="18"/>
        </w:numPr>
        <w:ind w:left="709"/>
        <w:contextualSpacing w:val="0"/>
        <w:rPr>
          <w:i/>
          <w:iCs/>
        </w:rPr>
      </w:pPr>
      <w:r w:rsidRPr="00D05F46">
        <w:rPr>
          <w:i/>
          <w:iCs/>
        </w:rPr>
        <w:t>Z důvodu ochrany charakteru území a krajinného rázu budou stanoveny prvky regulačního plánu.</w:t>
      </w:r>
    </w:p>
    <w:p w14:paraId="7A6B2881" w14:textId="34C81A5C" w:rsidR="00E71DA3" w:rsidRPr="00B219D3" w:rsidRDefault="008C0097" w:rsidP="00E71DA3">
      <w:pPr>
        <w:pStyle w:val="Odstavecseseznamem"/>
        <w:ind w:left="709"/>
        <w:contextualSpacing w:val="0"/>
      </w:pPr>
      <w:r>
        <w:lastRenderedPageBreak/>
        <w:t>Územní plán stanovuje prvky regulačního plánu v rozsahu celého správního území obce, prvky regulačního plánu jsou stanoveny pro ochranu charakteru prostředí obce a soustředí se na upřesnění uspořádání zástavby (typická střešní krajina, architektonické řešení staveb, specifické architektonické prvky, vzájemné odstupy staveb), charakteru veřejných prostranství (oplocení pozemku) a požadavků na statickou dopravu (parkovací stání na pozemku staveb rodinných domů).</w:t>
      </w:r>
    </w:p>
    <w:p w14:paraId="728403F5" w14:textId="1E6F4238" w:rsidR="00584D2E" w:rsidRDefault="00584D2E">
      <w:pPr>
        <w:pStyle w:val="Odstavecseseznamem"/>
        <w:numPr>
          <w:ilvl w:val="0"/>
          <w:numId w:val="18"/>
        </w:numPr>
        <w:ind w:left="709"/>
        <w:contextualSpacing w:val="0"/>
        <w:rPr>
          <w:i/>
          <w:iCs/>
        </w:rPr>
      </w:pPr>
      <w:r w:rsidRPr="00D05F46">
        <w:rPr>
          <w:i/>
          <w:iCs/>
        </w:rPr>
        <w:t>Jedním z úkolů prostorového uspořádání území obce bude dotvoření systému pěších tras a</w:t>
      </w:r>
      <w:r w:rsidR="00774655" w:rsidRPr="00D05F46">
        <w:rPr>
          <w:i/>
          <w:iCs/>
        </w:rPr>
        <w:t xml:space="preserve"> </w:t>
      </w:r>
      <w:r w:rsidRPr="00D05F46">
        <w:rPr>
          <w:i/>
          <w:iCs/>
        </w:rPr>
        <w:t>cyklotras, propojujících všechny významné body obce s krajinnou zelení a vodními prvky.</w:t>
      </w:r>
    </w:p>
    <w:p w14:paraId="561F1B06" w14:textId="12D0D1B1" w:rsidR="00E71DA3" w:rsidRPr="00F424CA" w:rsidRDefault="00F424CA" w:rsidP="00E71DA3">
      <w:pPr>
        <w:pStyle w:val="Odstavecseseznamem"/>
        <w:ind w:left="709"/>
        <w:contextualSpacing w:val="0"/>
      </w:pPr>
      <w:r>
        <w:t xml:space="preserve">Územní plán stabilizuje a posiluje prostupnost sídlem i krajinou a vymezuje </w:t>
      </w:r>
      <w:r w:rsidR="007F2C44">
        <w:t>významnou cestní síť v krajině.</w:t>
      </w:r>
    </w:p>
    <w:p w14:paraId="78AD4A46" w14:textId="0EB5321B" w:rsidR="00584D2E" w:rsidRDefault="00584D2E">
      <w:pPr>
        <w:pStyle w:val="Odstavecseseznamem"/>
        <w:numPr>
          <w:ilvl w:val="0"/>
          <w:numId w:val="18"/>
        </w:numPr>
        <w:ind w:left="709"/>
        <w:contextualSpacing w:val="0"/>
        <w:rPr>
          <w:i/>
          <w:iCs/>
        </w:rPr>
      </w:pPr>
      <w:r w:rsidRPr="00D05F46">
        <w:rPr>
          <w:i/>
          <w:iCs/>
        </w:rPr>
        <w:t>Návrh územního plánu obce bude respektovat a využije stávající potenciál řešeného území, jak v</w:t>
      </w:r>
      <w:r w:rsidR="00D05F46" w:rsidRPr="00D05F46">
        <w:rPr>
          <w:i/>
          <w:iCs/>
        </w:rPr>
        <w:t> </w:t>
      </w:r>
      <w:r w:rsidRPr="00D05F46">
        <w:rPr>
          <w:i/>
          <w:iCs/>
        </w:rPr>
        <w:t>urbanizované části , tak i v neurbanizované části řešeného území.</w:t>
      </w:r>
    </w:p>
    <w:p w14:paraId="3590F159" w14:textId="5B1227FA" w:rsidR="00E71DA3" w:rsidRPr="00F424CA" w:rsidRDefault="004D339E" w:rsidP="00E71DA3">
      <w:pPr>
        <w:pStyle w:val="Odstavecseseznamem"/>
        <w:ind w:left="709"/>
        <w:contextualSpacing w:val="0"/>
      </w:pPr>
      <w:r>
        <w:t>Urbanistická koncepce se orientuje přednostně na využití vnitřních rezerv v zastavěném území a zastavitelné plochy vymezuje jen ve strategicky významných lokalitách pro udržitelný rozvoj obce. Struktury krajiny založená na údolích vodních toků je stabilizována plochami přírodními všeobecnými a rozvíjena systémem interakčních prvků.</w:t>
      </w:r>
    </w:p>
    <w:p w14:paraId="029A5F82" w14:textId="6A80DCAE" w:rsidR="00584D2E" w:rsidRDefault="00584D2E">
      <w:pPr>
        <w:pStyle w:val="Odstavecseseznamem"/>
        <w:numPr>
          <w:ilvl w:val="0"/>
          <w:numId w:val="18"/>
        </w:numPr>
        <w:ind w:left="709"/>
        <w:contextualSpacing w:val="0"/>
        <w:rPr>
          <w:i/>
          <w:iCs/>
        </w:rPr>
      </w:pPr>
      <w:r w:rsidRPr="00D05F46">
        <w:rPr>
          <w:i/>
          <w:iCs/>
        </w:rPr>
        <w:t>Projektant prověří možnost zahrnutí požadavků obce, občanů obce, fyzických a právnických osob,</w:t>
      </w:r>
      <w:r w:rsidR="00774655" w:rsidRPr="00D05F46">
        <w:rPr>
          <w:i/>
          <w:iCs/>
        </w:rPr>
        <w:t xml:space="preserve"> </w:t>
      </w:r>
      <w:r w:rsidRPr="00D05F46">
        <w:rPr>
          <w:i/>
          <w:iCs/>
        </w:rPr>
        <w:t>které jsou přílohou této zprávy. Požadavky prověří zejména s ohledem na limity a hodnoty</w:t>
      </w:r>
      <w:r w:rsidR="00774655" w:rsidRPr="00D05F46">
        <w:rPr>
          <w:i/>
          <w:iCs/>
        </w:rPr>
        <w:t xml:space="preserve"> </w:t>
      </w:r>
      <w:r w:rsidRPr="00D05F46">
        <w:rPr>
          <w:i/>
          <w:iCs/>
        </w:rPr>
        <w:t>v daném území a na možné problémy vyplývající ze střetu s nimi.</w:t>
      </w:r>
    </w:p>
    <w:p w14:paraId="6929A690" w14:textId="50D810D1" w:rsidR="00C63B1B" w:rsidRDefault="00C63B1B" w:rsidP="00C63B1B">
      <w:pPr>
        <w:pStyle w:val="Odstavecseseznamem"/>
        <w:ind w:left="709"/>
        <w:contextualSpacing w:val="0"/>
      </w:pPr>
      <w:r>
        <w:t xml:space="preserve">Požadavky obce, občanů obce, fyzických a právnických osob byly podrobně prověřeny a ty, které jsou v souladu s urbanistickou koncepcí územního plánu jsou do jeho řešení zapracovány. Cílem projektanta bylo </w:t>
      </w:r>
      <w:r w:rsidR="008702BA">
        <w:t>vyhovět maximálnímu počtu požadavků ale tak, aby neohrožovaly udržitelný rozvoj obce a hodnotné krajinný rámec obce. Převážná většině (cca 61%) požadavků bylo vyhověno zcela nebo částečně.</w:t>
      </w:r>
    </w:p>
    <w:p w14:paraId="5A7664EE" w14:textId="63D8CE0B" w:rsidR="009955F5" w:rsidRDefault="009955F5" w:rsidP="00C63B1B">
      <w:pPr>
        <w:pStyle w:val="Odstavecseseznamem"/>
        <w:ind w:left="709"/>
        <w:contextualSpacing w:val="0"/>
      </w:pPr>
      <w:r>
        <w:t>Následující požadavky jsou v rozporu s urbanistickou koncepcí:</w:t>
      </w:r>
    </w:p>
    <w:p w14:paraId="0DCA86EC" w14:textId="5C395A58" w:rsidR="009955F5" w:rsidRPr="00430AD2" w:rsidRDefault="009955F5" w:rsidP="00C63B1B">
      <w:pPr>
        <w:pStyle w:val="Odstavecseseznamem"/>
        <w:ind w:left="709"/>
        <w:contextualSpacing w:val="0"/>
        <w:rPr>
          <w:u w:val="single"/>
        </w:rPr>
      </w:pPr>
      <w:r w:rsidRPr="00430AD2">
        <w:rPr>
          <w:u w:val="single"/>
        </w:rPr>
        <w:t>k. ú. Posluchov – parc. č. 156/2</w:t>
      </w:r>
      <w:r w:rsidR="00991D05">
        <w:rPr>
          <w:u w:val="single"/>
        </w:rPr>
        <w:t>,</w:t>
      </w:r>
      <w:r w:rsidRPr="00430AD2">
        <w:rPr>
          <w:u w:val="single"/>
        </w:rPr>
        <w:t xml:space="preserve"> 157</w:t>
      </w:r>
      <w:r w:rsidR="00991D05">
        <w:rPr>
          <w:u w:val="single"/>
        </w:rPr>
        <w:t xml:space="preserve"> a 162</w:t>
      </w:r>
      <w:r w:rsidRPr="00430AD2">
        <w:rPr>
          <w:u w:val="single"/>
        </w:rPr>
        <w:t xml:space="preserve"> </w:t>
      </w:r>
      <w:r w:rsidR="00430AD2">
        <w:rPr>
          <w:u w:val="single"/>
        </w:rPr>
        <w:t>pro bydlení</w:t>
      </w:r>
    </w:p>
    <w:p w14:paraId="432C8445" w14:textId="2642BCD9" w:rsidR="009955F5" w:rsidRDefault="00BB4B5E" w:rsidP="00C63B1B">
      <w:pPr>
        <w:pStyle w:val="Odstavecseseznamem"/>
        <w:ind w:left="709"/>
        <w:contextualSpacing w:val="0"/>
      </w:pPr>
      <w:r>
        <w:t xml:space="preserve">Požadavek </w:t>
      </w:r>
      <w:r w:rsidR="009955F5">
        <w:t xml:space="preserve">není v souladu s urbanistickou koncepcí rozvoje samot na území obce. </w:t>
      </w:r>
      <w:r w:rsidR="009955F5" w:rsidRPr="009955F5">
        <w:t>V rámci zajištění souladu se skutečným stavem v území byl</w:t>
      </w:r>
      <w:r w:rsidR="00A74CBE">
        <w:t>y</w:t>
      </w:r>
      <w:r w:rsidR="009955F5" w:rsidRPr="009955F5">
        <w:t xml:space="preserve"> stávající zastavěn</w:t>
      </w:r>
      <w:r w:rsidR="00A74CBE">
        <w:t>é</w:t>
      </w:r>
      <w:r w:rsidR="009955F5" w:rsidRPr="009955F5">
        <w:t xml:space="preserve"> pozemek začleněn</w:t>
      </w:r>
      <w:r w:rsidR="00A74CBE">
        <w:t>y</w:t>
      </w:r>
      <w:r w:rsidR="009955F5" w:rsidRPr="009955F5">
        <w:t xml:space="preserve"> do stabilizované plochy smíšené obytné venkovské (SV). Vzhledem k jeho okrajové pozici </w:t>
      </w:r>
      <w:r w:rsidR="00A74CBE">
        <w:t xml:space="preserve">samoty </w:t>
      </w:r>
      <w:r w:rsidR="009955F5" w:rsidRPr="009955F5">
        <w:t>vůči jádru lokality</w:t>
      </w:r>
      <w:r w:rsidR="00AF0430">
        <w:t xml:space="preserve"> Posluchov</w:t>
      </w:r>
      <w:r w:rsidR="009955F5" w:rsidRPr="009955F5">
        <w:t xml:space="preserve"> a</w:t>
      </w:r>
      <w:r w:rsidR="00AF0430">
        <w:t> </w:t>
      </w:r>
      <w:r w:rsidR="009955F5" w:rsidRPr="009955F5">
        <w:t>nedostupnosti veřejné infrastruktury n</w:t>
      </w:r>
      <w:r w:rsidR="00AF0430">
        <w:t>ejsou mimo přímou návaznost na stávající kompaktní zástavbu sídla vymezeny další návrhové plochy</w:t>
      </w:r>
      <w:r w:rsidR="009955F5" w:rsidRPr="009955F5">
        <w:t>.</w:t>
      </w:r>
    </w:p>
    <w:p w14:paraId="60D026DC" w14:textId="263ACFD2" w:rsidR="000D1CE6" w:rsidRPr="00430AD2" w:rsidRDefault="000D1CE6" w:rsidP="000D1CE6">
      <w:pPr>
        <w:pStyle w:val="Odstavecseseznamem"/>
        <w:ind w:left="709"/>
        <w:contextualSpacing w:val="0"/>
        <w:rPr>
          <w:u w:val="single"/>
        </w:rPr>
      </w:pPr>
      <w:r w:rsidRPr="00430AD2">
        <w:rPr>
          <w:u w:val="single"/>
        </w:rPr>
        <w:t xml:space="preserve">k. ú. Posluchov – parc. č. </w:t>
      </w:r>
      <w:r w:rsidR="001B0BBA">
        <w:rPr>
          <w:u w:val="single"/>
        </w:rPr>
        <w:t>90</w:t>
      </w:r>
      <w:r w:rsidR="0062417B">
        <w:rPr>
          <w:u w:val="single"/>
        </w:rPr>
        <w:t xml:space="preserve">, </w:t>
      </w:r>
      <w:r w:rsidR="00C62D0F">
        <w:rPr>
          <w:u w:val="single"/>
        </w:rPr>
        <w:t xml:space="preserve">92/1, </w:t>
      </w:r>
      <w:r w:rsidR="0062417B">
        <w:rPr>
          <w:u w:val="single"/>
        </w:rPr>
        <w:t xml:space="preserve">92/2, </w:t>
      </w:r>
      <w:r w:rsidR="00E8390A">
        <w:rPr>
          <w:u w:val="single"/>
        </w:rPr>
        <w:t xml:space="preserve">129/3, </w:t>
      </w:r>
      <w:r w:rsidR="00C62D0F">
        <w:rPr>
          <w:u w:val="single"/>
        </w:rPr>
        <w:t xml:space="preserve">308/1, 308/2, </w:t>
      </w:r>
      <w:r>
        <w:rPr>
          <w:u w:val="single"/>
        </w:rPr>
        <w:t>308/3</w:t>
      </w:r>
      <w:r w:rsidR="0062417B">
        <w:rPr>
          <w:u w:val="single"/>
        </w:rPr>
        <w:t xml:space="preserve"> a 310</w:t>
      </w:r>
      <w:r w:rsidRPr="00430AD2">
        <w:rPr>
          <w:u w:val="single"/>
        </w:rPr>
        <w:t xml:space="preserve"> </w:t>
      </w:r>
      <w:r>
        <w:rPr>
          <w:u w:val="single"/>
        </w:rPr>
        <w:t>pro bydlení</w:t>
      </w:r>
    </w:p>
    <w:p w14:paraId="582FD6EC" w14:textId="49BBDAAC" w:rsidR="000D1CE6" w:rsidRDefault="00BB4B5E" w:rsidP="00C63B1B">
      <w:pPr>
        <w:pStyle w:val="Odstavecseseznamem"/>
        <w:ind w:left="709"/>
        <w:contextualSpacing w:val="0"/>
      </w:pPr>
      <w:r>
        <w:t xml:space="preserve">Požadavek </w:t>
      </w:r>
      <w:r w:rsidR="000D1CE6">
        <w:t xml:space="preserve">není v souladu s urbanistickou koncepcí rozvoje sídla </w:t>
      </w:r>
      <w:r w:rsidR="009C3856">
        <w:t>Posluchov,</w:t>
      </w:r>
      <w:r w:rsidR="000D1CE6">
        <w:t xml:space="preserve"> a to doplňováním </w:t>
      </w:r>
      <w:r w:rsidR="00DA33B2">
        <w:t xml:space="preserve">pouze </w:t>
      </w:r>
      <w:r w:rsidR="000D1CE6">
        <w:t>kompaktní centrální dispozice sídla, zachování</w:t>
      </w:r>
      <w:r w:rsidR="00B24B2D">
        <w:t>m</w:t>
      </w:r>
      <w:r w:rsidR="000D1CE6">
        <w:t xml:space="preserve"> jeho prostorové samostatnosti a</w:t>
      </w:r>
      <w:r w:rsidR="0013411A">
        <w:t> </w:t>
      </w:r>
      <w:r w:rsidR="000D1CE6">
        <w:t>jeho nepropojování</w:t>
      </w:r>
      <w:r w:rsidR="00B24B2D">
        <w:t>m</w:t>
      </w:r>
      <w:r w:rsidR="000D1CE6">
        <w:t xml:space="preserve"> se zástavbou lokality K Posluchovu.</w:t>
      </w:r>
      <w:r w:rsidR="00FB11EB">
        <w:t xml:space="preserve"> Západní okraj sídla je limitován nadzemním vedením VN, východní okraj terénními podmínkami a pohledově exponovaným krajinným horizontem </w:t>
      </w:r>
      <w:r w:rsidR="00CC16FA">
        <w:t>s </w:t>
      </w:r>
      <w:r w:rsidR="00FB11EB">
        <w:t>hodnotnými panoramatickými pohledy na údolí Bystřice.</w:t>
      </w:r>
    </w:p>
    <w:p w14:paraId="263A1673" w14:textId="0BCC3534" w:rsidR="0062417B" w:rsidRPr="00430AD2" w:rsidRDefault="0062417B" w:rsidP="0062417B">
      <w:pPr>
        <w:pStyle w:val="Odstavecseseznamem"/>
        <w:ind w:left="709"/>
        <w:contextualSpacing w:val="0"/>
        <w:rPr>
          <w:u w:val="single"/>
        </w:rPr>
      </w:pPr>
      <w:r w:rsidRPr="00430AD2">
        <w:rPr>
          <w:u w:val="single"/>
        </w:rPr>
        <w:t xml:space="preserve">k. ú. Hlubočky – parc. č. </w:t>
      </w:r>
      <w:r>
        <w:rPr>
          <w:u w:val="single"/>
        </w:rPr>
        <w:t xml:space="preserve">2773, 2805/1 a 2824/1 </w:t>
      </w:r>
      <w:r w:rsidRPr="00430AD2">
        <w:rPr>
          <w:u w:val="single"/>
        </w:rPr>
        <w:t xml:space="preserve">pro </w:t>
      </w:r>
      <w:r>
        <w:rPr>
          <w:u w:val="single"/>
        </w:rPr>
        <w:t>bydlení</w:t>
      </w:r>
    </w:p>
    <w:p w14:paraId="1D7BFD4A" w14:textId="70B8B025" w:rsidR="0062417B" w:rsidRDefault="00BB4B5E" w:rsidP="0062417B">
      <w:pPr>
        <w:pStyle w:val="Odstavecseseznamem"/>
        <w:ind w:left="709"/>
        <w:contextualSpacing w:val="0"/>
      </w:pPr>
      <w:r>
        <w:t xml:space="preserve">Požadavek </w:t>
      </w:r>
      <w:r w:rsidR="0062417B">
        <w:t>není v souladu s urbanistickou koncepcí plošně nerozvíjet zástavbu ve vyšších polohách svahů údolí Bystřice a jejích přítoků. Zároveň je v lokalitě Hlubočky vymezeno dostatečné množství zastavitelných ploch pro rozvoj obce s ohledem na její demografické podmínky.</w:t>
      </w:r>
    </w:p>
    <w:p w14:paraId="529549FB" w14:textId="3A655FE1" w:rsidR="007B3A6F" w:rsidRPr="00430AD2" w:rsidRDefault="007B3A6F" w:rsidP="007B3A6F">
      <w:pPr>
        <w:pStyle w:val="Odstavecseseznamem"/>
        <w:ind w:left="709"/>
        <w:contextualSpacing w:val="0"/>
        <w:rPr>
          <w:u w:val="single"/>
        </w:rPr>
      </w:pPr>
      <w:r w:rsidRPr="00430AD2">
        <w:rPr>
          <w:u w:val="single"/>
        </w:rPr>
        <w:t xml:space="preserve">k. ú. Hlubočky – parc. č. </w:t>
      </w:r>
      <w:r w:rsidR="004043CA">
        <w:rPr>
          <w:u w:val="single"/>
        </w:rPr>
        <w:t>1274</w:t>
      </w:r>
      <w:r>
        <w:rPr>
          <w:u w:val="single"/>
        </w:rPr>
        <w:t xml:space="preserve"> </w:t>
      </w:r>
      <w:r w:rsidRPr="00430AD2">
        <w:rPr>
          <w:u w:val="single"/>
        </w:rPr>
        <w:t>pro</w:t>
      </w:r>
      <w:r>
        <w:rPr>
          <w:u w:val="single"/>
        </w:rPr>
        <w:t xml:space="preserve"> bydlení</w:t>
      </w:r>
    </w:p>
    <w:p w14:paraId="4443F26F" w14:textId="5C763AB0" w:rsidR="007B3A6F" w:rsidRDefault="00BB4B5E" w:rsidP="007B3A6F">
      <w:pPr>
        <w:pStyle w:val="Odstavecseseznamem"/>
        <w:ind w:left="709"/>
        <w:contextualSpacing w:val="0"/>
      </w:pPr>
      <w:r>
        <w:t xml:space="preserve">Požadavek </w:t>
      </w:r>
      <w:r w:rsidR="007B3A6F">
        <w:t>není v souladu s urbanistickou koncepcí s ohledem na požadavky na respektování charakteru zástavby území</w:t>
      </w:r>
      <w:r w:rsidR="004043CA">
        <w:t xml:space="preserve"> nevytváření samot v krajině</w:t>
      </w:r>
      <w:r w:rsidR="007B3A6F">
        <w:t xml:space="preserve">. </w:t>
      </w:r>
      <w:r w:rsidR="004043CA">
        <w:t>Pozemek prostorově nenavazuje na stávající zástavbu posluchovského kopce a je od ní oddělen nadzemním vedením VN a vytváří tak novou samotu v</w:t>
      </w:r>
      <w:r w:rsidR="003B3C4F">
        <w:t> </w:t>
      </w:r>
      <w:r w:rsidR="004043CA">
        <w:t>krajině</w:t>
      </w:r>
      <w:r w:rsidR="003B3C4F">
        <w:t xml:space="preserve"> vyžadující napojení na systém</w:t>
      </w:r>
      <w:r w:rsidR="004E5E30">
        <w:t>y</w:t>
      </w:r>
      <w:r w:rsidR="003B3C4F">
        <w:t xml:space="preserve"> veřejné infrastruktury</w:t>
      </w:r>
      <w:r w:rsidR="00494BFF">
        <w:t>.</w:t>
      </w:r>
    </w:p>
    <w:p w14:paraId="4F3F9EBE" w14:textId="2C40DB9E" w:rsidR="004043CA" w:rsidRDefault="004043CA" w:rsidP="007B3A6F">
      <w:pPr>
        <w:pStyle w:val="Odstavecseseznamem"/>
        <w:ind w:left="709"/>
        <w:contextualSpacing w:val="0"/>
        <w:rPr>
          <w:u w:val="single"/>
        </w:rPr>
      </w:pPr>
      <w:r w:rsidRPr="00430AD2">
        <w:rPr>
          <w:u w:val="single"/>
        </w:rPr>
        <w:t xml:space="preserve">k. ú. Hlubočky – parc. č. </w:t>
      </w:r>
      <w:r>
        <w:rPr>
          <w:u w:val="single"/>
        </w:rPr>
        <w:t xml:space="preserve">2645 a 2657/12 </w:t>
      </w:r>
      <w:r w:rsidRPr="00430AD2">
        <w:rPr>
          <w:u w:val="single"/>
        </w:rPr>
        <w:t>pro</w:t>
      </w:r>
      <w:r>
        <w:rPr>
          <w:u w:val="single"/>
        </w:rPr>
        <w:t xml:space="preserve"> bydlení</w:t>
      </w:r>
    </w:p>
    <w:p w14:paraId="6511E118" w14:textId="542E24D4" w:rsidR="004043CA" w:rsidRDefault="00BB4B5E" w:rsidP="007B3A6F">
      <w:pPr>
        <w:pStyle w:val="Odstavecseseznamem"/>
        <w:ind w:left="709"/>
        <w:contextualSpacing w:val="0"/>
      </w:pPr>
      <w:r>
        <w:t xml:space="preserve">Požadavek </w:t>
      </w:r>
      <w:r w:rsidR="004043CA">
        <w:t>není v souladu s urbanistickou koncepcí</w:t>
      </w:r>
      <w:r w:rsidR="00E4739B">
        <w:t xml:space="preserve"> s ohledem na požadavky na respektování charakteru zástavby území. Pozemky jsou součástí stabilizované plochy rekreace individuální, která svou pozemkovou strukturu neumožňuje využití pro bydlení.</w:t>
      </w:r>
    </w:p>
    <w:p w14:paraId="460B72FF" w14:textId="076BAAAD" w:rsidR="00B84CF4" w:rsidRDefault="00B84CF4" w:rsidP="00B84CF4">
      <w:pPr>
        <w:pStyle w:val="Odstavecseseznamem"/>
        <w:ind w:left="709"/>
        <w:contextualSpacing w:val="0"/>
        <w:rPr>
          <w:u w:val="single"/>
        </w:rPr>
      </w:pPr>
      <w:r w:rsidRPr="00430AD2">
        <w:rPr>
          <w:u w:val="single"/>
        </w:rPr>
        <w:t xml:space="preserve">k. ú. Hlubočky – parc. č. </w:t>
      </w:r>
      <w:r>
        <w:rPr>
          <w:u w:val="single"/>
        </w:rPr>
        <w:t xml:space="preserve">137, 198/2 a 199/2 </w:t>
      </w:r>
      <w:r w:rsidRPr="00430AD2">
        <w:rPr>
          <w:u w:val="single"/>
        </w:rPr>
        <w:t>pro</w:t>
      </w:r>
      <w:r>
        <w:rPr>
          <w:u w:val="single"/>
        </w:rPr>
        <w:t xml:space="preserve"> bydlení</w:t>
      </w:r>
    </w:p>
    <w:p w14:paraId="40477562" w14:textId="46996AE8" w:rsidR="00B84CF4" w:rsidRDefault="00B84CF4" w:rsidP="00B84CF4">
      <w:pPr>
        <w:pStyle w:val="Odstavecseseznamem"/>
        <w:ind w:left="709"/>
        <w:contextualSpacing w:val="0"/>
      </w:pPr>
      <w:r>
        <w:t>Požadavek není v souladu s urbanistickou koncepcí s ohledem na požadavky na respektování charakteru zástavby území. Pozemky jsou součástí stabilizované plochy rekreace individuální a svým uspořádáním a napojením na veřejnou dopravní a technickou infrastrukturu nejsou vhodné pro bydlení.</w:t>
      </w:r>
    </w:p>
    <w:p w14:paraId="566D375E" w14:textId="2205C3BF" w:rsidR="00A606F9" w:rsidRDefault="00A606F9" w:rsidP="00A606F9">
      <w:pPr>
        <w:pStyle w:val="Odstavecseseznamem"/>
        <w:ind w:left="709"/>
        <w:contextualSpacing w:val="0"/>
        <w:rPr>
          <w:u w:val="single"/>
        </w:rPr>
      </w:pPr>
      <w:r w:rsidRPr="00430AD2">
        <w:rPr>
          <w:u w:val="single"/>
        </w:rPr>
        <w:t xml:space="preserve">k. ú. Hlubočky – parc. č. </w:t>
      </w:r>
      <w:r>
        <w:rPr>
          <w:u w:val="single"/>
        </w:rPr>
        <w:t xml:space="preserve">286, 1728, 1748/11 </w:t>
      </w:r>
      <w:r w:rsidRPr="00430AD2">
        <w:rPr>
          <w:u w:val="single"/>
        </w:rPr>
        <w:t>pro</w:t>
      </w:r>
      <w:r>
        <w:rPr>
          <w:u w:val="single"/>
        </w:rPr>
        <w:t xml:space="preserve"> ubytování</w:t>
      </w:r>
    </w:p>
    <w:p w14:paraId="36F201C4" w14:textId="3418B134" w:rsidR="00A606F9" w:rsidRDefault="00A606F9" w:rsidP="00A606F9">
      <w:pPr>
        <w:pStyle w:val="Odstavecseseznamem"/>
        <w:ind w:left="709"/>
        <w:contextualSpacing w:val="0"/>
      </w:pPr>
      <w:r>
        <w:t xml:space="preserve">Požadavek není v souladu s urbanistickou koncepcí na rozvoj ploch smíšených výrobních. Pozemky jsou součástí stabilizovaných ploch smíšených výrobních, </w:t>
      </w:r>
      <w:r w:rsidRPr="00A606F9">
        <w:t>kter</w:t>
      </w:r>
      <w:r>
        <w:t>é</w:t>
      </w:r>
      <w:r w:rsidRPr="00A606F9">
        <w:t xml:space="preserve"> umožňuj</w:t>
      </w:r>
      <w:r>
        <w:t>í</w:t>
      </w:r>
      <w:r w:rsidRPr="00A606F9">
        <w:t xml:space="preserve"> bydlení pouze za podmínky, že se jedná o byty správce nebo majitele zařízení, je odděleno od ploch výroby pásem zeleně, je umístěno na pozemcích </w:t>
      </w:r>
      <w:r w:rsidRPr="00A606F9">
        <w:lastRenderedPageBreak/>
        <w:t>navazujících na plochu veřejných prostranství a za podmínky splnění hygienických limitů pro bydlení. T</w:t>
      </w:r>
      <w:r>
        <w:t>y</w:t>
      </w:r>
      <w:r w:rsidRPr="00A606F9">
        <w:t>to podmínka neumožňuj</w:t>
      </w:r>
      <w:r>
        <w:t>í</w:t>
      </w:r>
      <w:r w:rsidRPr="00A606F9">
        <w:t xml:space="preserve"> realizaci </w:t>
      </w:r>
      <w:r>
        <w:t>ubytovacího zařízení.</w:t>
      </w:r>
    </w:p>
    <w:p w14:paraId="3E13EFC1" w14:textId="5086B4CB" w:rsidR="00494BFF" w:rsidRPr="00430AD2" w:rsidRDefault="00494BFF" w:rsidP="00494BFF">
      <w:pPr>
        <w:pStyle w:val="Odstavecseseznamem"/>
        <w:ind w:left="709"/>
        <w:contextualSpacing w:val="0"/>
        <w:rPr>
          <w:u w:val="single"/>
        </w:rPr>
      </w:pPr>
      <w:r w:rsidRPr="00430AD2">
        <w:rPr>
          <w:u w:val="single"/>
        </w:rPr>
        <w:t xml:space="preserve">k. ú. Hlubočky – parc. č. </w:t>
      </w:r>
      <w:r>
        <w:rPr>
          <w:u w:val="single"/>
        </w:rPr>
        <w:t xml:space="preserve">513 </w:t>
      </w:r>
      <w:r w:rsidRPr="00430AD2">
        <w:rPr>
          <w:u w:val="single"/>
        </w:rPr>
        <w:t>pro</w:t>
      </w:r>
      <w:r>
        <w:rPr>
          <w:u w:val="single"/>
        </w:rPr>
        <w:t xml:space="preserve"> bydlení nebo individuální rekreaci</w:t>
      </w:r>
    </w:p>
    <w:p w14:paraId="1DE1A3BF" w14:textId="6630C067" w:rsidR="00494BFF" w:rsidRDefault="00BB4B5E" w:rsidP="00494BFF">
      <w:pPr>
        <w:pStyle w:val="Odstavecseseznamem"/>
        <w:ind w:left="709"/>
        <w:contextualSpacing w:val="0"/>
      </w:pPr>
      <w:r>
        <w:t xml:space="preserve">Požadavek </w:t>
      </w:r>
      <w:r w:rsidR="00494BFF">
        <w:t>není v souladu s urbanistickou koncepcí. Pozemek je vymezen pro občanské vybavení pro rozvoj rekreačního areálu Mariánské Údolí, případně jiné občanské vybavení obce.</w:t>
      </w:r>
    </w:p>
    <w:p w14:paraId="67924681" w14:textId="0F72C2D3" w:rsidR="007B3A6F" w:rsidRPr="00430AD2" w:rsidRDefault="007B3A6F" w:rsidP="007B3A6F">
      <w:pPr>
        <w:pStyle w:val="Odstavecseseznamem"/>
        <w:ind w:left="709"/>
        <w:contextualSpacing w:val="0"/>
        <w:rPr>
          <w:u w:val="single"/>
        </w:rPr>
      </w:pPr>
      <w:r w:rsidRPr="00430AD2">
        <w:rPr>
          <w:u w:val="single"/>
        </w:rPr>
        <w:t xml:space="preserve">k. ú. Hlubočky – parc. č. </w:t>
      </w:r>
      <w:r>
        <w:rPr>
          <w:u w:val="single"/>
        </w:rPr>
        <w:t>2747, 2748/1</w:t>
      </w:r>
      <w:r w:rsidR="00170011">
        <w:rPr>
          <w:u w:val="single"/>
        </w:rPr>
        <w:t xml:space="preserve">, </w:t>
      </w:r>
      <w:r w:rsidR="00A126AC">
        <w:rPr>
          <w:u w:val="single"/>
        </w:rPr>
        <w:t xml:space="preserve">2769/4, 2802/1, </w:t>
      </w:r>
      <w:r>
        <w:rPr>
          <w:u w:val="single"/>
        </w:rPr>
        <w:t>2820</w:t>
      </w:r>
      <w:r w:rsidR="00170011">
        <w:rPr>
          <w:u w:val="single"/>
        </w:rPr>
        <w:t xml:space="preserve"> a 2829</w:t>
      </w:r>
      <w:r>
        <w:rPr>
          <w:u w:val="single"/>
        </w:rPr>
        <w:t xml:space="preserve"> </w:t>
      </w:r>
      <w:r w:rsidRPr="00430AD2">
        <w:rPr>
          <w:u w:val="single"/>
        </w:rPr>
        <w:t>pro individuální rekreaci</w:t>
      </w:r>
    </w:p>
    <w:p w14:paraId="71A7C0BD" w14:textId="06F5C9BF" w:rsidR="007B3A6F" w:rsidRDefault="00BB4B5E" w:rsidP="007B3A6F">
      <w:pPr>
        <w:pStyle w:val="Odstavecseseznamem"/>
        <w:ind w:left="709"/>
        <w:contextualSpacing w:val="0"/>
      </w:pPr>
      <w:r>
        <w:t xml:space="preserve">Požadavek </w:t>
      </w:r>
      <w:r w:rsidR="007B3A6F">
        <w:t>není v souladu s urbanistickou koncepcí plošně nerozvíjet zástavbu ve vyšších polohách svahů údolí Bystřice a jejích přítoků a dále zástavbu r</w:t>
      </w:r>
      <w:r w:rsidR="007B3A6F" w:rsidRPr="00FF5FBE">
        <w:t xml:space="preserve">ekreačních </w:t>
      </w:r>
      <w:r w:rsidR="007B3A6F">
        <w:t>a zahrádkových lokalit</w:t>
      </w:r>
      <w:r w:rsidR="007B3A6F" w:rsidRPr="00FF5FBE">
        <w:t xml:space="preserve"> </w:t>
      </w:r>
      <w:r w:rsidR="007B3A6F">
        <w:t xml:space="preserve">územně </w:t>
      </w:r>
      <w:r w:rsidR="007B3A6F" w:rsidRPr="00FF5FBE">
        <w:t>nerozšiřovat a</w:t>
      </w:r>
      <w:r>
        <w:t> </w:t>
      </w:r>
      <w:r w:rsidR="007B3A6F" w:rsidRPr="00FF5FBE">
        <w:t>rozvíjet pouze kvalitativně</w:t>
      </w:r>
      <w:r w:rsidR="007B3A6F">
        <w:t>.</w:t>
      </w:r>
    </w:p>
    <w:p w14:paraId="1143F55D" w14:textId="4B266307" w:rsidR="00AF0430" w:rsidRPr="00430AD2" w:rsidRDefault="00430AD2" w:rsidP="00C63B1B">
      <w:pPr>
        <w:pStyle w:val="Odstavecseseznamem"/>
        <w:ind w:left="709"/>
        <w:contextualSpacing w:val="0"/>
        <w:rPr>
          <w:u w:val="single"/>
        </w:rPr>
      </w:pPr>
      <w:r w:rsidRPr="00430AD2">
        <w:rPr>
          <w:u w:val="single"/>
        </w:rPr>
        <w:t xml:space="preserve">k. ú. Hlubočky – parc. č. </w:t>
      </w:r>
      <w:r w:rsidR="00136378">
        <w:rPr>
          <w:u w:val="single"/>
        </w:rPr>
        <w:t xml:space="preserve">1432 </w:t>
      </w:r>
      <w:r w:rsidRPr="00430AD2">
        <w:rPr>
          <w:u w:val="single"/>
        </w:rPr>
        <w:t>pro individuální rekreaci</w:t>
      </w:r>
    </w:p>
    <w:p w14:paraId="33025B5D" w14:textId="5A176689" w:rsidR="00430AD2" w:rsidRDefault="00BB4B5E" w:rsidP="00C63B1B">
      <w:pPr>
        <w:pStyle w:val="Odstavecseseznamem"/>
        <w:ind w:left="709"/>
        <w:contextualSpacing w:val="0"/>
      </w:pPr>
      <w:r>
        <w:t xml:space="preserve">Požadavek </w:t>
      </w:r>
      <w:r w:rsidR="00430AD2">
        <w:t xml:space="preserve">není v souladu s urbanistickou koncepcí. </w:t>
      </w:r>
      <w:r w:rsidR="00430AD2" w:rsidRPr="00430AD2">
        <w:t>Pozemek je součástí funkční plochy přírodní všeobecné (NU)</w:t>
      </w:r>
      <w:r w:rsidR="00430AD2">
        <w:t xml:space="preserve"> a RBC Hlubočská niva a</w:t>
      </w:r>
      <w:r w:rsidR="00430AD2" w:rsidRPr="00430AD2">
        <w:t xml:space="preserve"> neumožňuje </w:t>
      </w:r>
      <w:r w:rsidR="007C7B0E">
        <w:t>využití k</w:t>
      </w:r>
      <w:r w:rsidR="007C7B0E" w:rsidRPr="00136378">
        <w:t xml:space="preserve"> </w:t>
      </w:r>
      <w:r w:rsidR="00430AD2" w:rsidRPr="00430AD2">
        <w:t>individuální rekreaci.</w:t>
      </w:r>
    </w:p>
    <w:p w14:paraId="152195E3" w14:textId="30C26205" w:rsidR="005104B1" w:rsidRPr="00430AD2" w:rsidRDefault="005104B1" w:rsidP="005104B1">
      <w:pPr>
        <w:pStyle w:val="Odstavecseseznamem"/>
        <w:ind w:left="709"/>
        <w:contextualSpacing w:val="0"/>
        <w:rPr>
          <w:u w:val="single"/>
        </w:rPr>
      </w:pPr>
      <w:r w:rsidRPr="00430AD2">
        <w:rPr>
          <w:u w:val="single"/>
        </w:rPr>
        <w:t xml:space="preserve">k. ú. Hlubočky – parc. č. </w:t>
      </w:r>
      <w:r>
        <w:rPr>
          <w:u w:val="single"/>
        </w:rPr>
        <w:t xml:space="preserve">1432 </w:t>
      </w:r>
      <w:r w:rsidRPr="00430AD2">
        <w:rPr>
          <w:u w:val="single"/>
        </w:rPr>
        <w:t xml:space="preserve">pro </w:t>
      </w:r>
      <w:r>
        <w:rPr>
          <w:u w:val="single"/>
        </w:rPr>
        <w:t>zvýšení zastavitelnosti pozemků pro individuální rekreaci</w:t>
      </w:r>
    </w:p>
    <w:p w14:paraId="447FE9E0" w14:textId="29449D8F" w:rsidR="005104B1" w:rsidRDefault="005104B1" w:rsidP="005104B1">
      <w:pPr>
        <w:pStyle w:val="Odstavecseseznamem"/>
        <w:ind w:left="709"/>
        <w:contextualSpacing w:val="0"/>
      </w:pPr>
      <w:r>
        <w:t>Požadavek není v souladu s urbanistickou koncepcí</w:t>
      </w:r>
      <w:r w:rsidR="003F7B74">
        <w:t xml:space="preserve"> na respektování charakteru zástavby území</w:t>
      </w:r>
      <w:r w:rsidRPr="00430AD2">
        <w:t>.</w:t>
      </w:r>
      <w:r w:rsidR="003F7B74">
        <w:t xml:space="preserve"> Pozemek se nachází v koncové poloze struktury zástavby Podlesí bez zajištění dostatečně kapacitní veřejné infrastruktury. Zvýšení zastavitelnosti na 150 m</w:t>
      </w:r>
      <w:r w:rsidR="003F7B74" w:rsidRPr="003F7B74">
        <w:rPr>
          <w:vertAlign w:val="superscript"/>
        </w:rPr>
        <w:t>2</w:t>
      </w:r>
      <w:r w:rsidR="003F7B74">
        <w:t xml:space="preserve"> není v souladu s rekreačním využití území a má parametry zástavby pro bydlení.</w:t>
      </w:r>
    </w:p>
    <w:p w14:paraId="606AC9C2" w14:textId="37F74595" w:rsidR="00BB194A" w:rsidRPr="00430AD2" w:rsidRDefault="00BB194A" w:rsidP="00BB194A">
      <w:pPr>
        <w:pStyle w:val="Odstavecseseznamem"/>
        <w:ind w:left="709"/>
        <w:contextualSpacing w:val="0"/>
        <w:rPr>
          <w:u w:val="single"/>
        </w:rPr>
      </w:pPr>
      <w:r w:rsidRPr="00430AD2">
        <w:rPr>
          <w:u w:val="single"/>
        </w:rPr>
        <w:t xml:space="preserve">k. ú. Hlubočky – parc. č. </w:t>
      </w:r>
      <w:r>
        <w:rPr>
          <w:u w:val="single"/>
        </w:rPr>
        <w:t xml:space="preserve">507/2 a 508/4 </w:t>
      </w:r>
      <w:r w:rsidRPr="00430AD2">
        <w:rPr>
          <w:u w:val="single"/>
        </w:rPr>
        <w:t>pro</w:t>
      </w:r>
      <w:r>
        <w:rPr>
          <w:u w:val="single"/>
        </w:rPr>
        <w:t xml:space="preserve"> zahrady</w:t>
      </w:r>
    </w:p>
    <w:p w14:paraId="7BCAEF70" w14:textId="0E565E2A" w:rsidR="00BB194A" w:rsidRDefault="00BB4B5E" w:rsidP="00BB194A">
      <w:pPr>
        <w:pStyle w:val="Odstavecseseznamem"/>
        <w:ind w:left="709"/>
        <w:contextualSpacing w:val="0"/>
      </w:pPr>
      <w:r>
        <w:t>Požadavek</w:t>
      </w:r>
      <w:r w:rsidR="00BB194A">
        <w:t xml:space="preserve"> není v souladu s urbanistickou koncepcí. Pozemek je vymezen pro občanské vybavení pro rozvoj rekreačního areálu Mariánské Údolí, případně jiné občanské vybavení obce.</w:t>
      </w:r>
    </w:p>
    <w:p w14:paraId="5F2C2C32" w14:textId="0C22FCC0" w:rsidR="008D425A" w:rsidRPr="00430AD2" w:rsidRDefault="008D425A" w:rsidP="008D425A">
      <w:pPr>
        <w:pStyle w:val="Odstavecseseznamem"/>
        <w:ind w:left="709"/>
        <w:contextualSpacing w:val="0"/>
        <w:rPr>
          <w:u w:val="single"/>
        </w:rPr>
      </w:pPr>
      <w:r w:rsidRPr="00430AD2">
        <w:rPr>
          <w:u w:val="single"/>
        </w:rPr>
        <w:t xml:space="preserve">k. ú. Hlubočky – parc. č. </w:t>
      </w:r>
      <w:r>
        <w:rPr>
          <w:u w:val="single"/>
        </w:rPr>
        <w:t xml:space="preserve">397, 401 a 402 </w:t>
      </w:r>
      <w:r w:rsidRPr="00430AD2">
        <w:rPr>
          <w:u w:val="single"/>
        </w:rPr>
        <w:t xml:space="preserve">pro </w:t>
      </w:r>
      <w:r>
        <w:rPr>
          <w:u w:val="single"/>
        </w:rPr>
        <w:t>parkování</w:t>
      </w:r>
    </w:p>
    <w:p w14:paraId="3CA86E3A" w14:textId="3E06C2B9" w:rsidR="008D425A" w:rsidRDefault="008D425A" w:rsidP="008D425A">
      <w:pPr>
        <w:pStyle w:val="Odstavecseseznamem"/>
        <w:ind w:left="709"/>
        <w:contextualSpacing w:val="0"/>
      </w:pPr>
      <w:r>
        <w:t>Požadavek není v souladu s koncepcí veřejné infrastruktury. Pozemky jsou dlouhodobě vymezeny jako prostorová rezerva pro zkapacitnění čistírny odpadních vod</w:t>
      </w:r>
      <w:r w:rsidRPr="00430AD2">
        <w:t>.</w:t>
      </w:r>
    </w:p>
    <w:p w14:paraId="2A7D2128" w14:textId="36D914FB" w:rsidR="00892661" w:rsidRPr="00430AD2" w:rsidRDefault="00892661" w:rsidP="00892661">
      <w:pPr>
        <w:pStyle w:val="Odstavecseseznamem"/>
        <w:ind w:left="709"/>
        <w:contextualSpacing w:val="0"/>
        <w:rPr>
          <w:u w:val="single"/>
        </w:rPr>
      </w:pPr>
      <w:r w:rsidRPr="00430AD2">
        <w:rPr>
          <w:u w:val="single"/>
        </w:rPr>
        <w:t xml:space="preserve">k. ú. </w:t>
      </w:r>
      <w:r>
        <w:rPr>
          <w:u w:val="single"/>
        </w:rPr>
        <w:t>Hrubá Voda</w:t>
      </w:r>
      <w:r w:rsidRPr="00430AD2">
        <w:rPr>
          <w:u w:val="single"/>
        </w:rPr>
        <w:t xml:space="preserve"> – parc. č. </w:t>
      </w:r>
      <w:r>
        <w:rPr>
          <w:u w:val="single"/>
        </w:rPr>
        <w:t xml:space="preserve">496 a 497 </w:t>
      </w:r>
      <w:r w:rsidRPr="00430AD2">
        <w:rPr>
          <w:u w:val="single"/>
        </w:rPr>
        <w:t xml:space="preserve">pro </w:t>
      </w:r>
      <w:r>
        <w:rPr>
          <w:u w:val="single"/>
        </w:rPr>
        <w:t>bydlení</w:t>
      </w:r>
    </w:p>
    <w:p w14:paraId="1D6DC02B" w14:textId="6950A96E" w:rsidR="00892661" w:rsidRDefault="00BB4B5E" w:rsidP="00892661">
      <w:pPr>
        <w:pStyle w:val="Odstavecseseznamem"/>
        <w:ind w:left="709"/>
        <w:contextualSpacing w:val="0"/>
      </w:pPr>
      <w:r>
        <w:t xml:space="preserve">Požadavek </w:t>
      </w:r>
      <w:r w:rsidR="00892661">
        <w:t xml:space="preserve">není v souladu s urbanistickou koncepcí plošně nerozvíjet zástavbu ve vyšších polohách svahů údolí Bystřice a jejích přítoků. </w:t>
      </w:r>
      <w:r w:rsidR="004A5216">
        <w:t xml:space="preserve">Jeho západní rovinná část leží v ochranném pásmu dráhy a ochranné pásmu nadzemního vedení VN. </w:t>
      </w:r>
    </w:p>
    <w:p w14:paraId="003DB22A" w14:textId="3F94AADB" w:rsidR="000E0E18" w:rsidRDefault="000E0E18" w:rsidP="00C63B1B">
      <w:pPr>
        <w:pStyle w:val="Odstavecseseznamem"/>
        <w:ind w:left="709"/>
        <w:contextualSpacing w:val="0"/>
      </w:pPr>
    </w:p>
    <w:p w14:paraId="231E0DDE" w14:textId="46A0827A" w:rsidR="008702BA" w:rsidRDefault="009955F5" w:rsidP="00C63B1B">
      <w:pPr>
        <w:pStyle w:val="Odstavecseseznamem"/>
        <w:ind w:left="709"/>
        <w:contextualSpacing w:val="0"/>
      </w:pPr>
      <w:r>
        <w:t>Podrobné z</w:t>
      </w:r>
      <w:r w:rsidR="008702BA">
        <w:t xml:space="preserve">důvodnění urbanistické koncepce je předmětem kap. IX. </w:t>
      </w:r>
      <w:r w:rsidR="007A4A48">
        <w:t>K</w:t>
      </w:r>
      <w:r w:rsidR="008702BA">
        <w:t>omplexní zdůvodnění přijatého řešení.</w:t>
      </w:r>
    </w:p>
    <w:p w14:paraId="1689A6B6" w14:textId="0C5F0FCC" w:rsidR="00EC2A9C" w:rsidRDefault="00504394" w:rsidP="00EC2A9C">
      <w:pPr>
        <w:pStyle w:val="Nadpis3"/>
      </w:pPr>
      <w:bookmarkStart w:id="64" w:name="_Toc232612609"/>
      <w:r>
        <w:t>P</w:t>
      </w:r>
      <w:r w:rsidR="00EC2A9C" w:rsidRPr="00EC2A9C">
        <w:t>ožadavky na koncepci veřejné infrastruktury,</w:t>
      </w:r>
      <w:bookmarkEnd w:id="64"/>
      <w:r w:rsidR="00EC2A9C" w:rsidRPr="00EC2A9C">
        <w:t xml:space="preserve"> </w:t>
      </w:r>
    </w:p>
    <w:p w14:paraId="11F179B0" w14:textId="15A78838" w:rsidR="00EC2A9C" w:rsidRDefault="00EC2A9C" w:rsidP="00EC2A9C">
      <w:pPr>
        <w:pStyle w:val="Odstavecseseznamem"/>
        <w:ind w:left="709"/>
        <w:contextualSpacing w:val="0"/>
      </w:pPr>
      <w:r w:rsidRPr="00EC2A9C">
        <w:t>zejména na prověření uspořádání veřejné</w:t>
      </w:r>
      <w:r>
        <w:t xml:space="preserve"> </w:t>
      </w:r>
      <w:r w:rsidRPr="00EC2A9C">
        <w:t>infrastruktury a možnosti jejích změn</w:t>
      </w:r>
    </w:p>
    <w:p w14:paraId="48CCF3B0" w14:textId="09AC1B1F" w:rsidR="00EC2A9C" w:rsidRPr="00EC2A9C" w:rsidRDefault="00EC2A9C" w:rsidP="00EC2A9C">
      <w:pPr>
        <w:pStyle w:val="Odstavecseseznamem"/>
        <w:ind w:left="709"/>
        <w:contextualSpacing w:val="0"/>
        <w:rPr>
          <w:i/>
          <w:iCs/>
        </w:rPr>
      </w:pPr>
      <w:r w:rsidRPr="00EC2A9C">
        <w:rPr>
          <w:i/>
          <w:iCs/>
        </w:rPr>
        <w:t>Vytvářet podmínky pro koordinované umísťování veřejné infrastruktury v území. Podle místních podmínek vytvářet předpoklady pro lepší dostupnost území a zkvalitnění dopravní a technické infrastruktury s ohledem na prostupnost krajiny. Při umísťování dopravní a technické infrastruktury zachovat prostupnost krajiny a minimalizovat rozsah fragmentace krajiny; je-li to z těchto hledisek účelné, umísťovat tato zařízení souběžně.</w:t>
      </w:r>
    </w:p>
    <w:p w14:paraId="3E9B5E88" w14:textId="0BE10B8C" w:rsidR="00EC2A9C" w:rsidRPr="00EC2A9C" w:rsidRDefault="00EC2A9C" w:rsidP="00EC2A9C">
      <w:pPr>
        <w:pStyle w:val="Odstavecseseznamem"/>
        <w:ind w:left="709"/>
        <w:contextualSpacing w:val="0"/>
        <w:rPr>
          <w:i/>
          <w:iCs/>
        </w:rPr>
      </w:pPr>
      <w:r w:rsidRPr="00EC2A9C">
        <w:rPr>
          <w:i/>
          <w:iCs/>
        </w:rPr>
        <w:t>Pro nové zastavitelné plochy, které budou vyžadovat vybudování dopravní nebo technické infrastruktury, budou vyznačeny koridory dopravní a technické infrastruktury od bodů napojení. Inženýrské sítě proto budou graficky znázorněny včetně uličních sítí.</w:t>
      </w:r>
    </w:p>
    <w:p w14:paraId="274D67A3" w14:textId="55F9F792" w:rsidR="00EC2A9C" w:rsidRDefault="00EC2A9C" w:rsidP="00EC2A9C">
      <w:pPr>
        <w:pStyle w:val="Odstavecseseznamem"/>
        <w:ind w:left="709"/>
        <w:contextualSpacing w:val="0"/>
      </w:pPr>
      <w:r>
        <w:t xml:space="preserve">Územní plán stanovuje podmínky pro rozvoj veřejné infrastruktury v souladu s urbanistickou koncepcí obce. Prostupnost krajiny a sídla je posilována řešení systému veřejných prostranství a požadavků na cestní síť v krajině. </w:t>
      </w:r>
    </w:p>
    <w:p w14:paraId="7328B45E" w14:textId="33314096" w:rsidR="00EC2A9C" w:rsidRDefault="00EC2A9C" w:rsidP="00EC2A9C">
      <w:pPr>
        <w:pStyle w:val="Odstavecseseznamem"/>
        <w:ind w:left="709"/>
        <w:contextualSpacing w:val="0"/>
      </w:pPr>
      <w:r>
        <w:t>Zastavitelné převážně navazují a jsou obsluhovány ze stávajících systému veřejné infrastruktury. Pro zastavitelné plochy, kde je stanovena podmínka územní studie nebo plánovací smlouvy nejsou koridory nebo plochy veřejné infrastruktury vymezeny plošně, ale zajištění obsluhy veřejnou infrastrukturou stanoveno jako podmínka pro řešení územní studie nebo plánovací smlouvy. Toto řešení je zvoleno z důvodu možnosti podrobnějšího řešení struktury a infrastruktury lokalit bez nutnosti neustálých změn územního plánu.</w:t>
      </w:r>
    </w:p>
    <w:p w14:paraId="7F958A97" w14:textId="77777777" w:rsidR="001558F1" w:rsidRPr="00514C76" w:rsidRDefault="001558F1" w:rsidP="001558F1">
      <w:pPr>
        <w:pStyle w:val="Odstavecseseznamem"/>
        <w:ind w:left="709"/>
        <w:rPr>
          <w:b/>
          <w:bCs/>
          <w:i/>
          <w:iCs/>
          <w:u w:val="single"/>
        </w:rPr>
      </w:pPr>
      <w:r w:rsidRPr="00514C76">
        <w:rPr>
          <w:i/>
          <w:iCs/>
          <w:u w:val="single"/>
        </w:rPr>
        <w:t xml:space="preserve">Z uvedené </w:t>
      </w:r>
      <w:r w:rsidRPr="00514C76">
        <w:rPr>
          <w:b/>
          <w:bCs/>
          <w:i/>
          <w:iCs/>
          <w:u w:val="single"/>
        </w:rPr>
        <w:t xml:space="preserve">PÚR </w:t>
      </w:r>
      <w:r w:rsidRPr="00514C76">
        <w:rPr>
          <w:i/>
          <w:iCs/>
          <w:u w:val="single"/>
        </w:rPr>
        <w:t xml:space="preserve">ČR budou respektovány mimo jiné tyto </w:t>
      </w:r>
      <w:r w:rsidRPr="00514C76">
        <w:rPr>
          <w:b/>
          <w:bCs/>
          <w:i/>
          <w:iCs/>
          <w:u w:val="single"/>
        </w:rPr>
        <w:t>republikové priority:</w:t>
      </w:r>
    </w:p>
    <w:p w14:paraId="12D70F53" w14:textId="05D1C8FD" w:rsidR="001558F1" w:rsidRPr="001558F1" w:rsidRDefault="001558F1">
      <w:pPr>
        <w:pStyle w:val="Odstavecseseznamem"/>
        <w:numPr>
          <w:ilvl w:val="0"/>
          <w:numId w:val="18"/>
        </w:numPr>
        <w:ind w:left="709"/>
        <w:rPr>
          <w:i/>
          <w:iCs/>
        </w:rPr>
      </w:pPr>
      <w:r w:rsidRPr="001558F1">
        <w:rPr>
          <w:i/>
          <w:iCs/>
        </w:rPr>
        <w:t>Vytvářet předpoklady pro lepší dostupnost území a zkvalitnění dopravní a technické infrastruktury s ohledem na prostupnost krajiny. Při umisťování dopravní a technické infrastruktury zachovat prostupnost krajiny a minimalizovat rozsah fragmentace krajiny. Je-li to z těchto hledisek účelné, umisťovat tato zařízení souběžně. (čl. 23)</w:t>
      </w:r>
    </w:p>
    <w:p w14:paraId="2615AD92" w14:textId="279B5620" w:rsidR="001558F1" w:rsidRDefault="001558F1">
      <w:pPr>
        <w:pStyle w:val="Odstavecseseznamem"/>
        <w:numPr>
          <w:ilvl w:val="0"/>
          <w:numId w:val="18"/>
        </w:numPr>
        <w:ind w:left="709"/>
        <w:rPr>
          <w:i/>
          <w:iCs/>
        </w:rPr>
      </w:pPr>
      <w:r w:rsidRPr="001558F1">
        <w:rPr>
          <w:i/>
          <w:iCs/>
        </w:rPr>
        <w:t>Možnosti nové výstavby je třeba dostatečnou veřejnou infrastrukturou přímo podmínit. (čl. 24)</w:t>
      </w:r>
    </w:p>
    <w:p w14:paraId="71E164A0" w14:textId="77777777" w:rsidR="004F38D9" w:rsidRDefault="004F38D9" w:rsidP="004F38D9">
      <w:pPr>
        <w:pStyle w:val="Odstavecseseznamem"/>
      </w:pPr>
    </w:p>
    <w:p w14:paraId="6ABFFBCC" w14:textId="10358FFC" w:rsidR="004F38D9" w:rsidRPr="004F38D9" w:rsidRDefault="004F38D9" w:rsidP="004F38D9">
      <w:pPr>
        <w:pStyle w:val="Odstavecseseznamem"/>
        <w:rPr>
          <w:i/>
          <w:iCs/>
          <w:u w:val="single"/>
        </w:rPr>
      </w:pPr>
      <w:r w:rsidRPr="004F38D9">
        <w:rPr>
          <w:i/>
          <w:iCs/>
          <w:u w:val="single"/>
        </w:rPr>
        <w:lastRenderedPageBreak/>
        <w:t>Dopravní infrastruktura</w:t>
      </w:r>
    </w:p>
    <w:p w14:paraId="02D59EE7" w14:textId="38C8BAF9" w:rsidR="004F38D9" w:rsidRPr="004F38D9" w:rsidRDefault="004F38D9">
      <w:pPr>
        <w:pStyle w:val="Odstavecseseznamem"/>
        <w:numPr>
          <w:ilvl w:val="0"/>
          <w:numId w:val="18"/>
        </w:numPr>
        <w:ind w:left="709"/>
        <w:rPr>
          <w:i/>
          <w:iCs/>
        </w:rPr>
      </w:pPr>
      <w:r w:rsidRPr="004F38D9">
        <w:rPr>
          <w:i/>
          <w:iCs/>
        </w:rPr>
        <w:t>Vytvářet podmínky pro zlepšování dostupnosti území rozšiřováním a zkvalitňováním dopravní infrastruktury s ohledem na potřeby veřejné dopravy a požadavky ochrany veřejného zdraví. (čl. 24)</w:t>
      </w:r>
    </w:p>
    <w:p w14:paraId="5526F30B" w14:textId="7B14E5CE" w:rsidR="004F38D9" w:rsidRPr="004F38D9" w:rsidRDefault="004F38D9">
      <w:pPr>
        <w:pStyle w:val="Odstavecseseznamem"/>
        <w:numPr>
          <w:ilvl w:val="0"/>
          <w:numId w:val="18"/>
        </w:numPr>
        <w:ind w:left="709"/>
        <w:rPr>
          <w:i/>
          <w:iCs/>
        </w:rPr>
      </w:pPr>
      <w:r w:rsidRPr="004F38D9">
        <w:rPr>
          <w:i/>
          <w:iCs/>
        </w:rPr>
        <w:t>Vytvářet podmínky pro zvyšování bezpečnosti a plynulosti dopravy, ochrany a bezpečnosti obyvatelstva a zlepšování jeho ochrany před hlukem a emisemi. (čl. 24)</w:t>
      </w:r>
    </w:p>
    <w:p w14:paraId="5246C93B" w14:textId="671E5223" w:rsidR="004F38D9" w:rsidRPr="004F38D9" w:rsidRDefault="004F38D9">
      <w:pPr>
        <w:pStyle w:val="Odstavecseseznamem"/>
        <w:numPr>
          <w:ilvl w:val="0"/>
          <w:numId w:val="18"/>
        </w:numPr>
        <w:ind w:left="709"/>
        <w:rPr>
          <w:i/>
          <w:iCs/>
        </w:rPr>
      </w:pPr>
      <w:r w:rsidRPr="004F38D9">
        <w:rPr>
          <w:i/>
          <w:iCs/>
        </w:rPr>
        <w:t>Vytvářet v území podmínky pro environmentálně šetrné formy dopravy, např. železniční,</w:t>
      </w:r>
    </w:p>
    <w:p w14:paraId="1C1A21F3" w14:textId="00A2CD48" w:rsidR="004F38D9" w:rsidRPr="004F38D9" w:rsidRDefault="004F38D9">
      <w:pPr>
        <w:pStyle w:val="Odstavecseseznamem"/>
        <w:numPr>
          <w:ilvl w:val="0"/>
          <w:numId w:val="18"/>
        </w:numPr>
        <w:ind w:left="709"/>
        <w:rPr>
          <w:i/>
          <w:iCs/>
        </w:rPr>
      </w:pPr>
      <w:r w:rsidRPr="004F38D9">
        <w:rPr>
          <w:i/>
          <w:iCs/>
        </w:rPr>
        <w:t>cyklistickou dopravu. (čl. 24)</w:t>
      </w:r>
    </w:p>
    <w:p w14:paraId="79E2FE45" w14:textId="3280C343" w:rsidR="004F38D9" w:rsidRPr="004F38D9" w:rsidRDefault="004F38D9" w:rsidP="004F38D9">
      <w:pPr>
        <w:pStyle w:val="Odstavecseseznamem"/>
        <w:rPr>
          <w:i/>
          <w:iCs/>
          <w:u w:val="single"/>
        </w:rPr>
      </w:pPr>
      <w:r w:rsidRPr="004F38D9">
        <w:rPr>
          <w:i/>
          <w:iCs/>
          <w:u w:val="single"/>
        </w:rPr>
        <w:t>Technická infrastruktura</w:t>
      </w:r>
    </w:p>
    <w:p w14:paraId="31CE4DC0" w14:textId="4B135FD2" w:rsidR="004F38D9" w:rsidRPr="00AF18C4" w:rsidRDefault="004F38D9">
      <w:pPr>
        <w:pStyle w:val="Odstavecseseznamem"/>
        <w:numPr>
          <w:ilvl w:val="0"/>
          <w:numId w:val="18"/>
        </w:numPr>
        <w:ind w:left="709"/>
        <w:rPr>
          <w:i/>
          <w:iCs/>
        </w:rPr>
      </w:pPr>
      <w:r w:rsidRPr="00AF18C4">
        <w:rPr>
          <w:i/>
          <w:iCs/>
        </w:rPr>
        <w:t>Vytvářet podmínky pro preventivní ochranu území a obyvatelstva před potenciálními riziky a přírodními katastrofami v území (záplavy, sesuvy půdy, eroze, sucho atd.) s cílem jim předcházet</w:t>
      </w:r>
    </w:p>
    <w:p w14:paraId="52898089" w14:textId="77777777" w:rsidR="004F38D9" w:rsidRPr="00AF18C4" w:rsidRDefault="004F38D9">
      <w:pPr>
        <w:pStyle w:val="Odstavecseseznamem"/>
        <w:numPr>
          <w:ilvl w:val="0"/>
          <w:numId w:val="18"/>
        </w:numPr>
        <w:ind w:left="709"/>
        <w:rPr>
          <w:i/>
          <w:iCs/>
        </w:rPr>
      </w:pPr>
      <w:r w:rsidRPr="00AF18C4">
        <w:rPr>
          <w:i/>
          <w:iCs/>
        </w:rPr>
        <w:t>a minimalizovat jejich negativní dopady. (čl. 25)</w:t>
      </w:r>
    </w:p>
    <w:p w14:paraId="15C0A32B" w14:textId="1711F419" w:rsidR="004F38D9" w:rsidRPr="00AF18C4" w:rsidRDefault="004F38D9">
      <w:pPr>
        <w:pStyle w:val="Odstavecseseznamem"/>
        <w:numPr>
          <w:ilvl w:val="0"/>
          <w:numId w:val="18"/>
        </w:numPr>
        <w:ind w:left="709"/>
        <w:rPr>
          <w:i/>
          <w:iCs/>
        </w:rPr>
      </w:pPr>
      <w:r w:rsidRPr="00AF18C4">
        <w:rPr>
          <w:i/>
          <w:iCs/>
        </w:rPr>
        <w:t>Vytvářet podmínky pro zvýšení přirozené retence srážkových vod v území a využívání přírodě</w:t>
      </w:r>
      <w:r w:rsidR="00AF18C4" w:rsidRPr="00AF18C4">
        <w:rPr>
          <w:i/>
          <w:iCs/>
        </w:rPr>
        <w:t xml:space="preserve"> </w:t>
      </w:r>
      <w:r w:rsidRPr="00AF18C4">
        <w:rPr>
          <w:i/>
          <w:iCs/>
        </w:rPr>
        <w:t>blízkých opatření pro zadržování a akumulaci povrchové vody tam, kde je to možné s ohledem na</w:t>
      </w:r>
      <w:r w:rsidR="00AF18C4" w:rsidRPr="00AF18C4">
        <w:rPr>
          <w:i/>
          <w:iCs/>
        </w:rPr>
        <w:t xml:space="preserve"> </w:t>
      </w:r>
      <w:r w:rsidRPr="00AF18C4">
        <w:rPr>
          <w:i/>
          <w:iCs/>
        </w:rPr>
        <w:t>strukturu osídlení a kulturní krajinu, jako jedno z adaptačních opatření v případě dopadů změny</w:t>
      </w:r>
      <w:r w:rsidR="00AF18C4" w:rsidRPr="00AF18C4">
        <w:rPr>
          <w:i/>
          <w:iCs/>
        </w:rPr>
        <w:t xml:space="preserve"> </w:t>
      </w:r>
      <w:r w:rsidRPr="00AF18C4">
        <w:rPr>
          <w:i/>
          <w:iCs/>
        </w:rPr>
        <w:t>klimatu. (čl. 25)</w:t>
      </w:r>
    </w:p>
    <w:p w14:paraId="32BAF583" w14:textId="775DBA45" w:rsidR="004F38D9" w:rsidRPr="00AF18C4" w:rsidRDefault="004F38D9">
      <w:pPr>
        <w:pStyle w:val="Odstavecseseznamem"/>
        <w:numPr>
          <w:ilvl w:val="0"/>
          <w:numId w:val="18"/>
        </w:numPr>
        <w:ind w:left="709"/>
        <w:rPr>
          <w:i/>
          <w:iCs/>
        </w:rPr>
      </w:pPr>
      <w:r w:rsidRPr="00AF18C4">
        <w:rPr>
          <w:i/>
          <w:iCs/>
        </w:rPr>
        <w:t>V území vytvářet podmínky pro zadržování, vsakování i využívání srážkových vod jako zdroje</w:t>
      </w:r>
      <w:r w:rsidR="00AF18C4" w:rsidRPr="00AF18C4">
        <w:rPr>
          <w:i/>
          <w:iCs/>
        </w:rPr>
        <w:t xml:space="preserve"> </w:t>
      </w:r>
      <w:r w:rsidRPr="00AF18C4">
        <w:rPr>
          <w:i/>
          <w:iCs/>
        </w:rPr>
        <w:t>vody a s cílem zmírňování účinků povodní a sucha. (čl. 25)</w:t>
      </w:r>
    </w:p>
    <w:p w14:paraId="49697B61" w14:textId="1670782B" w:rsidR="004F38D9" w:rsidRPr="00AF18C4" w:rsidRDefault="004F38D9">
      <w:pPr>
        <w:pStyle w:val="Odstavecseseznamem"/>
        <w:numPr>
          <w:ilvl w:val="0"/>
          <w:numId w:val="18"/>
        </w:numPr>
        <w:ind w:left="709"/>
        <w:rPr>
          <w:i/>
          <w:iCs/>
        </w:rPr>
      </w:pPr>
      <w:r w:rsidRPr="00AF18C4">
        <w:rPr>
          <w:i/>
          <w:iCs/>
        </w:rPr>
        <w:t>Při vymezování zastavitelných ploch zohlednit hospodaření se srážkovými vodami. (čl. 25)</w:t>
      </w:r>
    </w:p>
    <w:p w14:paraId="4EBCAAC5" w14:textId="7C735140" w:rsidR="004F38D9" w:rsidRPr="00AF18C4" w:rsidRDefault="004F38D9">
      <w:pPr>
        <w:pStyle w:val="Odstavecseseznamem"/>
        <w:numPr>
          <w:ilvl w:val="0"/>
          <w:numId w:val="18"/>
        </w:numPr>
        <w:ind w:left="709"/>
        <w:rPr>
          <w:i/>
          <w:iCs/>
        </w:rPr>
      </w:pPr>
      <w:r w:rsidRPr="00AF18C4">
        <w:rPr>
          <w:i/>
          <w:iCs/>
        </w:rPr>
        <w:t>Vytvářet podmínky pro koordinované umísťování veřejné infrastruktury v území a její rozvoj a</w:t>
      </w:r>
      <w:r w:rsidR="00AF18C4" w:rsidRPr="00AF18C4">
        <w:rPr>
          <w:i/>
          <w:iCs/>
        </w:rPr>
        <w:t xml:space="preserve"> </w:t>
      </w:r>
      <w:r w:rsidRPr="00AF18C4">
        <w:rPr>
          <w:i/>
          <w:iCs/>
        </w:rPr>
        <w:t>tím podporovat její účelné využívání v rámci sídelní struktury. (čl. 27)</w:t>
      </w:r>
    </w:p>
    <w:p w14:paraId="44D7B00B" w14:textId="4242C152" w:rsidR="004F38D9" w:rsidRPr="00AF18C4" w:rsidRDefault="004F38D9">
      <w:pPr>
        <w:pStyle w:val="Odstavecseseznamem"/>
        <w:numPr>
          <w:ilvl w:val="0"/>
          <w:numId w:val="18"/>
        </w:numPr>
        <w:ind w:left="709"/>
        <w:rPr>
          <w:i/>
          <w:iCs/>
        </w:rPr>
      </w:pPr>
      <w:r w:rsidRPr="00AF18C4">
        <w:rPr>
          <w:i/>
          <w:iCs/>
        </w:rPr>
        <w:t>Pro zajištění kvality života obyvatel zohledňovat nároky dalšího vývoje území, požadovat jeho</w:t>
      </w:r>
      <w:r w:rsidR="00AF18C4" w:rsidRPr="00AF18C4">
        <w:rPr>
          <w:i/>
          <w:iCs/>
        </w:rPr>
        <w:t xml:space="preserve"> </w:t>
      </w:r>
      <w:r w:rsidRPr="00AF18C4">
        <w:rPr>
          <w:i/>
          <w:iCs/>
        </w:rPr>
        <w:t>řešení ve všech potřebných dlouhodobých souvislostech, včetně nároků na veřejnou infrastrukturu.</w:t>
      </w:r>
      <w:r w:rsidR="00AF18C4" w:rsidRPr="00AF18C4">
        <w:rPr>
          <w:i/>
          <w:iCs/>
        </w:rPr>
        <w:t xml:space="preserve"> </w:t>
      </w:r>
      <w:r w:rsidRPr="00AF18C4">
        <w:rPr>
          <w:i/>
          <w:iCs/>
        </w:rPr>
        <w:t>(čl. 28)</w:t>
      </w:r>
    </w:p>
    <w:p w14:paraId="1E033898" w14:textId="72AF84D5" w:rsidR="004F38D9" w:rsidRPr="00AF18C4" w:rsidRDefault="004F38D9">
      <w:pPr>
        <w:pStyle w:val="Odstavecseseznamem"/>
        <w:numPr>
          <w:ilvl w:val="0"/>
          <w:numId w:val="18"/>
        </w:numPr>
        <w:ind w:left="709"/>
        <w:rPr>
          <w:i/>
          <w:iCs/>
        </w:rPr>
      </w:pPr>
      <w:r w:rsidRPr="00AF18C4">
        <w:rPr>
          <w:i/>
          <w:iCs/>
        </w:rPr>
        <w:t>Vytvářet územní podmínky pro rozvoj decentralizované, efektivní a bezpečné výroby energie z</w:t>
      </w:r>
      <w:r w:rsidR="00AF18C4" w:rsidRPr="00AF18C4">
        <w:rPr>
          <w:i/>
          <w:iCs/>
        </w:rPr>
        <w:t xml:space="preserve"> </w:t>
      </w:r>
      <w:r w:rsidRPr="00AF18C4">
        <w:rPr>
          <w:i/>
          <w:iCs/>
        </w:rPr>
        <w:t>obnovitelných zdrojů, šetrné k životnímu prostředí, s cílem minimalizace jejich negativních vlivů</w:t>
      </w:r>
      <w:r w:rsidR="00AF18C4" w:rsidRPr="00AF18C4">
        <w:rPr>
          <w:i/>
          <w:iCs/>
        </w:rPr>
        <w:t xml:space="preserve"> </w:t>
      </w:r>
      <w:r w:rsidRPr="00AF18C4">
        <w:rPr>
          <w:i/>
          <w:iCs/>
        </w:rPr>
        <w:t>a rizik při respektování přednosti zajištění bezpečného zásobování území energiemi. (čl. 31)</w:t>
      </w:r>
    </w:p>
    <w:p w14:paraId="74325A12" w14:textId="77777777" w:rsidR="004F38D9" w:rsidRDefault="004F38D9" w:rsidP="00D85510">
      <w:pPr>
        <w:pStyle w:val="Odstavecseseznamem"/>
        <w:ind w:left="709"/>
        <w:contextualSpacing w:val="0"/>
      </w:pPr>
    </w:p>
    <w:p w14:paraId="447EC80E" w14:textId="61D83DDA" w:rsidR="001558F1" w:rsidRPr="001558F1" w:rsidRDefault="001558F1" w:rsidP="00D85510">
      <w:pPr>
        <w:pStyle w:val="Odstavecseseznamem"/>
        <w:ind w:left="709"/>
        <w:contextualSpacing w:val="0"/>
      </w:pPr>
      <w:r>
        <w:t xml:space="preserve">Řešení </w:t>
      </w:r>
      <w:r w:rsidR="00340109">
        <w:t>koncepce veřejné infrastruktury</w:t>
      </w:r>
      <w:r>
        <w:t xml:space="preserve"> respektuje a naplňuje republikové priority PÚR. Vyhodnocení souladu územního plánu s PÚR je předmětem kap. IV.a.</w:t>
      </w:r>
    </w:p>
    <w:p w14:paraId="2FB47BEE" w14:textId="77777777" w:rsidR="00AF18C4" w:rsidRPr="00514C76" w:rsidRDefault="00AF18C4" w:rsidP="00514C76">
      <w:pPr>
        <w:pStyle w:val="Odstavecseseznamem"/>
        <w:ind w:left="709"/>
        <w:contextualSpacing w:val="0"/>
        <w:rPr>
          <w:i/>
          <w:iCs/>
          <w:u w:val="single"/>
        </w:rPr>
      </w:pPr>
      <w:r w:rsidRPr="00514C76">
        <w:rPr>
          <w:i/>
          <w:iCs/>
          <w:u w:val="single"/>
        </w:rPr>
        <w:t xml:space="preserve">Z uvedených </w:t>
      </w:r>
      <w:r w:rsidRPr="00514C76">
        <w:rPr>
          <w:b/>
          <w:bCs/>
          <w:i/>
          <w:iCs/>
          <w:u w:val="single"/>
        </w:rPr>
        <w:t>ZÚR OK</w:t>
      </w:r>
      <w:r w:rsidRPr="00514C76">
        <w:rPr>
          <w:i/>
          <w:iCs/>
          <w:u w:val="single"/>
        </w:rPr>
        <w:t xml:space="preserve"> vyplývají pro řešení Územního plánu Hlubočky mimo jiné tyto požadavky:</w:t>
      </w:r>
    </w:p>
    <w:p w14:paraId="3A03255D" w14:textId="77777777" w:rsidR="00AF18C4" w:rsidRPr="00AF18C4" w:rsidRDefault="00AF18C4" w:rsidP="00AF18C4">
      <w:pPr>
        <w:pStyle w:val="Odstavecseseznamem"/>
        <w:rPr>
          <w:i/>
          <w:iCs/>
          <w:u w:val="single"/>
        </w:rPr>
      </w:pPr>
      <w:r w:rsidRPr="00AF18C4">
        <w:rPr>
          <w:i/>
          <w:iCs/>
          <w:u w:val="single"/>
        </w:rPr>
        <w:t>Dopravní infrastruktura</w:t>
      </w:r>
    </w:p>
    <w:p w14:paraId="6781BDAA" w14:textId="448B832D" w:rsidR="00AF18C4" w:rsidRPr="00AF18C4" w:rsidRDefault="00AF18C4">
      <w:pPr>
        <w:pStyle w:val="Odstavecseseznamem"/>
        <w:numPr>
          <w:ilvl w:val="0"/>
          <w:numId w:val="18"/>
        </w:numPr>
        <w:ind w:left="709"/>
        <w:rPr>
          <w:i/>
          <w:iCs/>
        </w:rPr>
      </w:pPr>
      <w:r w:rsidRPr="00AF18C4">
        <w:rPr>
          <w:i/>
          <w:iCs/>
        </w:rPr>
        <w:t>Vymezit plochy a koridory veřejné infrastruktury přiměřené velikosti a funkčnímu významu obce, a to zejména vzhledem ke stavu a očekávanému vývoji dopravní obslužnosti území. (odst. 3.2.2)</w:t>
      </w:r>
    </w:p>
    <w:p w14:paraId="77561E63" w14:textId="66E3AE81" w:rsidR="00AF18C4" w:rsidRPr="00AF18C4" w:rsidRDefault="00AF18C4">
      <w:pPr>
        <w:pStyle w:val="Odstavecseseznamem"/>
        <w:numPr>
          <w:ilvl w:val="0"/>
          <w:numId w:val="18"/>
        </w:numPr>
        <w:ind w:left="709"/>
        <w:rPr>
          <w:i/>
          <w:iCs/>
        </w:rPr>
      </w:pPr>
      <w:r w:rsidRPr="00AF18C4">
        <w:rPr>
          <w:i/>
          <w:iCs/>
        </w:rPr>
        <w:t>Respektovat základní síť cyklistických tras. (odst. 32)</w:t>
      </w:r>
    </w:p>
    <w:p w14:paraId="3D0862C4" w14:textId="71E59C88" w:rsidR="00AF18C4" w:rsidRPr="00AF18C4" w:rsidRDefault="00AF18C4">
      <w:pPr>
        <w:pStyle w:val="Odstavecseseznamem"/>
        <w:numPr>
          <w:ilvl w:val="0"/>
          <w:numId w:val="18"/>
        </w:numPr>
        <w:ind w:left="709"/>
        <w:rPr>
          <w:i/>
          <w:iCs/>
        </w:rPr>
      </w:pPr>
      <w:r w:rsidRPr="00AF18C4">
        <w:rPr>
          <w:i/>
          <w:iCs/>
        </w:rPr>
        <w:t>Podporovat rozvoj cykloturistiky, budování sítě cyklostezek v obcích i cyklostezek spojujících obce pro rekreační využití i pro každodenní dojížďku (odst. 34)</w:t>
      </w:r>
    </w:p>
    <w:p w14:paraId="796AEBEA" w14:textId="3C217941" w:rsidR="00AF18C4" w:rsidRPr="00AF18C4" w:rsidRDefault="00AF18C4">
      <w:pPr>
        <w:pStyle w:val="Odstavecseseznamem"/>
        <w:numPr>
          <w:ilvl w:val="0"/>
          <w:numId w:val="18"/>
        </w:numPr>
        <w:ind w:left="709"/>
        <w:rPr>
          <w:i/>
          <w:iCs/>
        </w:rPr>
      </w:pPr>
      <w:r w:rsidRPr="00AF18C4">
        <w:rPr>
          <w:i/>
          <w:iCs/>
        </w:rPr>
        <w:t>Prověřit rozšíření cyklostezek v obci i cyklostezek spojujících Hlubočky s okolními obcemi. (odst.</w:t>
      </w:r>
      <w:r>
        <w:rPr>
          <w:i/>
          <w:iCs/>
        </w:rPr>
        <w:t xml:space="preserve"> </w:t>
      </w:r>
      <w:r w:rsidRPr="00AF18C4">
        <w:rPr>
          <w:i/>
          <w:iCs/>
        </w:rPr>
        <w:t>34)</w:t>
      </w:r>
    </w:p>
    <w:p w14:paraId="15E959A9" w14:textId="010F27AB" w:rsidR="00AF18C4" w:rsidRPr="00AF18C4" w:rsidRDefault="00AF18C4">
      <w:pPr>
        <w:pStyle w:val="Odstavecseseznamem"/>
        <w:numPr>
          <w:ilvl w:val="0"/>
          <w:numId w:val="18"/>
        </w:numPr>
        <w:ind w:left="709"/>
        <w:rPr>
          <w:i/>
          <w:iCs/>
        </w:rPr>
      </w:pPr>
      <w:r w:rsidRPr="00AF18C4">
        <w:rPr>
          <w:i/>
          <w:iCs/>
        </w:rPr>
        <w:t>Vytvořit územní podmínky pro zlepšení funkce hromadné dopravy. (odst. 38)</w:t>
      </w:r>
    </w:p>
    <w:p w14:paraId="7F7AC3EC" w14:textId="30FBF458" w:rsidR="00AF18C4" w:rsidRPr="00AF18C4" w:rsidRDefault="00AF18C4">
      <w:pPr>
        <w:pStyle w:val="Odstavecseseznamem"/>
        <w:numPr>
          <w:ilvl w:val="0"/>
          <w:numId w:val="18"/>
        </w:numPr>
        <w:ind w:left="709"/>
        <w:rPr>
          <w:i/>
          <w:iCs/>
        </w:rPr>
      </w:pPr>
      <w:r w:rsidRPr="00AF18C4">
        <w:rPr>
          <w:i/>
          <w:iCs/>
        </w:rPr>
        <w:t xml:space="preserve">V území je vymezena veřejně prospěšná stavba D66 Železniční trať č. 310 </w:t>
      </w:r>
      <w:r w:rsidR="002722C8" w:rsidRPr="00AF18C4">
        <w:rPr>
          <w:i/>
          <w:iCs/>
        </w:rPr>
        <w:t>Olomouc – Opava – revitalizace</w:t>
      </w:r>
      <w:r w:rsidRPr="00AF18C4">
        <w:rPr>
          <w:i/>
          <w:iCs/>
        </w:rPr>
        <w:t xml:space="preserve"> trati. (čl. 85)</w:t>
      </w:r>
    </w:p>
    <w:p w14:paraId="23BB2368" w14:textId="77777777" w:rsidR="00AF18C4" w:rsidRPr="00AF18C4" w:rsidRDefault="00AF18C4" w:rsidP="00AF18C4">
      <w:pPr>
        <w:pStyle w:val="Odstavecseseznamem"/>
        <w:rPr>
          <w:i/>
          <w:iCs/>
          <w:u w:val="single"/>
        </w:rPr>
      </w:pPr>
      <w:r w:rsidRPr="00AF18C4">
        <w:rPr>
          <w:i/>
          <w:iCs/>
          <w:u w:val="single"/>
        </w:rPr>
        <w:t>Technická infrastruktura</w:t>
      </w:r>
    </w:p>
    <w:p w14:paraId="5D4A0B32" w14:textId="59E9FEF5" w:rsidR="00AF18C4" w:rsidRPr="00AF18C4" w:rsidRDefault="00AF18C4">
      <w:pPr>
        <w:pStyle w:val="Odstavecseseznamem"/>
        <w:numPr>
          <w:ilvl w:val="0"/>
          <w:numId w:val="18"/>
        </w:numPr>
        <w:ind w:left="709"/>
        <w:rPr>
          <w:i/>
          <w:iCs/>
        </w:rPr>
      </w:pPr>
      <w:r w:rsidRPr="0049320C">
        <w:rPr>
          <w:i/>
          <w:iCs/>
        </w:rPr>
        <w:t xml:space="preserve">Podporovat využívání netradičních zdrojů energie. </w:t>
      </w:r>
      <w:r w:rsidRPr="00AF18C4">
        <w:rPr>
          <w:i/>
          <w:iCs/>
        </w:rPr>
        <w:t>(odst. 5.4.1.2)</w:t>
      </w:r>
    </w:p>
    <w:p w14:paraId="1685DEBC" w14:textId="3481DA7C" w:rsidR="00AF18C4" w:rsidRPr="00AF18C4" w:rsidRDefault="00AF18C4">
      <w:pPr>
        <w:pStyle w:val="Odstavecseseznamem"/>
        <w:numPr>
          <w:ilvl w:val="0"/>
          <w:numId w:val="18"/>
        </w:numPr>
        <w:ind w:left="709"/>
        <w:rPr>
          <w:i/>
          <w:iCs/>
        </w:rPr>
      </w:pPr>
      <w:r w:rsidRPr="0049320C">
        <w:rPr>
          <w:i/>
          <w:iCs/>
        </w:rPr>
        <w:t xml:space="preserve">Podporovat rozvoj infrastruktury v oblasti dodávky kvalitní pitné vody a nakládání s městskými odpadními vodami. </w:t>
      </w:r>
      <w:r w:rsidRPr="00AF18C4">
        <w:rPr>
          <w:i/>
          <w:iCs/>
        </w:rPr>
        <w:t>(odst. 5.4.2.1)</w:t>
      </w:r>
    </w:p>
    <w:p w14:paraId="30D6C653" w14:textId="5BDFD824" w:rsidR="00AF18C4" w:rsidRPr="00AF18C4" w:rsidRDefault="00AF18C4">
      <w:pPr>
        <w:pStyle w:val="Odstavecseseznamem"/>
        <w:numPr>
          <w:ilvl w:val="0"/>
          <w:numId w:val="18"/>
        </w:numPr>
        <w:ind w:left="709"/>
        <w:rPr>
          <w:i/>
          <w:iCs/>
        </w:rPr>
      </w:pPr>
      <w:r w:rsidRPr="0049320C">
        <w:rPr>
          <w:i/>
          <w:iCs/>
        </w:rPr>
        <w:t xml:space="preserve">Za prioritní na úseku odkanalizování a čištění odpadních vod považovat zajištění potřebné kapacity a účinnosti čištění ČOV. </w:t>
      </w:r>
      <w:r w:rsidRPr="00AF18C4">
        <w:rPr>
          <w:i/>
          <w:iCs/>
        </w:rPr>
        <w:t>(odst. 5.4.2.2)</w:t>
      </w:r>
    </w:p>
    <w:p w14:paraId="5FA806F6" w14:textId="339922E8" w:rsidR="00AF18C4" w:rsidRPr="00AF18C4" w:rsidRDefault="00AF18C4">
      <w:pPr>
        <w:pStyle w:val="Odstavecseseznamem"/>
        <w:numPr>
          <w:ilvl w:val="0"/>
          <w:numId w:val="18"/>
        </w:numPr>
        <w:ind w:left="709"/>
        <w:rPr>
          <w:i/>
          <w:iCs/>
        </w:rPr>
      </w:pPr>
      <w:r w:rsidRPr="0049320C">
        <w:rPr>
          <w:i/>
          <w:iCs/>
        </w:rPr>
        <w:t xml:space="preserve">Upřednostňovat a podporovat zvýšení retenční schopnosti krajiny zejména v záplavovém území převedením orné půdy na trvalé travní porosty nebo jiným obdobným zvýšením ekologické stability území. Podporovat výstavbu suchých retenčních prostorů. </w:t>
      </w:r>
      <w:r w:rsidRPr="00AF18C4">
        <w:rPr>
          <w:i/>
          <w:iCs/>
        </w:rPr>
        <w:t>(odst. 5.4.2.8)</w:t>
      </w:r>
    </w:p>
    <w:p w14:paraId="5388632B" w14:textId="79926CAD" w:rsidR="00AF18C4" w:rsidRPr="00AF18C4" w:rsidRDefault="00AF18C4">
      <w:pPr>
        <w:pStyle w:val="Odstavecseseznamem"/>
        <w:numPr>
          <w:ilvl w:val="0"/>
          <w:numId w:val="18"/>
        </w:numPr>
        <w:ind w:left="709"/>
        <w:rPr>
          <w:i/>
          <w:iCs/>
        </w:rPr>
      </w:pPr>
      <w:r w:rsidRPr="0049320C">
        <w:rPr>
          <w:i/>
          <w:iCs/>
        </w:rPr>
        <w:t xml:space="preserve">Přednostně využívat stávající síť zařízení pro využívání nebo odstraňování odpadů. Z nových zařízení podporovat zejména budování zařízení pro využívání biologicky rozložitelných odpadů, včetně kalů z ČOV (kompostáren, bioplynových stanic apod.) a zařízení pro třídění komunálních odpadů a zdrojů k energetickému využití odpadů, které budou umísťovány v lokalitách pro tento účel vhodných </w:t>
      </w:r>
      <w:r w:rsidRPr="00AF18C4">
        <w:rPr>
          <w:i/>
          <w:iCs/>
        </w:rPr>
        <w:t>(odst. 5.4.5.3)</w:t>
      </w:r>
    </w:p>
    <w:p w14:paraId="72753A47" w14:textId="5F533DA5" w:rsidR="00AF18C4" w:rsidRPr="00AF18C4" w:rsidRDefault="00AF18C4">
      <w:pPr>
        <w:pStyle w:val="Odstavecseseznamem"/>
        <w:numPr>
          <w:ilvl w:val="0"/>
          <w:numId w:val="18"/>
        </w:numPr>
        <w:ind w:left="709"/>
        <w:rPr>
          <w:i/>
          <w:iCs/>
        </w:rPr>
      </w:pPr>
      <w:r w:rsidRPr="0049320C">
        <w:rPr>
          <w:i/>
          <w:iCs/>
        </w:rPr>
        <w:t xml:space="preserve">Akceptovat a chránit stávající rozsah vodních zdrojů využívaných pro hromadné zásobování pitnou vodou včetně jejich stanovených ochranných pásem. </w:t>
      </w:r>
      <w:r w:rsidRPr="00AF18C4">
        <w:rPr>
          <w:i/>
          <w:iCs/>
        </w:rPr>
        <w:t>(odst. 52)</w:t>
      </w:r>
    </w:p>
    <w:p w14:paraId="238A5863" w14:textId="5A9CC693" w:rsidR="00AF18C4" w:rsidRPr="00AF18C4" w:rsidRDefault="00AF18C4">
      <w:pPr>
        <w:pStyle w:val="Odstavecseseznamem"/>
        <w:numPr>
          <w:ilvl w:val="0"/>
          <w:numId w:val="18"/>
        </w:numPr>
        <w:ind w:left="709"/>
        <w:rPr>
          <w:i/>
          <w:iCs/>
        </w:rPr>
      </w:pPr>
      <w:r w:rsidRPr="0049320C">
        <w:rPr>
          <w:i/>
          <w:iCs/>
        </w:rPr>
        <w:t xml:space="preserve">Při návrhu zásobování pitnou vodou v územních plánech obcí vycházet z aktuálního Plánu rozvoje vodovodů a kanalizací Olomouckého kraje. </w:t>
      </w:r>
      <w:r w:rsidRPr="00AF18C4">
        <w:rPr>
          <w:i/>
          <w:iCs/>
        </w:rPr>
        <w:t>(odst. 56)</w:t>
      </w:r>
    </w:p>
    <w:p w14:paraId="40AC13F3" w14:textId="45C2DD47" w:rsidR="00AF18C4" w:rsidRPr="00AF18C4" w:rsidRDefault="00AF18C4">
      <w:pPr>
        <w:pStyle w:val="Odstavecseseznamem"/>
        <w:numPr>
          <w:ilvl w:val="0"/>
          <w:numId w:val="18"/>
        </w:numPr>
        <w:ind w:left="709"/>
        <w:rPr>
          <w:i/>
          <w:iCs/>
        </w:rPr>
      </w:pPr>
      <w:r w:rsidRPr="0049320C">
        <w:rPr>
          <w:i/>
          <w:iCs/>
        </w:rPr>
        <w:t xml:space="preserve">Při návrhu odvádění a čištění odpadních vod v územních plánech obcí vycházet z aktuálního znění Plánu rozvoje vodovodů a kanalizací Olomouckého kraje. </w:t>
      </w:r>
      <w:r w:rsidRPr="00AF18C4">
        <w:rPr>
          <w:i/>
          <w:iCs/>
        </w:rPr>
        <w:t>(odst. 59)</w:t>
      </w:r>
    </w:p>
    <w:p w14:paraId="24863648" w14:textId="72A6A613" w:rsidR="00AF18C4" w:rsidRDefault="00AF18C4">
      <w:pPr>
        <w:pStyle w:val="Odstavecseseznamem"/>
        <w:numPr>
          <w:ilvl w:val="0"/>
          <w:numId w:val="18"/>
        </w:numPr>
        <w:ind w:left="709"/>
        <w:rPr>
          <w:i/>
          <w:iCs/>
        </w:rPr>
      </w:pPr>
      <w:r w:rsidRPr="0049320C">
        <w:rPr>
          <w:i/>
          <w:iCs/>
        </w:rPr>
        <w:t xml:space="preserve">Respektovat koncepci zásobování elektrickou energií. </w:t>
      </w:r>
      <w:r w:rsidRPr="00AF18C4">
        <w:rPr>
          <w:i/>
          <w:iCs/>
        </w:rPr>
        <w:t>(odst. 60)</w:t>
      </w:r>
    </w:p>
    <w:p w14:paraId="4BDD3C4D" w14:textId="77777777" w:rsidR="00AF18C4" w:rsidRPr="0049320C" w:rsidRDefault="00AF18C4" w:rsidP="0049320C">
      <w:pPr>
        <w:pStyle w:val="Odstavecseseznamem"/>
        <w:rPr>
          <w:i/>
          <w:iCs/>
          <w:u w:val="single"/>
        </w:rPr>
      </w:pPr>
      <w:r w:rsidRPr="0049320C">
        <w:rPr>
          <w:i/>
          <w:iCs/>
          <w:u w:val="single"/>
        </w:rPr>
        <w:t>Dále respektovat:</w:t>
      </w:r>
    </w:p>
    <w:p w14:paraId="015F2F24" w14:textId="32943B5E" w:rsidR="00AF18C4" w:rsidRPr="0049320C" w:rsidRDefault="00AF18C4">
      <w:pPr>
        <w:pStyle w:val="Odstavecseseznamem"/>
        <w:numPr>
          <w:ilvl w:val="0"/>
          <w:numId w:val="18"/>
        </w:numPr>
        <w:ind w:left="709"/>
        <w:rPr>
          <w:i/>
          <w:iCs/>
        </w:rPr>
      </w:pPr>
      <w:r w:rsidRPr="0049320C">
        <w:rPr>
          <w:i/>
          <w:iCs/>
        </w:rPr>
        <w:t>Integrovaný program snižování emisí Olomouckého kraje</w:t>
      </w:r>
    </w:p>
    <w:p w14:paraId="3BA03166" w14:textId="19E35593" w:rsidR="00AF18C4" w:rsidRPr="0049320C" w:rsidRDefault="00AF18C4">
      <w:pPr>
        <w:pStyle w:val="Odstavecseseznamem"/>
        <w:numPr>
          <w:ilvl w:val="0"/>
          <w:numId w:val="18"/>
        </w:numPr>
        <w:ind w:left="709"/>
        <w:rPr>
          <w:i/>
          <w:iCs/>
        </w:rPr>
      </w:pPr>
      <w:r w:rsidRPr="0049320C">
        <w:rPr>
          <w:i/>
          <w:iCs/>
        </w:rPr>
        <w:t>Program ke zlepšení kvality ovzduší Olomouckého kraje</w:t>
      </w:r>
    </w:p>
    <w:p w14:paraId="0B93EE2D" w14:textId="33A3CD08" w:rsidR="00AF18C4" w:rsidRPr="0049320C" w:rsidRDefault="00AF18C4">
      <w:pPr>
        <w:pStyle w:val="Odstavecseseznamem"/>
        <w:numPr>
          <w:ilvl w:val="0"/>
          <w:numId w:val="18"/>
        </w:numPr>
        <w:ind w:left="709"/>
        <w:rPr>
          <w:i/>
          <w:iCs/>
        </w:rPr>
      </w:pPr>
      <w:r w:rsidRPr="0049320C">
        <w:rPr>
          <w:i/>
          <w:iCs/>
        </w:rPr>
        <w:lastRenderedPageBreak/>
        <w:t>Územní generel dopravy silnic li. a Ill. třídy na území Olomouckého kraje</w:t>
      </w:r>
    </w:p>
    <w:p w14:paraId="520A6F8B" w14:textId="6F54A0D6" w:rsidR="00D85510" w:rsidRPr="0049320C" w:rsidRDefault="00AF18C4">
      <w:pPr>
        <w:pStyle w:val="Odstavecseseznamem"/>
        <w:numPr>
          <w:ilvl w:val="0"/>
          <w:numId w:val="18"/>
        </w:numPr>
        <w:ind w:left="709"/>
        <w:rPr>
          <w:i/>
          <w:iCs/>
        </w:rPr>
      </w:pPr>
      <w:r w:rsidRPr="0049320C">
        <w:rPr>
          <w:i/>
          <w:iCs/>
        </w:rPr>
        <w:t>Územní energetická koncepce Olomouckého kraje</w:t>
      </w:r>
    </w:p>
    <w:p w14:paraId="7D823FD0" w14:textId="6AA12EB6" w:rsidR="0049320C" w:rsidRDefault="0049320C" w:rsidP="0049320C">
      <w:pPr>
        <w:pStyle w:val="Odstavecseseznamem"/>
        <w:ind w:left="709"/>
        <w:contextualSpacing w:val="0"/>
      </w:pPr>
      <w:r>
        <w:t>Řešení koncepce veřejné infrastruktury respektuje a naplňuje požadavky ZÚR OK. Vyhodnocení souladu územního plánu se ZÚR OK je předmětem kap. IV.c.</w:t>
      </w:r>
    </w:p>
    <w:p w14:paraId="7C73A987" w14:textId="54269157" w:rsidR="0049320C" w:rsidRDefault="00191B2E" w:rsidP="0049320C">
      <w:pPr>
        <w:pStyle w:val="Odstavecseseznamem"/>
        <w:ind w:left="709"/>
        <w:contextualSpacing w:val="0"/>
      </w:pPr>
      <w:r>
        <w:t>Systém dopravní obsluhy obce je vymezen plocha veřejných prostranství a plochami dopravy silniční. Významné rekreační vazby jsou posíleny vymezením významné cestní sítě v krajině. Koridor pro revitalizaci železniční trati je upřesněn na rozsah stabilizovaných ploch dopravy drážní (DD).</w:t>
      </w:r>
    </w:p>
    <w:p w14:paraId="3D7F1574" w14:textId="3432E5A1" w:rsidR="00DB7CB5" w:rsidRDefault="00DB7CB5" w:rsidP="0049320C">
      <w:pPr>
        <w:pStyle w:val="Odstavecseseznamem"/>
        <w:ind w:left="709"/>
        <w:contextualSpacing w:val="0"/>
      </w:pPr>
      <w:r>
        <w:t>Retenční schopnost krajiny</w:t>
      </w:r>
      <w:r w:rsidR="004F29B5">
        <w:t xml:space="preserve"> je zvyšována stabilizací krajinné struktury plochami přírodními a jejím doplněním systémem interakčních prvků v krajině.</w:t>
      </w:r>
    </w:p>
    <w:p w14:paraId="5FB37B4A" w14:textId="20E031AE" w:rsidR="004F29B5" w:rsidRDefault="004F29B5" w:rsidP="0049320C">
      <w:pPr>
        <w:pStyle w:val="Odstavecseseznamem"/>
        <w:ind w:left="709"/>
        <w:contextualSpacing w:val="0"/>
      </w:pPr>
      <w:r>
        <w:t>S ohledem na úsporný rozsah rozvoje obce je přednostně využíváno stávající dopravní a technické infrastruktury pro obsluhu stabilizovaných i návrhových ploch.</w:t>
      </w:r>
    </w:p>
    <w:p w14:paraId="13B12A13" w14:textId="4662EDA9" w:rsidR="00514C76" w:rsidRPr="00514C76" w:rsidRDefault="00514C76" w:rsidP="00514C76">
      <w:pPr>
        <w:pStyle w:val="Odstavecseseznamem"/>
        <w:ind w:left="709"/>
        <w:contextualSpacing w:val="0"/>
        <w:rPr>
          <w:i/>
          <w:iCs/>
          <w:u w:val="single"/>
        </w:rPr>
      </w:pPr>
      <w:r w:rsidRPr="00514C76">
        <w:rPr>
          <w:i/>
          <w:iCs/>
          <w:u w:val="single"/>
        </w:rPr>
        <w:t xml:space="preserve">Z územně </w:t>
      </w:r>
      <w:r w:rsidRPr="00514C76">
        <w:rPr>
          <w:b/>
          <w:bCs/>
          <w:i/>
          <w:iCs/>
          <w:u w:val="single"/>
        </w:rPr>
        <w:t xml:space="preserve">analytických </w:t>
      </w:r>
      <w:r w:rsidRPr="00514C76">
        <w:rPr>
          <w:i/>
          <w:iCs/>
          <w:u w:val="single"/>
        </w:rPr>
        <w:t>podkladů vyplývají pro řešení Územního plánu Hlubočky následující požadavky:</w:t>
      </w:r>
    </w:p>
    <w:p w14:paraId="0192F309" w14:textId="4B0CBE93" w:rsidR="0049320C" w:rsidRDefault="00514C76">
      <w:pPr>
        <w:pStyle w:val="Odstavecseseznamem"/>
        <w:numPr>
          <w:ilvl w:val="0"/>
          <w:numId w:val="18"/>
        </w:numPr>
        <w:ind w:left="709"/>
        <w:rPr>
          <w:i/>
          <w:iCs/>
        </w:rPr>
      </w:pPr>
      <w:r w:rsidRPr="00514C76">
        <w:rPr>
          <w:i/>
          <w:iCs/>
        </w:rPr>
        <w:t>vytvořit podmínky pro realizaci drobných protipovodňových opatření.</w:t>
      </w:r>
    </w:p>
    <w:p w14:paraId="62F5495C" w14:textId="48BF6B64" w:rsidR="00514C76" w:rsidRDefault="00514C76" w:rsidP="00514C76">
      <w:pPr>
        <w:pStyle w:val="Odstavecseseznamem"/>
        <w:ind w:left="709"/>
        <w:contextualSpacing w:val="0"/>
      </w:pPr>
      <w:r w:rsidRPr="00514C76">
        <w:t>Realizace protipovodňových opatření je přípustná ve všech plochách s rozdílným způsobem využití za</w:t>
      </w:r>
      <w:r w:rsidR="00E44F35">
        <w:t> </w:t>
      </w:r>
      <w:r w:rsidRPr="00514C76">
        <w:t>podmínky, že nedojde k narušení charakteru a hodnot území a protipovodňová opatření budou v maximální možné míře řešena přírodně blízkým způsobem. Odtokové poměry v území jsou dále stabilizovány systéme krajinné zeleně a interakčních prvků.</w:t>
      </w:r>
    </w:p>
    <w:p w14:paraId="68294EB0" w14:textId="77777777" w:rsidR="00514C76" w:rsidRPr="00514C76" w:rsidRDefault="00514C76" w:rsidP="00514C76">
      <w:pPr>
        <w:pStyle w:val="Odstavecseseznamem"/>
        <w:ind w:left="709"/>
        <w:rPr>
          <w:i/>
          <w:iCs/>
          <w:u w:val="single"/>
        </w:rPr>
      </w:pPr>
      <w:r w:rsidRPr="00514C76">
        <w:rPr>
          <w:i/>
          <w:iCs/>
          <w:u w:val="single"/>
        </w:rPr>
        <w:t>Další požadavky:</w:t>
      </w:r>
    </w:p>
    <w:p w14:paraId="13BCB1B9" w14:textId="77777777" w:rsidR="00514C76" w:rsidRPr="00514C76" w:rsidRDefault="00514C76" w:rsidP="00514C76">
      <w:pPr>
        <w:pStyle w:val="Odstavecseseznamem"/>
        <w:ind w:left="709"/>
        <w:rPr>
          <w:i/>
          <w:iCs/>
          <w:u w:val="single"/>
        </w:rPr>
      </w:pPr>
      <w:r w:rsidRPr="00514C76">
        <w:rPr>
          <w:i/>
          <w:iCs/>
          <w:u w:val="single"/>
        </w:rPr>
        <w:t>Dopravní infrastruktura</w:t>
      </w:r>
    </w:p>
    <w:p w14:paraId="48FABC61" w14:textId="13F2F8AF" w:rsidR="00514C76" w:rsidRDefault="00514C76">
      <w:pPr>
        <w:pStyle w:val="Odstavecseseznamem"/>
        <w:numPr>
          <w:ilvl w:val="0"/>
          <w:numId w:val="18"/>
        </w:numPr>
        <w:ind w:left="709" w:hanging="357"/>
        <w:contextualSpacing w:val="0"/>
        <w:rPr>
          <w:i/>
          <w:iCs/>
        </w:rPr>
      </w:pPr>
      <w:r w:rsidRPr="00514C76">
        <w:rPr>
          <w:i/>
          <w:iCs/>
        </w:rPr>
        <w:t>Respektovat stávající síť cyklostezek.</w:t>
      </w:r>
    </w:p>
    <w:p w14:paraId="6F2900B2" w14:textId="38C4CB1C" w:rsidR="00514C76" w:rsidRPr="00514C76" w:rsidRDefault="00514C76" w:rsidP="00514C76">
      <w:pPr>
        <w:pStyle w:val="Odstavecseseznamem"/>
        <w:ind w:left="709"/>
        <w:contextualSpacing w:val="0"/>
      </w:pPr>
      <w:r w:rsidRPr="00FF5FBE">
        <w:t>Stávající cyklotrasy 6009, 6030, 6108 a MTB Brody jsou stabilizovány jako součást veřejných prostranství nebo jako součást cestní sítě v</w:t>
      </w:r>
      <w:r w:rsidR="00E44F35">
        <w:t> </w:t>
      </w:r>
      <w:r w:rsidRPr="00FF5FBE">
        <w:t>krajině</w:t>
      </w:r>
      <w:r w:rsidR="00E44F35">
        <w:t>.</w:t>
      </w:r>
    </w:p>
    <w:p w14:paraId="5A1BDB51" w14:textId="54348D1F" w:rsidR="00514C76" w:rsidRDefault="00514C76">
      <w:pPr>
        <w:pStyle w:val="Odstavecseseznamem"/>
        <w:numPr>
          <w:ilvl w:val="0"/>
          <w:numId w:val="18"/>
        </w:numPr>
        <w:ind w:left="709" w:hanging="357"/>
        <w:contextualSpacing w:val="0"/>
        <w:rPr>
          <w:i/>
          <w:iCs/>
        </w:rPr>
      </w:pPr>
      <w:r w:rsidRPr="00514C76">
        <w:rPr>
          <w:i/>
          <w:iCs/>
        </w:rPr>
        <w:t>Nově navrhované zastavitelné plochy vyhovujícím způsobem napojit na stávající dopravní skelet. Příjezdy k</w:t>
      </w:r>
      <w:r>
        <w:rPr>
          <w:i/>
          <w:iCs/>
        </w:rPr>
        <w:t> </w:t>
      </w:r>
      <w:r w:rsidRPr="00514C76">
        <w:rPr>
          <w:i/>
          <w:iCs/>
        </w:rPr>
        <w:t>návrhovým plochám řešit jako veřejná prostranství, jehož součástí budou</w:t>
      </w:r>
      <w:r>
        <w:rPr>
          <w:i/>
          <w:iCs/>
        </w:rPr>
        <w:t xml:space="preserve"> </w:t>
      </w:r>
      <w:r w:rsidRPr="00514C76">
        <w:rPr>
          <w:i/>
          <w:iCs/>
        </w:rPr>
        <w:t>komunikace a chodníky.</w:t>
      </w:r>
    </w:p>
    <w:p w14:paraId="254B5300" w14:textId="620A9488" w:rsidR="00514C76" w:rsidRPr="00514C76" w:rsidRDefault="00514C76" w:rsidP="00514C76">
      <w:pPr>
        <w:pStyle w:val="Odstavecseseznamem"/>
        <w:ind w:left="709"/>
        <w:contextualSpacing w:val="0"/>
      </w:pPr>
      <w:r>
        <w:t>Návrhové plochy jsou napojeny na systém veřejných prostranství obce. Požadavky na veřejnou infrastrukturu v plochách s podmínkou zpracování územní studie nebo uzavření plánovací smlouvy jsou řešeny parametricky v textové části.</w:t>
      </w:r>
    </w:p>
    <w:p w14:paraId="79B998D9" w14:textId="55CD8C8F" w:rsidR="00514C76" w:rsidRDefault="00514C76">
      <w:pPr>
        <w:pStyle w:val="Odstavecseseznamem"/>
        <w:numPr>
          <w:ilvl w:val="0"/>
          <w:numId w:val="18"/>
        </w:numPr>
        <w:ind w:left="709" w:hanging="357"/>
        <w:contextualSpacing w:val="0"/>
        <w:rPr>
          <w:i/>
          <w:iCs/>
        </w:rPr>
      </w:pPr>
      <w:r w:rsidRPr="00514C76">
        <w:rPr>
          <w:i/>
          <w:iCs/>
        </w:rPr>
        <w:t>Navrhnout řešení dopravních závad dle možností a charakteru komunikace.</w:t>
      </w:r>
    </w:p>
    <w:p w14:paraId="3ABC88C8" w14:textId="25141ADC" w:rsidR="00BF6C44" w:rsidRPr="00BF6C44" w:rsidRDefault="00BF6C44" w:rsidP="00BF6C44">
      <w:pPr>
        <w:pStyle w:val="Odstavecseseznamem"/>
        <w:ind w:left="709"/>
        <w:contextualSpacing w:val="0"/>
      </w:pPr>
      <w:r>
        <w:t>Územní plán plošně prověřil řešení veřejných prostranství a jejich vymezení upravil tak, aby byly v maximální možné míře eliminovány dopravní závady na komunikační síti.</w:t>
      </w:r>
    </w:p>
    <w:p w14:paraId="6029C8A6" w14:textId="208E868E" w:rsidR="00514C76" w:rsidRDefault="00514C76">
      <w:pPr>
        <w:pStyle w:val="Odstavecseseznamem"/>
        <w:numPr>
          <w:ilvl w:val="0"/>
          <w:numId w:val="18"/>
        </w:numPr>
        <w:ind w:left="709" w:hanging="357"/>
        <w:contextualSpacing w:val="0"/>
        <w:rPr>
          <w:i/>
          <w:iCs/>
        </w:rPr>
      </w:pPr>
      <w:r w:rsidRPr="00514C76">
        <w:rPr>
          <w:i/>
          <w:iCs/>
        </w:rPr>
        <w:t>Řešit parkování a odstavování vozidel pro stávající i nově navrhované plochy.</w:t>
      </w:r>
    </w:p>
    <w:p w14:paraId="7547A0B8" w14:textId="66AC795C" w:rsidR="0016659C" w:rsidRPr="0016659C" w:rsidRDefault="002722C8" w:rsidP="0016659C">
      <w:pPr>
        <w:pStyle w:val="Odstavecseseznamem"/>
        <w:ind w:left="709"/>
        <w:contextualSpacing w:val="0"/>
      </w:pPr>
      <w:r>
        <w:t>Územní plán stanovuje procentuální korekci pro výpočet základního počtu parkovacích stání pro bydlení a pro obchod a služby z důvodu zajištění standardu počtu parkovacích stání cca 1 stání na bytovou jednotky tak, jak bylo stanoveno předchozí právní úpravou a dle ČSN.</w:t>
      </w:r>
    </w:p>
    <w:p w14:paraId="0A203D79" w14:textId="12EE694C" w:rsidR="00514C76" w:rsidRDefault="00514C76">
      <w:pPr>
        <w:pStyle w:val="Odstavecseseznamem"/>
        <w:numPr>
          <w:ilvl w:val="0"/>
          <w:numId w:val="18"/>
        </w:numPr>
        <w:ind w:left="709" w:hanging="357"/>
        <w:contextualSpacing w:val="0"/>
        <w:rPr>
          <w:i/>
          <w:iCs/>
        </w:rPr>
      </w:pPr>
      <w:r w:rsidRPr="002722C8">
        <w:rPr>
          <w:i/>
          <w:iCs/>
        </w:rPr>
        <w:t>V rámci návrhu územního plánu řešit trasy pro pěší a cyklisty. Doplnit systém pěších a cyklistických tras tak, aby vhodně propojovaly jednotlivé části obce s centrem obce i</w:t>
      </w:r>
      <w:r w:rsidR="002722C8" w:rsidRPr="002722C8">
        <w:rPr>
          <w:i/>
          <w:iCs/>
        </w:rPr>
        <w:t xml:space="preserve"> zastavěné území s okolní krajinou, zejména s</w:t>
      </w:r>
      <w:r w:rsidR="002722C8">
        <w:rPr>
          <w:i/>
          <w:iCs/>
        </w:rPr>
        <w:t> </w:t>
      </w:r>
      <w:r w:rsidR="002722C8" w:rsidRPr="002722C8">
        <w:rPr>
          <w:i/>
          <w:iCs/>
        </w:rPr>
        <w:t>rekreačními plochami. Navrhnout síť</w:t>
      </w:r>
      <w:r w:rsidR="002722C8">
        <w:rPr>
          <w:i/>
          <w:iCs/>
        </w:rPr>
        <w:t xml:space="preserve"> </w:t>
      </w:r>
      <w:r w:rsidR="002722C8" w:rsidRPr="002722C8">
        <w:rPr>
          <w:i/>
          <w:iCs/>
        </w:rPr>
        <w:t>cyklistických stezek v návaznosti na cyklistické stezky v regionu.</w:t>
      </w:r>
    </w:p>
    <w:p w14:paraId="3CDD92D4" w14:textId="77777777" w:rsidR="00E44F35" w:rsidRPr="00D05F46" w:rsidRDefault="00E44F35" w:rsidP="00E44F35">
      <w:r w:rsidRPr="00E44F35">
        <w:t>Stávající cyklotrasy 6009, 6030, 6108 a MTB Brody jsou stabilizovány jako součást veřejných prostranství nebo jako součást cestní sítě v krajině.</w:t>
      </w:r>
      <w:r>
        <w:t xml:space="preserve"> Významné rekreační trasy a propojení jsou koncepčně vymezeny jako cestní síť v krajině. Prostupnost sídla a krajiny je posilována řešení struktury veřejných prostranství s napojeními do krajiny.</w:t>
      </w:r>
    </w:p>
    <w:p w14:paraId="489A60E4" w14:textId="77777777" w:rsidR="006D6E41" w:rsidRDefault="006D6E41" w:rsidP="006D6E41">
      <w:pPr>
        <w:pStyle w:val="Odstavecseseznamem"/>
        <w:ind w:left="709"/>
        <w:rPr>
          <w:i/>
          <w:iCs/>
          <w:u w:val="single"/>
        </w:rPr>
      </w:pPr>
    </w:p>
    <w:p w14:paraId="22951A7A" w14:textId="1C3F6F37" w:rsidR="006D6E41" w:rsidRPr="006D6E41" w:rsidRDefault="006D6E41" w:rsidP="006D6E41">
      <w:pPr>
        <w:pStyle w:val="Odstavecseseznamem"/>
        <w:ind w:left="709"/>
        <w:rPr>
          <w:i/>
          <w:iCs/>
          <w:u w:val="single"/>
        </w:rPr>
      </w:pPr>
      <w:r w:rsidRPr="006D6E41">
        <w:rPr>
          <w:i/>
          <w:iCs/>
          <w:u w:val="single"/>
        </w:rPr>
        <w:t>Vodní hospodářství</w:t>
      </w:r>
    </w:p>
    <w:p w14:paraId="4D257523" w14:textId="278BBBE6" w:rsidR="006D6E41" w:rsidRDefault="006D6E41">
      <w:pPr>
        <w:pStyle w:val="Odstavecseseznamem"/>
        <w:numPr>
          <w:ilvl w:val="0"/>
          <w:numId w:val="18"/>
        </w:numPr>
        <w:ind w:left="709" w:hanging="357"/>
        <w:contextualSpacing w:val="0"/>
        <w:rPr>
          <w:i/>
          <w:iCs/>
        </w:rPr>
      </w:pPr>
      <w:r w:rsidRPr="006D6E41">
        <w:rPr>
          <w:i/>
          <w:iCs/>
        </w:rPr>
        <w:t>Doplnit chybějící inženýrské sítě v řešeném území a lokalitách navrhovaných k výstavbě.</w:t>
      </w:r>
    </w:p>
    <w:p w14:paraId="2AAA8ED0" w14:textId="4D566CF8" w:rsidR="00557C96" w:rsidRPr="00557C96" w:rsidRDefault="00557C96" w:rsidP="00557C96">
      <w:pPr>
        <w:pStyle w:val="Odstavecseseznamem"/>
        <w:ind w:left="709"/>
        <w:contextualSpacing w:val="0"/>
      </w:pPr>
      <w:r w:rsidRPr="00557C96">
        <w:t>Systémy technické infrastruktury jsou stabilizovány a návrhové plochy jsou obslouženy ze stávajících systémů inženýrských sítí. Uspořádání návrhových ploch s podmínkou územní studie, případně plánovací smlouvy, budou z hlediska koncepce technické infrastruktury upřesněny územní studií nebo podmínkami plánovací smlouvy. Uzemní plán vymezuje plochy pro čistírny odpadních vod v jednotlivých místních částech.</w:t>
      </w:r>
    </w:p>
    <w:p w14:paraId="310BB01C" w14:textId="37FB23B3" w:rsidR="006D6E41" w:rsidRDefault="006D6E41">
      <w:pPr>
        <w:pStyle w:val="Odstavecseseznamem"/>
        <w:numPr>
          <w:ilvl w:val="0"/>
          <w:numId w:val="18"/>
        </w:numPr>
        <w:ind w:left="709" w:hanging="357"/>
        <w:contextualSpacing w:val="0"/>
        <w:rPr>
          <w:i/>
          <w:iCs/>
        </w:rPr>
      </w:pPr>
      <w:r w:rsidRPr="006D6E41">
        <w:rPr>
          <w:i/>
          <w:iCs/>
        </w:rPr>
        <w:t>Bude respektována koncepce zásobování obce pitnou vodou ze stávajícího vodovodu.</w:t>
      </w:r>
    </w:p>
    <w:p w14:paraId="680A7474" w14:textId="5225BB5C" w:rsidR="006D6E41" w:rsidRDefault="006D6E41">
      <w:pPr>
        <w:pStyle w:val="Odstavecseseznamem"/>
        <w:numPr>
          <w:ilvl w:val="0"/>
          <w:numId w:val="18"/>
        </w:numPr>
        <w:ind w:left="709" w:hanging="357"/>
        <w:contextualSpacing w:val="0"/>
        <w:rPr>
          <w:i/>
          <w:iCs/>
        </w:rPr>
      </w:pPr>
      <w:r w:rsidRPr="006D6E41">
        <w:rPr>
          <w:i/>
          <w:iCs/>
        </w:rPr>
        <w:t>Bude prověřena spotřeba vody a tlakové poměry s ohledem na nově navrhované zastavitelné plochy, včetně kapacity vodních zdrojů.</w:t>
      </w:r>
    </w:p>
    <w:p w14:paraId="74227867" w14:textId="48F816C0" w:rsidR="006D6E41" w:rsidRDefault="006D6E41">
      <w:pPr>
        <w:pStyle w:val="Odstavecseseznamem"/>
        <w:numPr>
          <w:ilvl w:val="0"/>
          <w:numId w:val="18"/>
        </w:numPr>
        <w:ind w:left="709" w:hanging="357"/>
        <w:contextualSpacing w:val="0"/>
        <w:rPr>
          <w:i/>
          <w:iCs/>
        </w:rPr>
      </w:pPr>
      <w:r w:rsidRPr="006D6E41">
        <w:rPr>
          <w:i/>
          <w:iCs/>
        </w:rPr>
        <w:t>Budou respektována stávající vodárenská zařízení, zdroje vody a jejich ochranná pásma.</w:t>
      </w:r>
    </w:p>
    <w:p w14:paraId="569E104E" w14:textId="05AF66D7" w:rsidR="006D6E41" w:rsidRDefault="006D6E41">
      <w:pPr>
        <w:pStyle w:val="Odstavecseseznamem"/>
        <w:numPr>
          <w:ilvl w:val="0"/>
          <w:numId w:val="18"/>
        </w:numPr>
        <w:ind w:left="709" w:hanging="357"/>
        <w:contextualSpacing w:val="0"/>
        <w:rPr>
          <w:i/>
          <w:iCs/>
        </w:rPr>
      </w:pPr>
      <w:r w:rsidRPr="006D6E41">
        <w:rPr>
          <w:i/>
          <w:iCs/>
        </w:rPr>
        <w:t>Navrhnout napojení zastavitelných ploch na vodovod, individuálně zdroje vody využívat pouze jako vodu užitkovou.</w:t>
      </w:r>
    </w:p>
    <w:p w14:paraId="08E4559C" w14:textId="333C27BC" w:rsidR="006D6E41" w:rsidRDefault="006D6E41">
      <w:pPr>
        <w:pStyle w:val="Odstavecseseznamem"/>
        <w:numPr>
          <w:ilvl w:val="0"/>
          <w:numId w:val="18"/>
        </w:numPr>
        <w:ind w:left="709" w:hanging="357"/>
        <w:contextualSpacing w:val="0"/>
        <w:rPr>
          <w:i/>
          <w:iCs/>
        </w:rPr>
      </w:pPr>
      <w:r w:rsidRPr="006D6E41">
        <w:rPr>
          <w:i/>
          <w:iCs/>
        </w:rPr>
        <w:lastRenderedPageBreak/>
        <w:t>Vodovod v co největší míře zokruhovat.</w:t>
      </w:r>
    </w:p>
    <w:p w14:paraId="1D9A8D89" w14:textId="11BD2297" w:rsidR="00557C96" w:rsidRPr="00557C96" w:rsidRDefault="00557C96" w:rsidP="00557C96">
      <w:pPr>
        <w:pStyle w:val="Odstavecseseznamem"/>
        <w:ind w:left="709"/>
        <w:contextualSpacing w:val="0"/>
      </w:pPr>
      <w:r>
        <w:t xml:space="preserve">Koncepce zásobování pitnou vodou je stabilizována a stávající vodárenská zařízení jsou stabilizována. Vodovodní síť je navržena k zokruhování v co největší míře. </w:t>
      </w:r>
    </w:p>
    <w:p w14:paraId="3AB4E9E9" w14:textId="4A562F3C" w:rsidR="006D6E41" w:rsidRDefault="006D6E41">
      <w:pPr>
        <w:pStyle w:val="Odstavecseseznamem"/>
        <w:numPr>
          <w:ilvl w:val="0"/>
          <w:numId w:val="18"/>
        </w:numPr>
        <w:ind w:left="709" w:hanging="357"/>
        <w:contextualSpacing w:val="0"/>
        <w:rPr>
          <w:i/>
          <w:iCs/>
        </w:rPr>
      </w:pPr>
      <w:r w:rsidRPr="006D6E41">
        <w:rPr>
          <w:i/>
          <w:iCs/>
        </w:rPr>
        <w:t>Zohlednit požadavky na zabezpečení obce požární vodou.</w:t>
      </w:r>
    </w:p>
    <w:p w14:paraId="7039E81C" w14:textId="50516346" w:rsidR="00557C96" w:rsidRPr="00557C96" w:rsidRDefault="00557C96" w:rsidP="00557C96">
      <w:pPr>
        <w:pStyle w:val="Odstavecseseznamem"/>
        <w:ind w:left="709"/>
        <w:contextualSpacing w:val="0"/>
      </w:pPr>
      <w:r>
        <w:t>Systém zásobování obce požární vodou je stabilizován.</w:t>
      </w:r>
    </w:p>
    <w:p w14:paraId="0EFE0A1D" w14:textId="3E484D4D" w:rsidR="006D6E41" w:rsidRDefault="006D6E41">
      <w:pPr>
        <w:pStyle w:val="Odstavecseseznamem"/>
        <w:numPr>
          <w:ilvl w:val="0"/>
          <w:numId w:val="18"/>
        </w:numPr>
        <w:ind w:left="709" w:hanging="357"/>
        <w:contextualSpacing w:val="0"/>
        <w:rPr>
          <w:i/>
          <w:iCs/>
        </w:rPr>
      </w:pPr>
      <w:r w:rsidRPr="006D6E41">
        <w:rPr>
          <w:i/>
          <w:iCs/>
        </w:rPr>
        <w:t>Splaškové vody z nově navržených zastavitelných ploch budou svedeny na centrální čistírnu odpadních vod.</w:t>
      </w:r>
    </w:p>
    <w:p w14:paraId="42348B5F" w14:textId="19BD2A83" w:rsidR="006D6E41" w:rsidRDefault="006D6E41">
      <w:pPr>
        <w:pStyle w:val="Odstavecseseznamem"/>
        <w:numPr>
          <w:ilvl w:val="0"/>
          <w:numId w:val="18"/>
        </w:numPr>
        <w:ind w:left="709" w:hanging="357"/>
        <w:contextualSpacing w:val="0"/>
        <w:rPr>
          <w:i/>
          <w:iCs/>
        </w:rPr>
      </w:pPr>
      <w:r w:rsidRPr="006D6E41">
        <w:rPr>
          <w:i/>
          <w:iCs/>
        </w:rPr>
        <w:t>Bude posouzena kapacita stávajícího systému odkanalizování, včetně posouzení kapacity ČOV</w:t>
      </w:r>
      <w:r w:rsidR="00557C96">
        <w:rPr>
          <w:i/>
          <w:iCs/>
        </w:rPr>
        <w:t>.</w:t>
      </w:r>
    </w:p>
    <w:p w14:paraId="2D5F7F6F" w14:textId="5D9EF4A9" w:rsidR="00ED6920" w:rsidRPr="00EE7630" w:rsidRDefault="00EE7630" w:rsidP="00ED6920">
      <w:pPr>
        <w:pStyle w:val="Odstavecseseznamem"/>
        <w:ind w:left="709"/>
        <w:contextualSpacing w:val="0"/>
      </w:pPr>
      <w:r>
        <w:t>Stávající systém odvádění splaškových vod je stabilizován, pro jeho rozvoj, zejména v místních částech, jsou navrženy plochy pro umístění místních čistíren odpadních vod.</w:t>
      </w:r>
    </w:p>
    <w:p w14:paraId="754341C9" w14:textId="02F19B93" w:rsidR="006D6E41" w:rsidRDefault="006D6E41">
      <w:pPr>
        <w:pStyle w:val="Odstavecseseznamem"/>
        <w:numPr>
          <w:ilvl w:val="0"/>
          <w:numId w:val="18"/>
        </w:numPr>
        <w:ind w:left="709" w:hanging="357"/>
        <w:contextualSpacing w:val="0"/>
        <w:rPr>
          <w:i/>
          <w:iCs/>
        </w:rPr>
      </w:pPr>
      <w:r w:rsidRPr="006D6E41">
        <w:rPr>
          <w:i/>
          <w:iCs/>
        </w:rPr>
        <w:t>Navrhnout napojení zastavitelných ploch na oddílný systém kanalizace. S odvedením nezasáklých nebo</w:t>
      </w:r>
      <w:r w:rsidR="00ED6920">
        <w:rPr>
          <w:i/>
          <w:iCs/>
        </w:rPr>
        <w:t> </w:t>
      </w:r>
      <w:r w:rsidRPr="006D6E41">
        <w:rPr>
          <w:i/>
          <w:iCs/>
        </w:rPr>
        <w:t>nezadržených dešťových vod do recipientu, dešťové kanalizace</w:t>
      </w:r>
      <w:r w:rsidR="00ED6920">
        <w:rPr>
          <w:i/>
          <w:iCs/>
        </w:rPr>
        <w:t>.</w:t>
      </w:r>
    </w:p>
    <w:p w14:paraId="0233B1CD" w14:textId="1A7A5547" w:rsidR="00BB19A4" w:rsidRPr="00BB19A4" w:rsidRDefault="00BB19A4" w:rsidP="00BB19A4">
      <w:pPr>
        <w:pStyle w:val="Odstavecseseznamem"/>
        <w:ind w:left="709"/>
        <w:contextualSpacing w:val="0"/>
      </w:pPr>
      <w:r>
        <w:t>V koncepci odvádění dešťových vod je stanovena podmínka, že nová kanalizace v rámci návrhových ploch bude řešena jako oddílná s regulovaným odtokem do stávající jednotné kanalizace nebo do recipientu.</w:t>
      </w:r>
    </w:p>
    <w:p w14:paraId="167B3B99" w14:textId="351503BD" w:rsidR="006D6E41" w:rsidRDefault="006D6E41">
      <w:pPr>
        <w:pStyle w:val="Odstavecseseznamem"/>
        <w:numPr>
          <w:ilvl w:val="0"/>
          <w:numId w:val="18"/>
        </w:numPr>
        <w:ind w:left="709" w:hanging="357"/>
        <w:contextualSpacing w:val="0"/>
        <w:rPr>
          <w:i/>
          <w:iCs/>
        </w:rPr>
      </w:pPr>
      <w:r w:rsidRPr="006D6E41">
        <w:rPr>
          <w:i/>
          <w:iCs/>
        </w:rPr>
        <w:t>Dešťové vody je třeba pro zachování odtokových poměrů v maximální možné míře vsakovat, zadržovat na</w:t>
      </w:r>
      <w:r w:rsidR="00ED6920">
        <w:rPr>
          <w:i/>
          <w:iCs/>
        </w:rPr>
        <w:t> </w:t>
      </w:r>
      <w:r w:rsidRPr="006D6E41">
        <w:rPr>
          <w:i/>
          <w:iCs/>
        </w:rPr>
        <w:t>pozemku</w:t>
      </w:r>
      <w:r w:rsidR="00557C96">
        <w:rPr>
          <w:i/>
          <w:iCs/>
        </w:rPr>
        <w:t>.</w:t>
      </w:r>
    </w:p>
    <w:p w14:paraId="679B7C98" w14:textId="7078FD34" w:rsidR="006D6E41" w:rsidRDefault="006D6E41">
      <w:pPr>
        <w:pStyle w:val="Odstavecseseznamem"/>
        <w:numPr>
          <w:ilvl w:val="0"/>
          <w:numId w:val="18"/>
        </w:numPr>
        <w:ind w:left="709" w:hanging="357"/>
        <w:contextualSpacing w:val="0"/>
        <w:rPr>
          <w:i/>
          <w:iCs/>
        </w:rPr>
      </w:pPr>
      <w:r w:rsidRPr="006D6E41">
        <w:rPr>
          <w:i/>
          <w:iCs/>
        </w:rPr>
        <w:t>Při odvodnění rekonstruovaného nebo nového veřejného prostranství uplatnit přírodě blízké hospodaření s</w:t>
      </w:r>
      <w:r w:rsidR="00ED6920">
        <w:rPr>
          <w:i/>
          <w:iCs/>
        </w:rPr>
        <w:t> </w:t>
      </w:r>
      <w:r w:rsidRPr="006D6E41">
        <w:rPr>
          <w:i/>
          <w:iCs/>
        </w:rPr>
        <w:t>dešťovými vodami.</w:t>
      </w:r>
    </w:p>
    <w:p w14:paraId="322D551F" w14:textId="72EE18C7" w:rsidR="00557C96" w:rsidRPr="00557C96" w:rsidRDefault="00F80E06" w:rsidP="00557C96">
      <w:pPr>
        <w:pStyle w:val="Odstavecseseznamem"/>
        <w:ind w:left="709"/>
        <w:contextualSpacing w:val="0"/>
      </w:pPr>
      <w:r>
        <w:t>V koncepci odvádění dešťových vod je stanovena podmínka, že</w:t>
      </w:r>
      <w:r w:rsidR="00541E0A" w:rsidRPr="00541E0A">
        <w:t xml:space="preserve"> </w:t>
      </w:r>
      <w:r w:rsidR="00541E0A">
        <w:t>s</w:t>
      </w:r>
      <w:r w:rsidR="00541E0A" w:rsidRPr="00FF5FBE">
        <w:t>rážkové vody budou vsakovány přednostně na pozemku vlastníka</w:t>
      </w:r>
      <w:r w:rsidR="00541E0A">
        <w:t>,</w:t>
      </w:r>
      <w:r>
        <w:t xml:space="preserve"> </w:t>
      </w:r>
      <w:r w:rsidR="00541E0A">
        <w:t xml:space="preserve">a dále, že </w:t>
      </w:r>
      <w:r>
        <w:t>při odvodnění veřejných prostranství budou uplatňovány přírodě blízké způsoby hospodaření s dešťovou vodou.</w:t>
      </w:r>
    </w:p>
    <w:p w14:paraId="00FEE5DD" w14:textId="57D2FED2" w:rsidR="006D6E41" w:rsidRDefault="006D6E41">
      <w:pPr>
        <w:pStyle w:val="Odstavecseseznamem"/>
        <w:numPr>
          <w:ilvl w:val="0"/>
          <w:numId w:val="18"/>
        </w:numPr>
        <w:ind w:left="709" w:hanging="357"/>
        <w:contextualSpacing w:val="0"/>
        <w:rPr>
          <w:i/>
          <w:iCs/>
        </w:rPr>
      </w:pPr>
      <w:r w:rsidRPr="006D6E41">
        <w:rPr>
          <w:i/>
          <w:iCs/>
        </w:rPr>
        <w:t>Vyznačit a respektovat plochy odvodnění, případný zábor těchto ploch dokumentovat v grafické i textové části územního plánu. V rámci území navrhnout revitalizaci vodních toků a ploch.</w:t>
      </w:r>
    </w:p>
    <w:p w14:paraId="4DECE1AA" w14:textId="64316CAA" w:rsidR="00557C96" w:rsidRPr="00557C96" w:rsidRDefault="00ED6920" w:rsidP="00557C96">
      <w:pPr>
        <w:pStyle w:val="Odstavecseseznamem"/>
        <w:ind w:left="709"/>
        <w:contextualSpacing w:val="0"/>
      </w:pPr>
      <w:r>
        <w:t>Plochy vodních toků a ploch jsou vymezeny plochou vodní a vodohospodářskou všeobecnou a jsou stabilizovány a chráněny. V rámci vodních ploch a doprovodných ploch přírodních a krajinných jsou vytvořeny podmínky pro revitalizaci vodních toků a ploch přírodě blízkým způsobem. V podmínkách prostorového uspořádání j</w:t>
      </w:r>
      <w:r w:rsidR="004B5908">
        <w:t>sou stanoveny podmínky pro úpravu břehů a koryt toků převážně přírodě blízkým způsobem.</w:t>
      </w:r>
    </w:p>
    <w:p w14:paraId="114ADC60" w14:textId="7E097F43" w:rsidR="00E44F35" w:rsidRDefault="006D6E41">
      <w:pPr>
        <w:pStyle w:val="Odstavecseseznamem"/>
        <w:numPr>
          <w:ilvl w:val="0"/>
          <w:numId w:val="18"/>
        </w:numPr>
        <w:ind w:left="709" w:hanging="357"/>
        <w:contextualSpacing w:val="0"/>
        <w:rPr>
          <w:i/>
          <w:iCs/>
        </w:rPr>
      </w:pPr>
      <w:r w:rsidRPr="006D6E41">
        <w:rPr>
          <w:i/>
          <w:iCs/>
        </w:rPr>
        <w:t>Doplnit chybějící inženýrské sítě v řešeném území.</w:t>
      </w:r>
    </w:p>
    <w:p w14:paraId="31937859" w14:textId="0D4EDFB5" w:rsidR="006D6E41" w:rsidRDefault="006D6E41" w:rsidP="006D6E41">
      <w:pPr>
        <w:pStyle w:val="Odstavecseseznamem"/>
        <w:ind w:left="709"/>
        <w:contextualSpacing w:val="0"/>
      </w:pPr>
      <w:r>
        <w:t>Systémy technické infrastruktury jsou stabilizovány a návrhové plochy jsou obslouženy ze stávajících systémů inženýrských sítí. Uspořádání návrhových ploch s podmínkou územní studie, případně plánovací smlouvy, budou z hlediska koncepce technické infrastruktury upřesněny územní studií nebo podmínkami plánovací smlouvy. Uzemní plán vymezuje plochy pro čistírny odpadních vod v jednotlivých místních částech.</w:t>
      </w:r>
    </w:p>
    <w:p w14:paraId="1002D71D" w14:textId="77777777" w:rsidR="009B6D36" w:rsidRPr="009B6D36" w:rsidRDefault="009B6D36" w:rsidP="009B6D36">
      <w:pPr>
        <w:pStyle w:val="Odstavecseseznamem"/>
        <w:ind w:left="709"/>
        <w:rPr>
          <w:i/>
          <w:iCs/>
          <w:u w:val="single"/>
        </w:rPr>
      </w:pPr>
      <w:r w:rsidRPr="009B6D36">
        <w:rPr>
          <w:i/>
          <w:iCs/>
          <w:u w:val="single"/>
        </w:rPr>
        <w:t>Energetika a spoje</w:t>
      </w:r>
    </w:p>
    <w:p w14:paraId="614E1F94" w14:textId="4C9C61BE" w:rsidR="009B6D36" w:rsidRPr="009B6D36" w:rsidRDefault="009B6D36">
      <w:pPr>
        <w:pStyle w:val="Odstavecseseznamem"/>
        <w:numPr>
          <w:ilvl w:val="0"/>
          <w:numId w:val="18"/>
        </w:numPr>
        <w:ind w:left="709" w:hanging="357"/>
        <w:contextualSpacing w:val="0"/>
        <w:rPr>
          <w:i/>
          <w:iCs/>
        </w:rPr>
      </w:pPr>
      <w:r w:rsidRPr="009B6D36">
        <w:rPr>
          <w:i/>
          <w:iCs/>
        </w:rPr>
        <w:t>Respektovat stávající trasy vedení a zařízení elektrické energie. Na plochách, kde dojde ke střetu navrženého využití plochy se stávajícím zařízením nebo vedením nebo nebude možné dodržet režim stanovený v</w:t>
      </w:r>
      <w:r>
        <w:rPr>
          <w:i/>
          <w:iCs/>
        </w:rPr>
        <w:t> </w:t>
      </w:r>
      <w:r w:rsidRPr="009B6D36">
        <w:rPr>
          <w:i/>
          <w:iCs/>
        </w:rPr>
        <w:t>ochranném pásmu dotčeného zařízení, bude navrženo přeložení vedení nebo zařízení.</w:t>
      </w:r>
    </w:p>
    <w:p w14:paraId="618AC6AA" w14:textId="14613156" w:rsidR="009B6D36" w:rsidRDefault="009B6D36">
      <w:pPr>
        <w:pStyle w:val="Odstavecseseznamem"/>
        <w:numPr>
          <w:ilvl w:val="0"/>
          <w:numId w:val="18"/>
        </w:numPr>
        <w:ind w:left="709" w:hanging="357"/>
        <w:contextualSpacing w:val="0"/>
        <w:rPr>
          <w:i/>
          <w:iCs/>
        </w:rPr>
      </w:pPr>
      <w:r w:rsidRPr="009B6D36">
        <w:rPr>
          <w:i/>
          <w:iCs/>
        </w:rPr>
        <w:t>Pro navrženou zástavbu zpracovat výkonovou bilanci a navrhnout rozšíření distribučních sítí VN a případně navrhnout umístění nových trafostanic.</w:t>
      </w:r>
    </w:p>
    <w:p w14:paraId="16145C82" w14:textId="65773F04" w:rsidR="008067A5" w:rsidRPr="008067A5" w:rsidRDefault="008067A5" w:rsidP="008067A5">
      <w:pPr>
        <w:pStyle w:val="Odstavecseseznamem"/>
        <w:ind w:left="709"/>
        <w:contextualSpacing w:val="0"/>
      </w:pPr>
      <w:r>
        <w:t xml:space="preserve">Územní plán stabilizuje stávající síť vedení VN a NN. Napojení návrhových ploch se s ohledem na jejích kapacitu předpokládá </w:t>
      </w:r>
      <w:r w:rsidR="00136721">
        <w:t>napojení ze stávající rozvodné sítě, případně posílením výkonu stávajících trafostanic. V zastavitelných plochách s podmínkou zpracování územní studie a uzavření plánovací smlouvy bude případné umístění trafostanice řešeno v územní studii a plánovací smlouvě.</w:t>
      </w:r>
    </w:p>
    <w:p w14:paraId="23F44E56" w14:textId="50A0C74E" w:rsidR="009B6D36" w:rsidRDefault="009B6D36">
      <w:pPr>
        <w:pStyle w:val="Odstavecseseznamem"/>
        <w:numPr>
          <w:ilvl w:val="0"/>
          <w:numId w:val="18"/>
        </w:numPr>
        <w:ind w:left="709" w:hanging="357"/>
        <w:contextualSpacing w:val="0"/>
        <w:rPr>
          <w:i/>
          <w:iCs/>
        </w:rPr>
      </w:pPr>
      <w:r w:rsidRPr="009B6D36">
        <w:rPr>
          <w:i/>
          <w:iCs/>
        </w:rPr>
        <w:t>Respektovat radioreléové spoje.</w:t>
      </w:r>
    </w:p>
    <w:p w14:paraId="03F49980" w14:textId="178113F8" w:rsidR="008067A5" w:rsidRPr="008067A5" w:rsidRDefault="008067A5" w:rsidP="008067A5">
      <w:pPr>
        <w:pStyle w:val="Odstavecseseznamem"/>
        <w:ind w:left="709"/>
        <w:contextualSpacing w:val="0"/>
      </w:pPr>
      <w:r>
        <w:t>Radioreléové spoje jsou respektovány.</w:t>
      </w:r>
    </w:p>
    <w:p w14:paraId="6E6E0644" w14:textId="5D1E0EBC" w:rsidR="009B6D36" w:rsidRDefault="009B6D36">
      <w:pPr>
        <w:pStyle w:val="Odstavecseseznamem"/>
        <w:numPr>
          <w:ilvl w:val="0"/>
          <w:numId w:val="18"/>
        </w:numPr>
        <w:ind w:left="709" w:hanging="357"/>
        <w:contextualSpacing w:val="0"/>
        <w:rPr>
          <w:i/>
          <w:iCs/>
        </w:rPr>
      </w:pPr>
      <w:r w:rsidRPr="009B6D36">
        <w:rPr>
          <w:i/>
          <w:iCs/>
        </w:rPr>
        <w:t>V rámci návrhu územního plánu bude řešeno zásobování plynem nově zastavitelných ploch.</w:t>
      </w:r>
    </w:p>
    <w:p w14:paraId="62CB08B9" w14:textId="486F8DE9" w:rsidR="005C318A" w:rsidRPr="005C318A" w:rsidRDefault="005C318A" w:rsidP="005C318A">
      <w:pPr>
        <w:pStyle w:val="Odstavecseseznamem"/>
        <w:ind w:left="709"/>
        <w:contextualSpacing w:val="0"/>
      </w:pPr>
      <w:r>
        <w:t>Územní plán stabilizuje stávající systém zásobování plynem, zastavitelné plochy jsou napojeny na stávající síť.</w:t>
      </w:r>
    </w:p>
    <w:p w14:paraId="0DF3546B" w14:textId="77777777" w:rsidR="009B6D36" w:rsidRPr="009B6D36" w:rsidRDefault="009B6D36" w:rsidP="009B6D36">
      <w:pPr>
        <w:pStyle w:val="Odstavecseseznamem"/>
        <w:ind w:left="709"/>
        <w:rPr>
          <w:i/>
          <w:iCs/>
          <w:u w:val="single"/>
        </w:rPr>
      </w:pPr>
      <w:r w:rsidRPr="009B6D36">
        <w:rPr>
          <w:i/>
          <w:iCs/>
          <w:u w:val="single"/>
        </w:rPr>
        <w:t>Nakládání s odpady</w:t>
      </w:r>
    </w:p>
    <w:p w14:paraId="7F945034" w14:textId="43D6BED3" w:rsidR="009B6D36" w:rsidRPr="009B6D36" w:rsidRDefault="009B6D36">
      <w:pPr>
        <w:pStyle w:val="Odstavecseseznamem"/>
        <w:numPr>
          <w:ilvl w:val="0"/>
          <w:numId w:val="18"/>
        </w:numPr>
        <w:ind w:left="709" w:hanging="357"/>
        <w:contextualSpacing w:val="0"/>
        <w:rPr>
          <w:i/>
          <w:iCs/>
        </w:rPr>
      </w:pPr>
      <w:r w:rsidRPr="009B6D36">
        <w:rPr>
          <w:i/>
          <w:iCs/>
        </w:rPr>
        <w:t>Při řešení způsobu likvidace odpadů prověřit předpoklady pro hospodárnou a ekologickou likvidaci těchto odpadů, zejména jejich druhotné využití.</w:t>
      </w:r>
    </w:p>
    <w:p w14:paraId="77D5E3A2" w14:textId="21D65205" w:rsidR="009B6D36" w:rsidRDefault="009B6D36">
      <w:pPr>
        <w:pStyle w:val="Odstavecseseznamem"/>
        <w:numPr>
          <w:ilvl w:val="0"/>
          <w:numId w:val="18"/>
        </w:numPr>
        <w:ind w:left="709" w:hanging="357"/>
        <w:contextualSpacing w:val="0"/>
        <w:rPr>
          <w:i/>
          <w:iCs/>
        </w:rPr>
      </w:pPr>
      <w:r w:rsidRPr="009B6D36">
        <w:rPr>
          <w:i/>
          <w:iCs/>
        </w:rPr>
        <w:t>Vymezit plochy pro ukládání odpadu v rozvojových plochách.</w:t>
      </w:r>
    </w:p>
    <w:p w14:paraId="509E75F3" w14:textId="77777777" w:rsidR="00C14AF8" w:rsidRPr="009B6D36" w:rsidRDefault="00C14AF8">
      <w:pPr>
        <w:pStyle w:val="Odstavecseseznamem"/>
        <w:numPr>
          <w:ilvl w:val="0"/>
          <w:numId w:val="18"/>
        </w:numPr>
        <w:ind w:left="709" w:hanging="357"/>
        <w:contextualSpacing w:val="0"/>
        <w:rPr>
          <w:i/>
          <w:iCs/>
        </w:rPr>
      </w:pPr>
      <w:r w:rsidRPr="009B6D36">
        <w:rPr>
          <w:i/>
          <w:iCs/>
        </w:rPr>
        <w:lastRenderedPageBreak/>
        <w:t>Vytvořit co nejlepší podmínky pro třídění komunálního odpadu a při řešení způsobu likvidace odpadů prověřit jejich druhotné využití na území obce (zejména bioodpad).</w:t>
      </w:r>
    </w:p>
    <w:p w14:paraId="16D9ECB0" w14:textId="0595F2FF" w:rsidR="00BB2D52" w:rsidRPr="00BB2D52" w:rsidRDefault="00BB2D52" w:rsidP="00BB2D52">
      <w:pPr>
        <w:pStyle w:val="Odstavecseseznamem"/>
        <w:ind w:left="709"/>
        <w:contextualSpacing w:val="0"/>
      </w:pPr>
      <w:r>
        <w:t>V koncepci odpadového hospodářství je vymezena plocha pro rozšíření sběrného dvora.</w:t>
      </w:r>
      <w:r w:rsidR="00F97BCE">
        <w:t xml:space="preserve"> Rozšíření kapacity sběrného dvora vytváří podmínky pro ekologické třídění odpadu, recyklaci a následné opětovné využití.</w:t>
      </w:r>
    </w:p>
    <w:p w14:paraId="638AAAB8" w14:textId="6A279D89" w:rsidR="009B6D36" w:rsidRDefault="009B6D36">
      <w:pPr>
        <w:pStyle w:val="Odstavecseseznamem"/>
        <w:numPr>
          <w:ilvl w:val="0"/>
          <w:numId w:val="18"/>
        </w:numPr>
        <w:ind w:left="709" w:hanging="357"/>
        <w:contextualSpacing w:val="0"/>
        <w:rPr>
          <w:i/>
          <w:iCs/>
        </w:rPr>
      </w:pPr>
      <w:r w:rsidRPr="009B6D36">
        <w:rPr>
          <w:i/>
          <w:iCs/>
        </w:rPr>
        <w:t>Vymezit staré ekologické zátěže, nelegální skládky a navrhnout řešení tohoto problému.</w:t>
      </w:r>
    </w:p>
    <w:p w14:paraId="32897AD6" w14:textId="5464CE39" w:rsidR="008B4F98" w:rsidRDefault="008B4F98" w:rsidP="008B4F98">
      <w:pPr>
        <w:pStyle w:val="Odstavecseseznamem"/>
        <w:ind w:left="709"/>
        <w:contextualSpacing w:val="0"/>
      </w:pPr>
      <w:r>
        <w:t xml:space="preserve">V koordinačním výkrese jsou vyznačena území ekologických rizik (skládky, kontaminovaná místa atp.). V koncepci nakládání s odpady je stanovena </w:t>
      </w:r>
      <w:r w:rsidR="000A7A24">
        <w:t>požadavek na revitalizaci územ ekologických rizik a jejich opětovné zapojení do krajiny.</w:t>
      </w:r>
    </w:p>
    <w:p w14:paraId="18D748AF" w14:textId="7B39AAE3" w:rsidR="006802B2" w:rsidRDefault="00504394" w:rsidP="00704B75">
      <w:pPr>
        <w:pStyle w:val="Nadpis3"/>
        <w:ind w:left="709"/>
      </w:pPr>
      <w:bookmarkStart w:id="65" w:name="_Toc232612610"/>
      <w:r>
        <w:t>P</w:t>
      </w:r>
      <w:r w:rsidR="00CC48E8" w:rsidRPr="006802B2">
        <w:t>ožadavky na koncepci</w:t>
      </w:r>
      <w:r w:rsidR="006802B2">
        <w:t xml:space="preserve"> </w:t>
      </w:r>
      <w:r w:rsidR="00CC48E8" w:rsidRPr="00CC48E8">
        <w:t xml:space="preserve">uspořádání </w:t>
      </w:r>
      <w:r w:rsidR="00CC48E8" w:rsidRPr="006802B2">
        <w:t>krajiny,</w:t>
      </w:r>
      <w:bookmarkEnd w:id="65"/>
      <w:r w:rsidR="00CC48E8" w:rsidRPr="006802B2">
        <w:t xml:space="preserve"> </w:t>
      </w:r>
    </w:p>
    <w:p w14:paraId="2E201672" w14:textId="20930676" w:rsidR="00CC48E8" w:rsidRDefault="00CC48E8" w:rsidP="006802B2">
      <w:pPr>
        <w:pStyle w:val="Odstavecseseznamem"/>
        <w:ind w:left="709"/>
        <w:contextualSpacing w:val="0"/>
      </w:pPr>
      <w:r w:rsidRPr="006802B2">
        <w:t>zejména na prověření plošného a prostorového</w:t>
      </w:r>
      <w:r w:rsidR="006802B2" w:rsidRPr="006802B2">
        <w:t xml:space="preserve"> </w:t>
      </w:r>
      <w:r w:rsidRPr="006802B2">
        <w:t>uspořádání nezastavěného území a na prověření možných změn, včetně prověření, ve kterých plochách</w:t>
      </w:r>
      <w:r w:rsidR="006802B2" w:rsidRPr="006802B2">
        <w:t xml:space="preserve"> </w:t>
      </w:r>
      <w:r w:rsidRPr="006802B2">
        <w:t>je vhodné vyloučit umísťování staveb, zařízení a jiných opatření pro účely uvedené v § 18 odst. 5</w:t>
      </w:r>
      <w:r w:rsidR="006802B2" w:rsidRPr="006802B2">
        <w:t xml:space="preserve"> </w:t>
      </w:r>
      <w:r w:rsidRPr="006802B2">
        <w:t>stavebního zákona</w:t>
      </w:r>
    </w:p>
    <w:p w14:paraId="7BC87B51" w14:textId="77777777" w:rsidR="006802B2" w:rsidRPr="002C20BB" w:rsidRDefault="006802B2" w:rsidP="006802B2">
      <w:pPr>
        <w:pStyle w:val="Odstavecseseznamem"/>
        <w:ind w:left="709"/>
        <w:rPr>
          <w:b/>
          <w:bCs/>
          <w:i/>
          <w:iCs/>
          <w:u w:val="single"/>
        </w:rPr>
      </w:pPr>
      <w:r w:rsidRPr="002C20BB">
        <w:rPr>
          <w:i/>
          <w:iCs/>
          <w:u w:val="single"/>
        </w:rPr>
        <w:t xml:space="preserve">Z uvedené </w:t>
      </w:r>
      <w:r w:rsidRPr="002C20BB">
        <w:rPr>
          <w:b/>
          <w:bCs/>
          <w:i/>
          <w:iCs/>
          <w:u w:val="single"/>
        </w:rPr>
        <w:t xml:space="preserve">PÚR </w:t>
      </w:r>
      <w:r w:rsidRPr="002C20BB">
        <w:rPr>
          <w:i/>
          <w:iCs/>
          <w:u w:val="single"/>
        </w:rPr>
        <w:t xml:space="preserve">ČR budou respektovány mimo jiné tyto </w:t>
      </w:r>
      <w:r w:rsidRPr="002C20BB">
        <w:rPr>
          <w:b/>
          <w:bCs/>
          <w:i/>
          <w:iCs/>
          <w:u w:val="single"/>
        </w:rPr>
        <w:t>republikové priority:</w:t>
      </w:r>
    </w:p>
    <w:p w14:paraId="11A42519" w14:textId="5A2212BB" w:rsidR="006802B2" w:rsidRPr="002C20BB" w:rsidRDefault="006802B2">
      <w:pPr>
        <w:pStyle w:val="Odstavecseseznamem"/>
        <w:numPr>
          <w:ilvl w:val="0"/>
          <w:numId w:val="18"/>
        </w:numPr>
        <w:ind w:left="709"/>
        <w:rPr>
          <w:i/>
          <w:iCs/>
        </w:rPr>
      </w:pPr>
      <w:r w:rsidRPr="002C20BB">
        <w:rPr>
          <w:i/>
          <w:iCs/>
        </w:rPr>
        <w:t>Při plánování rozvoje venkovských území a oblastí, ve vazbě na rozvoj primárního sektoru</w:t>
      </w:r>
      <w:r w:rsidR="002C20BB" w:rsidRPr="002C20BB">
        <w:rPr>
          <w:i/>
          <w:iCs/>
        </w:rPr>
        <w:t xml:space="preserve"> </w:t>
      </w:r>
      <w:r w:rsidRPr="002C20BB">
        <w:rPr>
          <w:i/>
          <w:iCs/>
        </w:rPr>
        <w:t>zohlednit ochranu kvalitních lesních porostů, vodních ploch a kvalitní zemědělské, především</w:t>
      </w:r>
      <w:r w:rsidR="002C20BB" w:rsidRPr="002C20BB">
        <w:rPr>
          <w:i/>
          <w:iCs/>
        </w:rPr>
        <w:t xml:space="preserve"> </w:t>
      </w:r>
      <w:r w:rsidRPr="002C20BB">
        <w:rPr>
          <w:i/>
          <w:iCs/>
        </w:rPr>
        <w:t xml:space="preserve">orné půdy a ekologických funkcí krajiny. (čl. </w:t>
      </w:r>
      <w:r w:rsidRPr="006802B2">
        <w:rPr>
          <w:i/>
          <w:iCs/>
        </w:rPr>
        <w:t>14a)</w:t>
      </w:r>
    </w:p>
    <w:p w14:paraId="2BB656BD" w14:textId="67421B3C" w:rsidR="002C20BB" w:rsidRPr="002C20BB" w:rsidRDefault="002C20BB">
      <w:pPr>
        <w:pStyle w:val="Odstavecseseznamem"/>
        <w:numPr>
          <w:ilvl w:val="0"/>
          <w:numId w:val="18"/>
        </w:numPr>
        <w:ind w:left="709"/>
        <w:rPr>
          <w:i/>
          <w:iCs/>
        </w:rPr>
      </w:pPr>
      <w:r w:rsidRPr="002C20BB">
        <w:rPr>
          <w:i/>
          <w:iCs/>
        </w:rPr>
        <w:t>Vytvářet územní podmínky pro implementaci a respektování územních systémů ekologické stability a</w:t>
      </w:r>
      <w:r w:rsidR="00340109">
        <w:rPr>
          <w:i/>
          <w:iCs/>
        </w:rPr>
        <w:t> </w:t>
      </w:r>
      <w:r w:rsidRPr="002C20BB">
        <w:rPr>
          <w:i/>
          <w:iCs/>
        </w:rPr>
        <w:t>zvyšování a udržování ekologické stability a k zajištění ekologických funkcí krajiny i v ostatní volné krajině. (čl. 20)</w:t>
      </w:r>
    </w:p>
    <w:p w14:paraId="087E30FE" w14:textId="152337A5" w:rsidR="006802B2" w:rsidRDefault="002C20BB">
      <w:pPr>
        <w:pStyle w:val="Odstavecseseznamem"/>
        <w:numPr>
          <w:ilvl w:val="0"/>
          <w:numId w:val="18"/>
        </w:numPr>
        <w:ind w:left="709"/>
        <w:contextualSpacing w:val="0"/>
        <w:rPr>
          <w:i/>
          <w:iCs/>
        </w:rPr>
      </w:pPr>
      <w:r w:rsidRPr="002C20BB">
        <w:rPr>
          <w:i/>
          <w:iCs/>
        </w:rPr>
        <w:t>Vymezit a chránit před zastavěním pozemky nezbytné pro vytvoření souvislých ploch veřejně přístupné zeleně. (čl. 21)</w:t>
      </w:r>
    </w:p>
    <w:p w14:paraId="318E857F" w14:textId="0D0A1D71" w:rsidR="002C20BB" w:rsidRDefault="002C20BB" w:rsidP="0092722B">
      <w:pPr>
        <w:pStyle w:val="Odstavecseseznamem"/>
        <w:ind w:left="709"/>
        <w:contextualSpacing w:val="0"/>
      </w:pPr>
      <w:r w:rsidRPr="002C20BB">
        <w:t xml:space="preserve">Řešení </w:t>
      </w:r>
      <w:r w:rsidR="00340109">
        <w:t>koncepce uspořádání krajiny</w:t>
      </w:r>
      <w:r w:rsidRPr="002C20BB">
        <w:t xml:space="preserve"> respektuje a naplňuje republikové priority PÚR. Vyhodnocení souladu územního plánu s PÚR je předmětem kap. IV.a.</w:t>
      </w:r>
    </w:p>
    <w:p w14:paraId="414780D1" w14:textId="77777777" w:rsidR="002C20BB" w:rsidRPr="002C20BB" w:rsidRDefault="002C20BB" w:rsidP="002C20BB">
      <w:pPr>
        <w:pStyle w:val="Odstavecseseznamem"/>
        <w:ind w:left="709"/>
        <w:rPr>
          <w:i/>
          <w:iCs/>
          <w:u w:val="single"/>
        </w:rPr>
      </w:pPr>
      <w:r w:rsidRPr="002C20BB">
        <w:rPr>
          <w:i/>
          <w:iCs/>
          <w:u w:val="single"/>
        </w:rPr>
        <w:t>Z uvedených ZÚR OK vyplývají pro řešení územního plánu Hlubočky mimo jiné tyto požadavky:</w:t>
      </w:r>
    </w:p>
    <w:p w14:paraId="12B6B9D1" w14:textId="6BC02D75" w:rsidR="002C20BB" w:rsidRPr="002C20BB" w:rsidRDefault="002C20BB">
      <w:pPr>
        <w:pStyle w:val="Odstavecseseznamem"/>
        <w:numPr>
          <w:ilvl w:val="0"/>
          <w:numId w:val="18"/>
        </w:numPr>
        <w:ind w:left="709"/>
        <w:rPr>
          <w:i/>
          <w:iCs/>
        </w:rPr>
      </w:pPr>
      <w:r w:rsidRPr="00340109">
        <w:rPr>
          <w:i/>
          <w:iCs/>
        </w:rPr>
        <w:t xml:space="preserve">Podporovat mimoprodukční funkce zemědělství v krajině a mimoprodukční funkce lesů v oblastech zvýšeného zájmu o využití ploch pro rekreaci. </w:t>
      </w:r>
      <w:r w:rsidRPr="002C20BB">
        <w:rPr>
          <w:i/>
          <w:iCs/>
        </w:rPr>
        <w:t>(odst. 4.6)</w:t>
      </w:r>
    </w:p>
    <w:p w14:paraId="212C5B5E" w14:textId="07B49ABC" w:rsidR="002C20BB" w:rsidRPr="002C20BB" w:rsidRDefault="002C20BB">
      <w:pPr>
        <w:pStyle w:val="Odstavecseseznamem"/>
        <w:numPr>
          <w:ilvl w:val="0"/>
          <w:numId w:val="18"/>
        </w:numPr>
        <w:ind w:left="709"/>
        <w:rPr>
          <w:i/>
          <w:iCs/>
        </w:rPr>
      </w:pPr>
      <w:r w:rsidRPr="00340109">
        <w:rPr>
          <w:i/>
          <w:iCs/>
        </w:rPr>
        <w:t xml:space="preserve">Podporovat provádění pozemkových úprav směřujících k ochraně půdy proti větrné erozi. </w:t>
      </w:r>
      <w:r w:rsidRPr="002C20BB">
        <w:rPr>
          <w:i/>
          <w:iCs/>
        </w:rPr>
        <w:t>(odst. 5.4.1.8)</w:t>
      </w:r>
    </w:p>
    <w:p w14:paraId="3DB9F9BE" w14:textId="521550AE" w:rsidR="002C20BB" w:rsidRPr="002C20BB" w:rsidRDefault="002C20BB">
      <w:pPr>
        <w:pStyle w:val="Odstavecseseznamem"/>
        <w:numPr>
          <w:ilvl w:val="0"/>
          <w:numId w:val="18"/>
        </w:numPr>
        <w:ind w:left="709"/>
        <w:rPr>
          <w:i/>
          <w:iCs/>
        </w:rPr>
      </w:pPr>
      <w:r w:rsidRPr="00340109">
        <w:rPr>
          <w:i/>
          <w:iCs/>
        </w:rPr>
        <w:t xml:space="preserve">K záboru ZPF ( a PUPFL) navrhovat pouze nezbytně nutné plochy. </w:t>
      </w:r>
      <w:r w:rsidRPr="002C20BB">
        <w:rPr>
          <w:i/>
          <w:iCs/>
        </w:rPr>
        <w:t>(odst. 5.4. 3.1)</w:t>
      </w:r>
    </w:p>
    <w:p w14:paraId="26A0962C" w14:textId="1E634AF1" w:rsidR="002C20BB" w:rsidRPr="002C20BB" w:rsidRDefault="002C20BB">
      <w:pPr>
        <w:pStyle w:val="Odstavecseseznamem"/>
        <w:numPr>
          <w:ilvl w:val="0"/>
          <w:numId w:val="18"/>
        </w:numPr>
        <w:ind w:left="709"/>
        <w:rPr>
          <w:i/>
          <w:iCs/>
        </w:rPr>
      </w:pPr>
      <w:r w:rsidRPr="00340109">
        <w:rPr>
          <w:i/>
          <w:iCs/>
        </w:rPr>
        <w:t xml:space="preserve">Podporovat ochranu půdy před vodní a větrnou erozí a rovněž před negativními jevy způsobenými přívalovými srážkami. </w:t>
      </w:r>
      <w:r w:rsidRPr="002C20BB">
        <w:rPr>
          <w:i/>
          <w:iCs/>
        </w:rPr>
        <w:t>(odst. 5.4.3.2)</w:t>
      </w:r>
    </w:p>
    <w:p w14:paraId="79ADF058" w14:textId="1A1948B6" w:rsidR="002C20BB" w:rsidRPr="002C20BB" w:rsidRDefault="002C20BB">
      <w:pPr>
        <w:pStyle w:val="Odstavecseseznamem"/>
        <w:numPr>
          <w:ilvl w:val="0"/>
          <w:numId w:val="18"/>
        </w:numPr>
        <w:ind w:left="709"/>
        <w:rPr>
          <w:i/>
          <w:iCs/>
        </w:rPr>
      </w:pPr>
      <w:r w:rsidRPr="00340109">
        <w:rPr>
          <w:i/>
          <w:iCs/>
        </w:rPr>
        <w:t xml:space="preserve">Podporovat mimoprodukční funkce lesů. </w:t>
      </w:r>
      <w:r w:rsidRPr="002C20BB">
        <w:rPr>
          <w:i/>
          <w:iCs/>
        </w:rPr>
        <w:t>(odst. 5.4.4.4)</w:t>
      </w:r>
    </w:p>
    <w:p w14:paraId="3B5F4C6F" w14:textId="46FCBD43" w:rsidR="002C20BB" w:rsidRPr="002C20BB" w:rsidRDefault="002C20BB">
      <w:pPr>
        <w:pStyle w:val="Odstavecseseznamem"/>
        <w:numPr>
          <w:ilvl w:val="0"/>
          <w:numId w:val="18"/>
        </w:numPr>
        <w:ind w:left="709"/>
        <w:rPr>
          <w:i/>
          <w:iCs/>
        </w:rPr>
      </w:pPr>
      <w:r w:rsidRPr="00340109">
        <w:rPr>
          <w:i/>
          <w:iCs/>
        </w:rPr>
        <w:t xml:space="preserve">Respektovat nezbytnost ochrany krajiny a jejího krajinného rázu. Podporovat a realizovat krajinotvorná opatření podporující žádoucí environmentální i estetické funkce krajiny a ekosystémů; důraz klást na posilování retenční schopnosti krajiny a omezování fragmentace krajiny. </w:t>
      </w:r>
      <w:r w:rsidRPr="002C20BB">
        <w:rPr>
          <w:i/>
          <w:iCs/>
        </w:rPr>
        <w:t>(odst. 5.4.6.1)</w:t>
      </w:r>
    </w:p>
    <w:p w14:paraId="017BFC4E" w14:textId="2FD9C803" w:rsidR="002C20BB" w:rsidRPr="002C20BB" w:rsidRDefault="002C20BB">
      <w:pPr>
        <w:pStyle w:val="Odstavecseseznamem"/>
        <w:numPr>
          <w:ilvl w:val="0"/>
          <w:numId w:val="18"/>
        </w:numPr>
        <w:ind w:left="709"/>
        <w:rPr>
          <w:i/>
          <w:iCs/>
        </w:rPr>
      </w:pPr>
      <w:r w:rsidRPr="00340109">
        <w:rPr>
          <w:i/>
          <w:iCs/>
        </w:rPr>
        <w:t xml:space="preserve">K ochraně jednotlivých prvků ÚSES a způsobům zapracování do územně plánovací dokumentace se stanovují zásady uvedené v </w:t>
      </w:r>
      <w:r w:rsidRPr="002C20BB">
        <w:rPr>
          <w:i/>
          <w:iCs/>
        </w:rPr>
        <w:t>odst. 71.</w:t>
      </w:r>
    </w:p>
    <w:p w14:paraId="49C2A8DD" w14:textId="7A2CC90E" w:rsidR="002C20BB" w:rsidRPr="002C20BB" w:rsidRDefault="002C20BB">
      <w:pPr>
        <w:pStyle w:val="Odstavecseseznamem"/>
        <w:numPr>
          <w:ilvl w:val="0"/>
          <w:numId w:val="18"/>
        </w:numPr>
        <w:ind w:left="709"/>
        <w:rPr>
          <w:i/>
          <w:iCs/>
        </w:rPr>
      </w:pPr>
      <w:r w:rsidRPr="00340109">
        <w:rPr>
          <w:i/>
          <w:iCs/>
        </w:rPr>
        <w:t xml:space="preserve">Při využití území a jeho změnách respektovat vymezení, charakter a funkci jednotlivých skladebných prvků ÚSES. </w:t>
      </w:r>
      <w:r w:rsidRPr="002C20BB">
        <w:rPr>
          <w:i/>
          <w:iCs/>
        </w:rPr>
        <w:t>(odst. 72)</w:t>
      </w:r>
    </w:p>
    <w:p w14:paraId="46658255" w14:textId="1E665643" w:rsidR="002C20BB" w:rsidRPr="002C20BB" w:rsidRDefault="002C20BB">
      <w:pPr>
        <w:pStyle w:val="Odstavecseseznamem"/>
        <w:numPr>
          <w:ilvl w:val="0"/>
          <w:numId w:val="18"/>
        </w:numPr>
        <w:ind w:left="709"/>
        <w:rPr>
          <w:i/>
          <w:iCs/>
        </w:rPr>
      </w:pPr>
      <w:r w:rsidRPr="00340109">
        <w:rPr>
          <w:i/>
          <w:iCs/>
        </w:rPr>
        <w:t xml:space="preserve">V jižní části obce (Mariánské údolí, Posluchov), v krajinném typu A – Haná udržet charakter otevřené kulturní venkovské krajiny s dominantní zemědělskou funkcí. </w:t>
      </w:r>
      <w:r w:rsidRPr="002C20BB">
        <w:rPr>
          <w:i/>
          <w:iCs/>
        </w:rPr>
        <w:t>(odst. 81.1)</w:t>
      </w:r>
    </w:p>
    <w:p w14:paraId="2E86A258" w14:textId="682374CB" w:rsidR="002C20BB" w:rsidRDefault="002C20BB">
      <w:pPr>
        <w:pStyle w:val="Odstavecseseznamem"/>
        <w:numPr>
          <w:ilvl w:val="0"/>
          <w:numId w:val="18"/>
        </w:numPr>
        <w:ind w:left="709"/>
        <w:contextualSpacing w:val="0"/>
        <w:rPr>
          <w:i/>
          <w:iCs/>
        </w:rPr>
      </w:pPr>
      <w:r w:rsidRPr="00340109">
        <w:rPr>
          <w:i/>
          <w:iCs/>
        </w:rPr>
        <w:t>Střední a severní část obce (Hlubočky, Hrubá Voda), v krajinném typu N – skupina Jesenicko Oderských vrchů udržovat lesopolní krajiny (lesozemědělský typ) s mozaikovitou strukturou ploch, osídlení rozvíjet především v mělkých údolích či jejich zakončeních, v typické návesní formě. V mělkých údolích přednost-ně podporovat vznik malých vodních nádrží. Typické akcenty zaříznutých údolí chránit před rozšiřováním sídel a vyhýbat se jim s kapacitní dopravní infrastrukturou.</w:t>
      </w:r>
    </w:p>
    <w:p w14:paraId="759BB9FA" w14:textId="60DE7D9F" w:rsidR="00340109" w:rsidRDefault="00340109" w:rsidP="0092722B">
      <w:pPr>
        <w:pStyle w:val="Odstavecseseznamem"/>
        <w:ind w:left="709"/>
        <w:contextualSpacing w:val="0"/>
      </w:pPr>
      <w:r w:rsidRPr="00340109">
        <w:t xml:space="preserve">Řešení koncepce </w:t>
      </w:r>
      <w:r>
        <w:t>uspořádání krajiny</w:t>
      </w:r>
      <w:r w:rsidRPr="00340109">
        <w:t xml:space="preserve"> respektuje a naplňuje požadavky ZÚR OK. Vyhodnocení souladu územního plánu se ZÚR OK je předmětem kap. IV.c.</w:t>
      </w:r>
      <w:r w:rsidR="0092722B">
        <w:t xml:space="preserve"> Ekologicky hodnotné krajinné prostředí obce je chráněno a stabilizováno plochami přírodními, struktura krajiny je rozvíjena interakčními </w:t>
      </w:r>
      <w:r w:rsidR="00E6379C">
        <w:t>prvky</w:t>
      </w:r>
      <w:r w:rsidR="0092722B">
        <w:t>.</w:t>
      </w:r>
      <w:r w:rsidR="00E6379C">
        <w:t xml:space="preserve"> Krajinný r</w:t>
      </w:r>
      <w:r w:rsidR="00BF54FB">
        <w:t>á</w:t>
      </w:r>
      <w:r w:rsidR="00E6379C">
        <w:t xml:space="preserve">z je chráněn stanovením podmínek základní koncepce ochrany hodnot území obce a jejího krajinného </w:t>
      </w:r>
      <w:r w:rsidR="00A67837">
        <w:t>prostředí</w:t>
      </w:r>
      <w:r w:rsidR="00E6379C">
        <w:t>.</w:t>
      </w:r>
    </w:p>
    <w:p w14:paraId="34556803" w14:textId="20A2ECFD" w:rsidR="004B4679" w:rsidRDefault="004B4679" w:rsidP="0092722B">
      <w:pPr>
        <w:pStyle w:val="Odstavecseseznamem"/>
        <w:ind w:left="709"/>
        <w:contextualSpacing w:val="0"/>
      </w:pPr>
      <w:r>
        <w:t>Zemědělský půdní fond je chráněn a jeho zábory jsou navrhovány v přiměřeném rozsahu s ohledem na rozvojové potřeby obce, v návaznosti na zastavěné území a ve strategických a dlouhodobě stabilizovaných lokalitách pro rozvoj obce</w:t>
      </w:r>
      <w:r w:rsidR="003C75FE">
        <w:t>.</w:t>
      </w:r>
      <w:r>
        <w:t xml:space="preserve"> Územní systém ekologické stability je aktualizován v souladu s Plánem ÚSES ORP Olomouc.</w:t>
      </w:r>
    </w:p>
    <w:p w14:paraId="74D31D42" w14:textId="77777777" w:rsidR="003A384E" w:rsidRPr="003A384E" w:rsidRDefault="003A384E" w:rsidP="003A384E">
      <w:pPr>
        <w:pStyle w:val="Odstavecseseznamem"/>
        <w:ind w:left="709"/>
        <w:rPr>
          <w:i/>
          <w:iCs/>
          <w:u w:val="single"/>
        </w:rPr>
      </w:pPr>
      <w:r w:rsidRPr="003A384E">
        <w:rPr>
          <w:i/>
          <w:iCs/>
          <w:u w:val="single"/>
        </w:rPr>
        <w:t>Dále respektovat:</w:t>
      </w:r>
    </w:p>
    <w:p w14:paraId="6EEBBCEA" w14:textId="62166B87" w:rsidR="003A384E" w:rsidRPr="003A384E" w:rsidRDefault="003A384E" w:rsidP="003A384E">
      <w:pPr>
        <w:pStyle w:val="Odstavecseseznamem"/>
        <w:ind w:left="709"/>
        <w:contextualSpacing w:val="0"/>
        <w:rPr>
          <w:i/>
          <w:iCs/>
        </w:rPr>
      </w:pPr>
      <w:r w:rsidRPr="003A384E">
        <w:rPr>
          <w:i/>
          <w:iCs/>
        </w:rPr>
        <w:t>Koncepci ochrany přírody a krajiny pro území Olomouckého kraje</w:t>
      </w:r>
    </w:p>
    <w:p w14:paraId="574DFAEA" w14:textId="36D13228" w:rsidR="003A384E" w:rsidRDefault="003A384E" w:rsidP="003A384E">
      <w:pPr>
        <w:pStyle w:val="Odstavecseseznamem"/>
        <w:ind w:left="709"/>
        <w:contextualSpacing w:val="0"/>
      </w:pPr>
      <w:r w:rsidRPr="003A384E">
        <w:t>Koncepc</w:t>
      </w:r>
      <w:r>
        <w:t>e</w:t>
      </w:r>
      <w:r w:rsidRPr="003A384E">
        <w:t xml:space="preserve"> ochrany přírody a krajiny pro území Olomouckého kraje</w:t>
      </w:r>
      <w:r>
        <w:t xml:space="preserve"> je respektována.</w:t>
      </w:r>
    </w:p>
    <w:p w14:paraId="1BAD3A44" w14:textId="55BAB1F1" w:rsidR="00985054" w:rsidRPr="00985054" w:rsidRDefault="00985054" w:rsidP="00985054">
      <w:pPr>
        <w:pStyle w:val="Odstavecseseznamem"/>
        <w:ind w:left="709"/>
        <w:rPr>
          <w:i/>
          <w:iCs/>
          <w:u w:val="single"/>
        </w:rPr>
      </w:pPr>
      <w:r w:rsidRPr="00985054">
        <w:rPr>
          <w:i/>
          <w:iCs/>
          <w:u w:val="single"/>
        </w:rPr>
        <w:lastRenderedPageBreak/>
        <w:t xml:space="preserve">Z územně </w:t>
      </w:r>
      <w:r w:rsidRPr="00985054">
        <w:rPr>
          <w:b/>
          <w:bCs/>
          <w:i/>
          <w:iCs/>
          <w:u w:val="single"/>
        </w:rPr>
        <w:t xml:space="preserve">analytických </w:t>
      </w:r>
      <w:r w:rsidRPr="00985054">
        <w:rPr>
          <w:i/>
          <w:iCs/>
          <w:u w:val="single"/>
        </w:rPr>
        <w:t>podkladů vyplývají pro řešení Územního plánu Hlubočky následující požadavky:</w:t>
      </w:r>
    </w:p>
    <w:p w14:paraId="5FA10B9B" w14:textId="77777777" w:rsidR="00985054" w:rsidRPr="00985054" w:rsidRDefault="00985054">
      <w:pPr>
        <w:pStyle w:val="Odstavecseseznamem"/>
        <w:numPr>
          <w:ilvl w:val="0"/>
          <w:numId w:val="18"/>
        </w:numPr>
        <w:ind w:left="709"/>
        <w:rPr>
          <w:i/>
          <w:iCs/>
        </w:rPr>
      </w:pPr>
      <w:r w:rsidRPr="00985054">
        <w:rPr>
          <w:i/>
          <w:iCs/>
        </w:rPr>
        <w:t>Řešit návaznosti ÚSES jak v rámci obce, tak v návaznosti na sousední obce.</w:t>
      </w:r>
    </w:p>
    <w:p w14:paraId="40472F65" w14:textId="77777777" w:rsidR="00985054" w:rsidRDefault="00985054">
      <w:pPr>
        <w:pStyle w:val="Odstavecseseznamem"/>
        <w:numPr>
          <w:ilvl w:val="0"/>
          <w:numId w:val="18"/>
        </w:numPr>
        <w:ind w:left="709"/>
        <w:rPr>
          <w:i/>
          <w:iCs/>
        </w:rPr>
      </w:pPr>
      <w:r w:rsidRPr="00985054">
        <w:rPr>
          <w:i/>
          <w:iCs/>
        </w:rPr>
        <w:t>Respektovat Plán ÚSES ORP Olomouc.</w:t>
      </w:r>
    </w:p>
    <w:p w14:paraId="2342B60C" w14:textId="474F8AC4" w:rsidR="003C75FE" w:rsidRPr="003C75FE" w:rsidRDefault="003C75FE" w:rsidP="003C75FE">
      <w:pPr>
        <w:pStyle w:val="Odstavecseseznamem"/>
        <w:ind w:left="709"/>
        <w:contextualSpacing w:val="0"/>
      </w:pPr>
      <w:r w:rsidRPr="003C75FE">
        <w:t>Územní systém ekologické stability je aktualizován v souladu s Plánem ÚSES ORP Olomou</w:t>
      </w:r>
      <w:r w:rsidR="00E941C8">
        <w:t>c, včetně koordinace návazností jednotlivých prvků na okolní obce.</w:t>
      </w:r>
    </w:p>
    <w:p w14:paraId="05F219B9" w14:textId="77777777" w:rsidR="00985054" w:rsidRPr="00985054" w:rsidRDefault="00985054">
      <w:pPr>
        <w:pStyle w:val="Odstavecseseznamem"/>
        <w:numPr>
          <w:ilvl w:val="0"/>
          <w:numId w:val="18"/>
        </w:numPr>
        <w:ind w:left="709"/>
        <w:rPr>
          <w:i/>
          <w:iCs/>
        </w:rPr>
      </w:pPr>
      <w:r w:rsidRPr="00985054">
        <w:rPr>
          <w:i/>
          <w:iCs/>
        </w:rPr>
        <w:t>Rozvojové plochy vymezovat tak, aby nedošlo k nadměrnému záboru ZPF.</w:t>
      </w:r>
    </w:p>
    <w:p w14:paraId="5C1BBCC5" w14:textId="33D1947E" w:rsidR="00985054" w:rsidRPr="00985054" w:rsidRDefault="00985054">
      <w:pPr>
        <w:pStyle w:val="Odstavecseseznamem"/>
        <w:numPr>
          <w:ilvl w:val="0"/>
          <w:numId w:val="18"/>
        </w:numPr>
        <w:ind w:left="709"/>
        <w:rPr>
          <w:i/>
          <w:iCs/>
        </w:rPr>
      </w:pPr>
      <w:r w:rsidRPr="00985054">
        <w:rPr>
          <w:i/>
          <w:iCs/>
        </w:rPr>
        <w:t>Navrhnout protierozní opatření.</w:t>
      </w:r>
    </w:p>
    <w:p w14:paraId="3F035EE0" w14:textId="5A4AF537" w:rsidR="00985054" w:rsidRDefault="00985054" w:rsidP="00985054">
      <w:pPr>
        <w:pStyle w:val="Odstavecseseznamem"/>
        <w:ind w:left="709"/>
        <w:contextualSpacing w:val="0"/>
      </w:pPr>
      <w:r>
        <w:t>Územní plán navrhuje protierozní opatření formou liniových interakčních prvků a retenčních a protierozních opatření nad údolím Hlubočku a Trnavy.</w:t>
      </w:r>
    </w:p>
    <w:p w14:paraId="6DFAD73E" w14:textId="77777777" w:rsidR="00E7231E" w:rsidRPr="00E7231E" w:rsidRDefault="00E7231E" w:rsidP="00E7231E">
      <w:pPr>
        <w:pStyle w:val="Odstavecseseznamem"/>
        <w:rPr>
          <w:i/>
          <w:iCs/>
          <w:u w:val="single"/>
        </w:rPr>
      </w:pPr>
      <w:r w:rsidRPr="00E7231E">
        <w:rPr>
          <w:i/>
          <w:iCs/>
          <w:u w:val="single"/>
        </w:rPr>
        <w:t>Další požadavky:</w:t>
      </w:r>
    </w:p>
    <w:p w14:paraId="4B205D8F" w14:textId="49CD336D" w:rsidR="00E7231E" w:rsidRDefault="00E7231E">
      <w:pPr>
        <w:pStyle w:val="Odstavecseseznamem"/>
        <w:numPr>
          <w:ilvl w:val="0"/>
          <w:numId w:val="18"/>
        </w:numPr>
        <w:ind w:left="709" w:hanging="357"/>
        <w:contextualSpacing w:val="0"/>
        <w:rPr>
          <w:i/>
          <w:iCs/>
        </w:rPr>
      </w:pPr>
      <w:r w:rsidRPr="00E7231E">
        <w:rPr>
          <w:i/>
          <w:iCs/>
        </w:rPr>
        <w:t>Chránit a doplnit liniovou i plošnou zeleň v nezastavěném území.</w:t>
      </w:r>
    </w:p>
    <w:p w14:paraId="760DBE96" w14:textId="6E825169" w:rsidR="00A73C64" w:rsidRPr="00A73C64" w:rsidRDefault="00A73C64" w:rsidP="00A73C64">
      <w:pPr>
        <w:pStyle w:val="Odstavecseseznamem"/>
        <w:ind w:left="709"/>
        <w:contextualSpacing w:val="0"/>
      </w:pPr>
      <w:r>
        <w:t>Územní plán chrání, stabilizuje a rozvíjí parkové plochy, vegetační plochy ve veřejných prostranstvích i plochy krajinné zeleně tvořící základní ekologickou kostru krajiny.</w:t>
      </w:r>
    </w:p>
    <w:p w14:paraId="512F6792" w14:textId="0F8D4F59" w:rsidR="00E7231E" w:rsidRDefault="00E7231E">
      <w:pPr>
        <w:pStyle w:val="Odstavecseseznamem"/>
        <w:numPr>
          <w:ilvl w:val="0"/>
          <w:numId w:val="18"/>
        </w:numPr>
        <w:ind w:left="709" w:hanging="357"/>
        <w:contextualSpacing w:val="0"/>
        <w:rPr>
          <w:i/>
          <w:iCs/>
        </w:rPr>
      </w:pPr>
      <w:r w:rsidRPr="00E7231E">
        <w:rPr>
          <w:i/>
          <w:iCs/>
        </w:rPr>
        <w:t>Ve volné krajině nedovolit nová sídla nebo samoty, zejména pro využívání individuální rekreace.</w:t>
      </w:r>
    </w:p>
    <w:p w14:paraId="46DB9B29" w14:textId="0859D793" w:rsidR="00B1415B" w:rsidRPr="00B1415B" w:rsidRDefault="001D2132" w:rsidP="00B1415B">
      <w:pPr>
        <w:pStyle w:val="Odstavecseseznamem"/>
        <w:ind w:left="709"/>
        <w:contextualSpacing w:val="0"/>
      </w:pPr>
      <w:r>
        <w:t>Uzemní plán nenavrhuje nová sídla a samoty ve volné krajině.</w:t>
      </w:r>
    </w:p>
    <w:p w14:paraId="22A535EA" w14:textId="364A7630" w:rsidR="00E7231E" w:rsidRDefault="00E7231E">
      <w:pPr>
        <w:pStyle w:val="Odstavecseseznamem"/>
        <w:numPr>
          <w:ilvl w:val="0"/>
          <w:numId w:val="18"/>
        </w:numPr>
        <w:ind w:left="709" w:hanging="357"/>
        <w:contextualSpacing w:val="0"/>
        <w:rPr>
          <w:i/>
          <w:iCs/>
        </w:rPr>
      </w:pPr>
      <w:r w:rsidRPr="00E7231E">
        <w:rPr>
          <w:i/>
          <w:iCs/>
        </w:rPr>
        <w:t>Zabránit narušení či zhoršení stávajícího krajinného rázu.</w:t>
      </w:r>
    </w:p>
    <w:p w14:paraId="319B26A1" w14:textId="2246CF60" w:rsidR="00CE68E0" w:rsidRPr="00CE68E0" w:rsidRDefault="00CE68E0" w:rsidP="00CE68E0">
      <w:pPr>
        <w:pStyle w:val="Odstavecseseznamem"/>
        <w:ind w:left="709"/>
        <w:contextualSpacing w:val="0"/>
      </w:pPr>
      <w:r>
        <w:t>Krajinný ráz prostředí obce je chráněn a stabilizován podmínkami základní koncepce rozvoje a urbanistické koncepce</w:t>
      </w:r>
      <w:r w:rsidR="00B53E62">
        <w:t>, zejména ve vztahu k hodnotnému přírodnímu prostředí a rekreačnímu významu krajiny.</w:t>
      </w:r>
    </w:p>
    <w:p w14:paraId="0F3CCC64" w14:textId="22A9331F" w:rsidR="00E7231E" w:rsidRDefault="00E7231E">
      <w:pPr>
        <w:pStyle w:val="Odstavecseseznamem"/>
        <w:numPr>
          <w:ilvl w:val="0"/>
          <w:numId w:val="18"/>
        </w:numPr>
        <w:ind w:left="709" w:hanging="357"/>
        <w:contextualSpacing w:val="0"/>
        <w:rPr>
          <w:i/>
          <w:iCs/>
        </w:rPr>
      </w:pPr>
      <w:r w:rsidRPr="00E7231E">
        <w:rPr>
          <w:i/>
          <w:iCs/>
        </w:rPr>
        <w:t>V územním plánu vymezit plochy s rozdílným způsobem využití tak, aby byl zohledněn stávající stav, zejména v nejhodnotnějších částech tento stav zachovat, v problematických navrhnout řešení s ohledem na širší souvislosti i záměry v území.</w:t>
      </w:r>
    </w:p>
    <w:p w14:paraId="1D7B3049" w14:textId="661C5D66" w:rsidR="00E7231E" w:rsidRDefault="00E7231E">
      <w:pPr>
        <w:pStyle w:val="Odstavecseseznamem"/>
        <w:numPr>
          <w:ilvl w:val="0"/>
          <w:numId w:val="18"/>
        </w:numPr>
        <w:ind w:left="709" w:hanging="357"/>
        <w:contextualSpacing w:val="0"/>
        <w:rPr>
          <w:i/>
          <w:iCs/>
        </w:rPr>
      </w:pPr>
      <w:r w:rsidRPr="00E7231E">
        <w:rPr>
          <w:i/>
          <w:iCs/>
        </w:rPr>
        <w:t>Respektovat obecnou i zvláštní ochranu přírody a krajiny. Zachovat stávající stav s předpokladem dalšího posilování přírodních a estetických hodnot.</w:t>
      </w:r>
    </w:p>
    <w:p w14:paraId="3243F615" w14:textId="5F9F4627" w:rsidR="001D2132" w:rsidRPr="001D2132" w:rsidRDefault="00287E1B" w:rsidP="001D2132">
      <w:pPr>
        <w:pStyle w:val="Odstavecseseznamem"/>
        <w:ind w:left="709"/>
        <w:contextualSpacing w:val="0"/>
      </w:pPr>
      <w:r w:rsidRPr="00287E1B">
        <w:t>Krajina je chráněna a stabilizována plochami přírodními a krajinnými, je stabilizována a rozvíjena struktura krajiny včetně liniových prvků remízů a mezí.</w:t>
      </w:r>
      <w:r>
        <w:t xml:space="preserve"> V podmínkách ochrany krajinného rázu je kladen důraz na harmonické zapojení zástavby do krajiny a ochranu záhumeního prostoru sídla s plynulým přechodem do</w:t>
      </w:r>
      <w:r w:rsidR="00391BD3">
        <w:t> </w:t>
      </w:r>
      <w:r>
        <w:t>krajiny.</w:t>
      </w:r>
    </w:p>
    <w:p w14:paraId="261ED381" w14:textId="5E64BC93" w:rsidR="00055111" w:rsidRPr="00E7231E" w:rsidRDefault="00E7231E">
      <w:pPr>
        <w:pStyle w:val="Odstavecseseznamem"/>
        <w:numPr>
          <w:ilvl w:val="0"/>
          <w:numId w:val="18"/>
        </w:numPr>
        <w:ind w:left="709" w:hanging="357"/>
        <w:contextualSpacing w:val="0"/>
        <w:rPr>
          <w:i/>
          <w:iCs/>
        </w:rPr>
      </w:pPr>
      <w:r w:rsidRPr="00E7231E">
        <w:rPr>
          <w:i/>
          <w:iCs/>
        </w:rPr>
        <w:t>Prověřit skladebné části ÚSES (místní) navržené a vymezené dle dosud platného územního plánu dle jejich aktuálního stavu a zajistit jejich koordinaci s limity a záměry v území a jejich návaznost na území okolních obcí.</w:t>
      </w:r>
    </w:p>
    <w:p w14:paraId="116C1377" w14:textId="7D275D3F" w:rsidR="00E7231E" w:rsidRDefault="00E7231E">
      <w:pPr>
        <w:pStyle w:val="Odstavecseseznamem"/>
        <w:numPr>
          <w:ilvl w:val="0"/>
          <w:numId w:val="18"/>
        </w:numPr>
        <w:ind w:left="709" w:hanging="357"/>
        <w:contextualSpacing w:val="0"/>
        <w:rPr>
          <w:i/>
          <w:iCs/>
        </w:rPr>
      </w:pPr>
      <w:r w:rsidRPr="00E7231E">
        <w:rPr>
          <w:i/>
          <w:iCs/>
        </w:rPr>
        <w:t>Závazné vymezení ÚSES je třeba provést metodicky správně, zajistit provázanost systému jako celku a</w:t>
      </w:r>
      <w:r w:rsidR="001D2132">
        <w:rPr>
          <w:i/>
          <w:iCs/>
        </w:rPr>
        <w:t> </w:t>
      </w:r>
      <w:r w:rsidRPr="00E7231E">
        <w:rPr>
          <w:i/>
          <w:iCs/>
        </w:rPr>
        <w:t>podmínky využití (přípustné, nepřípustné, podmíněně přípustné) nastavit tak, aby vylučovaly využití území způsobem zhoršujícím ekologickou stabilitu a vedly k zachování či dosažení funkčnosti skladebných částí ÚSES. Při vymezování skladebných částí ÚSES je třeba přihlédnout také k majetkoprávním vztahům a využít přednostně pozemky ve veřejném vlastnictví.</w:t>
      </w:r>
    </w:p>
    <w:p w14:paraId="7C57E411" w14:textId="4D8FD4BC" w:rsidR="001D2132" w:rsidRPr="001D2132" w:rsidRDefault="00533832" w:rsidP="001D2132">
      <w:pPr>
        <w:pStyle w:val="Odstavecseseznamem"/>
        <w:ind w:left="709"/>
        <w:contextualSpacing w:val="0"/>
      </w:pPr>
      <w:r w:rsidRPr="003C75FE">
        <w:t>Územní systém ekologické stability je aktualizován v souladu s Plánem ÚSES ORP Olomou</w:t>
      </w:r>
      <w:r>
        <w:t>c, včetně koordinace návazností jednotlivých prvků na okolní obce. Byla provedena odborná revize všech prvků ÚSES včetně vyhodnocení majetkoprávních vztahů a funkčnosti jednotlivých prvků.</w:t>
      </w:r>
    </w:p>
    <w:p w14:paraId="7EEA5F85" w14:textId="5D8EEA31" w:rsidR="00E7231E" w:rsidRDefault="00E7231E">
      <w:pPr>
        <w:pStyle w:val="Odstavecseseznamem"/>
        <w:numPr>
          <w:ilvl w:val="0"/>
          <w:numId w:val="18"/>
        </w:numPr>
        <w:ind w:left="709" w:hanging="357"/>
        <w:contextualSpacing w:val="0"/>
        <w:rPr>
          <w:i/>
          <w:iCs/>
        </w:rPr>
      </w:pPr>
      <w:r w:rsidRPr="00E7231E">
        <w:rPr>
          <w:i/>
          <w:iCs/>
        </w:rPr>
        <w:t>Respektovat a dále posilovat veškerou krajinnou zeleň, zajišťující zpomalení odtoku extravilánových vod a</w:t>
      </w:r>
      <w:r w:rsidR="001D2132">
        <w:rPr>
          <w:i/>
          <w:iCs/>
        </w:rPr>
        <w:t> </w:t>
      </w:r>
      <w:r w:rsidRPr="00E7231E">
        <w:rPr>
          <w:i/>
          <w:iCs/>
        </w:rPr>
        <w:t>protierozní ochranu, zvyšující ekologickou stabilitu krajiny i její estetickou hodnotu.</w:t>
      </w:r>
    </w:p>
    <w:p w14:paraId="7E43118D" w14:textId="5EBDFE0F" w:rsidR="001D2132" w:rsidRPr="001D2132" w:rsidRDefault="00054CAA" w:rsidP="001D2132">
      <w:pPr>
        <w:pStyle w:val="Odstavecseseznamem"/>
        <w:ind w:left="709"/>
        <w:contextualSpacing w:val="0"/>
      </w:pPr>
      <w:r>
        <w:t>Krajinná zeleň je respektována a je rozvíjena systémem interakčních prvků (meze, remízy) tak, aby posilovala protierozní ochranu krajiny a její ekologickou a estetickou hodnotu.</w:t>
      </w:r>
    </w:p>
    <w:p w14:paraId="67707A33" w14:textId="40139B38" w:rsidR="00E7231E" w:rsidRDefault="00E7231E">
      <w:pPr>
        <w:pStyle w:val="Odstavecseseznamem"/>
        <w:numPr>
          <w:ilvl w:val="0"/>
          <w:numId w:val="18"/>
        </w:numPr>
        <w:ind w:left="709" w:hanging="357"/>
        <w:contextualSpacing w:val="0"/>
        <w:rPr>
          <w:i/>
          <w:iCs/>
        </w:rPr>
      </w:pPr>
      <w:r w:rsidRPr="00E7231E">
        <w:rPr>
          <w:i/>
          <w:iCs/>
        </w:rPr>
        <w:t>Prověřit plochy pro možné zalesnění a při stanovování funkčního využití ploch s rozdílným způsobem využití zohlednit také polohu ochranném pásmu lesa.</w:t>
      </w:r>
    </w:p>
    <w:p w14:paraId="5920857D" w14:textId="48CB3931" w:rsidR="001D2132" w:rsidRPr="001D2132" w:rsidRDefault="001D2132" w:rsidP="001D2132">
      <w:pPr>
        <w:pStyle w:val="Odstavecseseznamem"/>
        <w:ind w:left="709"/>
        <w:contextualSpacing w:val="0"/>
      </w:pPr>
      <w:r>
        <w:t>Územní plán prověřil úpravu rozsahu ploch přírodních dle skutečného stavu krajiny a s ohledem na</w:t>
      </w:r>
      <w:r w:rsidR="00B34D64">
        <w:t> </w:t>
      </w:r>
      <w:r>
        <w:t>stabilizaci a spojitost struktury krajiny.</w:t>
      </w:r>
    </w:p>
    <w:p w14:paraId="610CD815" w14:textId="7405F71B" w:rsidR="00E7231E" w:rsidRPr="00E7231E" w:rsidRDefault="00E7231E">
      <w:pPr>
        <w:pStyle w:val="Odstavecseseznamem"/>
        <w:numPr>
          <w:ilvl w:val="0"/>
          <w:numId w:val="18"/>
        </w:numPr>
        <w:ind w:left="709" w:hanging="357"/>
        <w:contextualSpacing w:val="0"/>
        <w:rPr>
          <w:i/>
          <w:iCs/>
        </w:rPr>
      </w:pPr>
      <w:r w:rsidRPr="00E7231E">
        <w:rPr>
          <w:i/>
          <w:iCs/>
        </w:rPr>
        <w:t>Navrhnout opatření pro zvýšení retenční schopnosti krajiny.</w:t>
      </w:r>
    </w:p>
    <w:p w14:paraId="44CA98E3" w14:textId="00FB7313" w:rsidR="00E7231E" w:rsidRDefault="00E7231E">
      <w:pPr>
        <w:pStyle w:val="Odstavecseseznamem"/>
        <w:numPr>
          <w:ilvl w:val="0"/>
          <w:numId w:val="18"/>
        </w:numPr>
        <w:ind w:left="709" w:hanging="357"/>
        <w:contextualSpacing w:val="0"/>
        <w:rPr>
          <w:i/>
          <w:iCs/>
        </w:rPr>
      </w:pPr>
      <w:r w:rsidRPr="00E7231E">
        <w:rPr>
          <w:i/>
          <w:iCs/>
        </w:rPr>
        <w:t>Projektant vyhodnotí riziko ohrožení půd erozí, popřípadě navrhne protierozní opatření.</w:t>
      </w:r>
    </w:p>
    <w:p w14:paraId="272401BC" w14:textId="1F8C6806" w:rsidR="00B34D64" w:rsidRPr="00B34D64" w:rsidRDefault="00B34D64" w:rsidP="00B34D64">
      <w:pPr>
        <w:pStyle w:val="Odstavecseseznamem"/>
        <w:ind w:left="709"/>
        <w:contextualSpacing w:val="0"/>
      </w:pPr>
      <w:r>
        <w:t>Územní plán stabilizuje a chrání stávající strukturu krajiny včetně zalesněných území, která jsou hlavním faktorem protierozní ochrany území. Dále rozvíjí systém interakčních prvků jako přirozených protierozních opatření (meze, remízky), v exponovaných polohách v údolí Hlubočku a Trnavy jsou navržena retenční a protierozní opatření pro zadržování přívalových srážek.</w:t>
      </w:r>
    </w:p>
    <w:p w14:paraId="6C346D53" w14:textId="7C9F29A5" w:rsidR="00E7231E" w:rsidRDefault="00E7231E">
      <w:pPr>
        <w:pStyle w:val="Odstavecseseznamem"/>
        <w:numPr>
          <w:ilvl w:val="0"/>
          <w:numId w:val="18"/>
        </w:numPr>
        <w:ind w:left="709" w:hanging="357"/>
        <w:contextualSpacing w:val="0"/>
        <w:rPr>
          <w:i/>
          <w:iCs/>
        </w:rPr>
      </w:pPr>
      <w:r w:rsidRPr="00E7231E">
        <w:rPr>
          <w:i/>
          <w:iCs/>
        </w:rPr>
        <w:t>Vodní toky nenavrhovat k zatrubnění a prověřit obnovení zatrubněných částí. Chránit nezastavěný volný prostor o šířce cca 6-8 m od břehové hrany toků.</w:t>
      </w:r>
    </w:p>
    <w:p w14:paraId="7A7BD412" w14:textId="76FE9998" w:rsidR="00B34D64" w:rsidRPr="00B34D64" w:rsidRDefault="00B34D64" w:rsidP="00B34D64">
      <w:pPr>
        <w:pStyle w:val="Odstavecseseznamem"/>
        <w:ind w:left="709"/>
        <w:contextualSpacing w:val="0"/>
      </w:pPr>
      <w:r>
        <w:lastRenderedPageBreak/>
        <w:t>Zatrubnění vodních toků není navrhováno</w:t>
      </w:r>
      <w:r w:rsidR="00297A09">
        <w:t xml:space="preserve"> a jsou chráněny plochou vodní a vodohospodářskou. Při řešení zpevnění břehů (např. jako součást protipovodňových opatření) je podmínkou takového řešení citlivé krajinářské řešení.</w:t>
      </w:r>
    </w:p>
    <w:p w14:paraId="36E85664" w14:textId="4FE69ABE" w:rsidR="00E7231E" w:rsidRDefault="00E7231E">
      <w:pPr>
        <w:pStyle w:val="Odstavecseseznamem"/>
        <w:numPr>
          <w:ilvl w:val="0"/>
          <w:numId w:val="18"/>
        </w:numPr>
        <w:ind w:left="709" w:hanging="357"/>
        <w:contextualSpacing w:val="0"/>
        <w:rPr>
          <w:i/>
          <w:iCs/>
        </w:rPr>
      </w:pPr>
      <w:r w:rsidRPr="00E7231E">
        <w:rPr>
          <w:i/>
          <w:iCs/>
        </w:rPr>
        <w:t>Prověřit a umožnit revitalizace vodních toků a ploch a doplnění dalších vodních a mokřadních prvků včetně vegetačních doprovodů.</w:t>
      </w:r>
    </w:p>
    <w:p w14:paraId="54EED05C" w14:textId="15CACAE9" w:rsidR="008904B8" w:rsidRPr="008904B8" w:rsidRDefault="008904B8" w:rsidP="008904B8">
      <w:pPr>
        <w:pStyle w:val="Odstavecseseznamem"/>
        <w:ind w:left="709"/>
        <w:contextualSpacing w:val="0"/>
      </w:pPr>
      <w:r>
        <w:t>Prostor pro revitalizaci vodních toků je zajištěn v rámci ploch vodních a vodohospodářských a ploch přírodních a krajinných. V rámci těchto ploch je podporován přirozený vznik nivních a mokřadních společenstev. Jejich ochrana je zajištěna prvky ÚSES.</w:t>
      </w:r>
    </w:p>
    <w:p w14:paraId="3951E65C" w14:textId="65078C32" w:rsidR="00E7231E" w:rsidRDefault="00E7231E">
      <w:pPr>
        <w:pStyle w:val="Odstavecseseznamem"/>
        <w:numPr>
          <w:ilvl w:val="0"/>
          <w:numId w:val="18"/>
        </w:numPr>
        <w:ind w:left="709" w:hanging="357"/>
        <w:contextualSpacing w:val="0"/>
        <w:rPr>
          <w:i/>
          <w:iCs/>
        </w:rPr>
      </w:pPr>
      <w:r w:rsidRPr="00E7231E">
        <w:rPr>
          <w:i/>
          <w:iCs/>
        </w:rPr>
        <w:t>Zajistit předpoklady pro obnovu nebo doplnění polních cest v nezastavěném území. Dále pak zajistit předpoklady pro doplnění liniových porostů podél cest a vodních toků, případně i samostatných ploch, jako prostředku pro ochranu a podporu krajinného rázu.</w:t>
      </w:r>
    </w:p>
    <w:p w14:paraId="50D3F8D2" w14:textId="00D2A637" w:rsidR="00E61233" w:rsidRPr="00E61233" w:rsidRDefault="00E61233" w:rsidP="00E61233">
      <w:pPr>
        <w:pStyle w:val="Odstavecseseznamem"/>
        <w:ind w:left="709"/>
        <w:contextualSpacing w:val="0"/>
      </w:pPr>
      <w:r>
        <w:t>Územní plán posiluje prostupnost sídla i krajiny řešením systému veřejných prostranství a vymezením významných tras cestní sítě v krajině. Liniové porosty v krajině jsou posilovány vymezením interakčních prvků (meze, remízy, stromořadí</w:t>
      </w:r>
      <w:r w:rsidR="00B04E83">
        <w:t>).</w:t>
      </w:r>
    </w:p>
    <w:p w14:paraId="15FF2F77" w14:textId="16F872F8" w:rsidR="00E7231E" w:rsidRDefault="00E7231E">
      <w:pPr>
        <w:pStyle w:val="Odstavecseseznamem"/>
        <w:numPr>
          <w:ilvl w:val="0"/>
          <w:numId w:val="18"/>
        </w:numPr>
        <w:ind w:left="709" w:hanging="357"/>
        <w:contextualSpacing w:val="0"/>
        <w:rPr>
          <w:i/>
          <w:iCs/>
        </w:rPr>
      </w:pPr>
      <w:r w:rsidRPr="00E7231E">
        <w:rPr>
          <w:i/>
          <w:iCs/>
        </w:rPr>
        <w:t>Stanovit podmínky pro oplocování pozemků v nezastavěném území.</w:t>
      </w:r>
    </w:p>
    <w:p w14:paraId="17D8C3AB" w14:textId="7A49B532" w:rsidR="008904B8" w:rsidRPr="008904B8" w:rsidRDefault="008904B8" w:rsidP="008904B8">
      <w:pPr>
        <w:pStyle w:val="Odstavecseseznamem"/>
        <w:ind w:left="709"/>
        <w:contextualSpacing w:val="0"/>
      </w:pPr>
      <w:r>
        <w:t>Podrobné podmínky oplocení pozemků jsou stanoveny prvky regulačního plánu v rozsahu celého správního území obce tak, aby nebyl narušován charakter prostředí a krajinný ráz nevhodnými formami oplocení, které jsou pohledově rušivé a neprostupné pro drobné živočichy.</w:t>
      </w:r>
    </w:p>
    <w:p w14:paraId="6ED8CE6F" w14:textId="3A23B7BB" w:rsidR="00E7231E" w:rsidRDefault="00E7231E">
      <w:pPr>
        <w:pStyle w:val="Odstavecseseznamem"/>
        <w:numPr>
          <w:ilvl w:val="0"/>
          <w:numId w:val="18"/>
        </w:numPr>
        <w:ind w:left="709" w:hanging="357"/>
        <w:contextualSpacing w:val="0"/>
        <w:rPr>
          <w:i/>
          <w:iCs/>
        </w:rPr>
      </w:pPr>
      <w:r w:rsidRPr="00E7231E">
        <w:rPr>
          <w:i/>
          <w:iCs/>
        </w:rPr>
        <w:t>Prověřit v nezastavitelných plochách vyloučení umisťování staveb, zařízení a jiných opatření pro účely uvedené v § 18 odst. 5 stavebního zákona.</w:t>
      </w:r>
    </w:p>
    <w:p w14:paraId="04EE2F73" w14:textId="68B0A2E3" w:rsidR="00087950" w:rsidRDefault="00087950" w:rsidP="00087950">
      <w:pPr>
        <w:pStyle w:val="Odstavecseseznamem"/>
        <w:ind w:left="709"/>
        <w:contextualSpacing w:val="0"/>
      </w:pPr>
      <w:r>
        <w:t xml:space="preserve">Přípustnost záměrů dle </w:t>
      </w:r>
      <w:r w:rsidRPr="00087950">
        <w:t>§ 122</w:t>
      </w:r>
      <w:r>
        <w:t xml:space="preserve"> stavebního zákona byla prověřena a uvedené záměry nejsou v rozporu s charakterem krajiny při splnění požadavků na ochranu přírody a krajiny stanovených územním plánem.</w:t>
      </w:r>
    </w:p>
    <w:p w14:paraId="6A55D1F4" w14:textId="766DDBAC" w:rsidR="0026686B" w:rsidRDefault="00504394" w:rsidP="0026686B">
      <w:pPr>
        <w:pStyle w:val="Nadpis2"/>
      </w:pPr>
      <w:bookmarkStart w:id="66" w:name="_Toc232612611"/>
      <w:r>
        <w:t>P</w:t>
      </w:r>
      <w:r w:rsidR="0026686B">
        <w:t>ožadavky na vymezení ploch a koridorů územních rezerv a</w:t>
      </w:r>
      <w:r>
        <w:t> </w:t>
      </w:r>
      <w:r w:rsidR="0026686B">
        <w:t>na</w:t>
      </w:r>
      <w:r>
        <w:t> </w:t>
      </w:r>
      <w:r w:rsidR="0026686B">
        <w:t>stanovení jejich využití, které bude nutno prověřit</w:t>
      </w:r>
      <w:bookmarkEnd w:id="66"/>
    </w:p>
    <w:p w14:paraId="1A295399" w14:textId="1392079D" w:rsidR="0026686B" w:rsidRPr="0026686B" w:rsidRDefault="0026686B" w:rsidP="00452AA9">
      <w:pPr>
        <w:pStyle w:val="Odstavecseseznamem"/>
        <w:contextualSpacing w:val="0"/>
        <w:rPr>
          <w:i/>
          <w:iCs/>
        </w:rPr>
      </w:pPr>
      <w:r w:rsidRPr="0026686B">
        <w:rPr>
          <w:i/>
          <w:iCs/>
        </w:rPr>
        <w:t>V případě potřeby vymezit plochy a koridory územních rezerv s cílem prověřit možnost budoucího</w:t>
      </w:r>
      <w:r>
        <w:rPr>
          <w:i/>
          <w:iCs/>
        </w:rPr>
        <w:t xml:space="preserve"> </w:t>
      </w:r>
      <w:r w:rsidRPr="0026686B">
        <w:rPr>
          <w:i/>
          <w:iCs/>
        </w:rPr>
        <w:t>využití pro</w:t>
      </w:r>
      <w:r>
        <w:rPr>
          <w:i/>
          <w:iCs/>
        </w:rPr>
        <w:t> </w:t>
      </w:r>
      <w:r w:rsidRPr="0026686B">
        <w:rPr>
          <w:i/>
          <w:iCs/>
        </w:rPr>
        <w:t>stanovený účel.</w:t>
      </w:r>
    </w:p>
    <w:p w14:paraId="3DC494E9" w14:textId="789BB177" w:rsidR="0026686B" w:rsidRDefault="0026686B" w:rsidP="00452AA9">
      <w:pPr>
        <w:pStyle w:val="Odstavecseseznamem"/>
        <w:ind w:left="709"/>
        <w:contextualSpacing w:val="0"/>
      </w:pPr>
      <w:r>
        <w:t>Územní plán vypouští plochy územních rezerv, které jsou v rozporu s urbanistickou koncepcí (zejména v horních polohách svahů údolí Bystřice), prověřil potřebu vymezení ploch územních rezerv a plochy územních rezerv nevymezuje.</w:t>
      </w:r>
    </w:p>
    <w:p w14:paraId="1EA994AC" w14:textId="1C28BC10" w:rsidR="0026686B" w:rsidRDefault="00504394" w:rsidP="00452AA9">
      <w:pPr>
        <w:pStyle w:val="Nadpis2"/>
        <w:rPr>
          <w:bCs/>
        </w:rPr>
      </w:pPr>
      <w:bookmarkStart w:id="67" w:name="_Toc232612612"/>
      <w:r>
        <w:rPr>
          <w:bCs/>
        </w:rPr>
        <w:t>P</w:t>
      </w:r>
      <w:r w:rsidR="00452AA9" w:rsidRPr="00452AA9">
        <w:rPr>
          <w:bCs/>
        </w:rPr>
        <w:t xml:space="preserve">ožadavky na </w:t>
      </w:r>
      <w:r w:rsidR="00452AA9" w:rsidRPr="00452AA9">
        <w:t xml:space="preserve">prověření </w:t>
      </w:r>
      <w:r w:rsidR="00452AA9" w:rsidRPr="00452AA9">
        <w:rPr>
          <w:bCs/>
        </w:rPr>
        <w:t xml:space="preserve">vymezení </w:t>
      </w:r>
      <w:r w:rsidR="00452AA9" w:rsidRPr="00452AA9">
        <w:t xml:space="preserve">veřejně prospěšných </w:t>
      </w:r>
      <w:r w:rsidR="00452AA9" w:rsidRPr="00452AA9">
        <w:rPr>
          <w:bCs/>
        </w:rPr>
        <w:t xml:space="preserve">staveb, </w:t>
      </w:r>
      <w:r w:rsidR="00452AA9" w:rsidRPr="00452AA9">
        <w:t>veřejně prospěšných</w:t>
      </w:r>
      <w:r w:rsidR="00452AA9">
        <w:t xml:space="preserve"> </w:t>
      </w:r>
      <w:r w:rsidR="00452AA9" w:rsidRPr="00452AA9">
        <w:t xml:space="preserve">opatření </w:t>
      </w:r>
      <w:r w:rsidR="00452AA9" w:rsidRPr="00452AA9">
        <w:rPr>
          <w:bCs/>
        </w:rPr>
        <w:t xml:space="preserve">a asanací, pro které bude možné uplatnit </w:t>
      </w:r>
      <w:r w:rsidR="00452AA9" w:rsidRPr="00452AA9">
        <w:t xml:space="preserve">vyvlastnění </w:t>
      </w:r>
      <w:r w:rsidR="00452AA9" w:rsidRPr="00452AA9">
        <w:rPr>
          <w:bCs/>
        </w:rPr>
        <w:t xml:space="preserve">nebo </w:t>
      </w:r>
      <w:r w:rsidR="00452AA9" w:rsidRPr="00452AA9">
        <w:t xml:space="preserve">předkupní </w:t>
      </w:r>
      <w:r w:rsidR="00452AA9" w:rsidRPr="00452AA9">
        <w:rPr>
          <w:bCs/>
        </w:rPr>
        <w:t>právo</w:t>
      </w:r>
      <w:bookmarkEnd w:id="67"/>
    </w:p>
    <w:p w14:paraId="0FFD5744" w14:textId="0A4FE897" w:rsidR="00452AA9" w:rsidRPr="00452AA9" w:rsidRDefault="00452AA9" w:rsidP="00452AA9">
      <w:pPr>
        <w:rPr>
          <w:i/>
          <w:iCs/>
        </w:rPr>
      </w:pPr>
      <w:r w:rsidRPr="00452AA9">
        <w:rPr>
          <w:i/>
          <w:iCs/>
        </w:rPr>
        <w:t>Územní plán vymezí další veřejně prospěšné stavby a veřejně prospěšná opatření, která vyplynou při zpracování návrhu.</w:t>
      </w:r>
    </w:p>
    <w:p w14:paraId="397C1035" w14:textId="6B4098F6" w:rsidR="00452AA9" w:rsidRPr="00452AA9" w:rsidRDefault="00452AA9" w:rsidP="00452AA9">
      <w:pPr>
        <w:rPr>
          <w:i/>
          <w:iCs/>
        </w:rPr>
      </w:pPr>
      <w:r w:rsidRPr="00452AA9">
        <w:rPr>
          <w:i/>
          <w:iCs/>
        </w:rPr>
        <w:t>Uzemní plán v případě potřeby vymezí plochy nebo objekty určené k asanaci; V případě vymezení veřejně prospěšných staveb nebo veřejně prospěšných opatřeních bude vypracován jejich seznam s jednoznačnou identifikací ploch pro ně určených, pro které lze práva vyvlastnit a dále seznam dotčených pozemků staveb, pro které z nich lze současně uplatnit předkupní právo s uvedením, v čí prospěch má být předkupní právo vloženo (město, kraj, Česká republika).</w:t>
      </w:r>
    </w:p>
    <w:p w14:paraId="3031486F" w14:textId="1B546B59" w:rsidR="00452AA9" w:rsidRDefault="00452AA9" w:rsidP="00452AA9">
      <w:r>
        <w:t>Územní plán prověřil potřebu vymezení veřejně prospěšných staveb a opatření, odůvodnění vymezených VPS a VPO je předmětem kap. IX.g textové části odůvodnění.</w:t>
      </w:r>
    </w:p>
    <w:p w14:paraId="26E1849D" w14:textId="2375B280" w:rsidR="005914ED" w:rsidRDefault="00504394" w:rsidP="00A56532">
      <w:pPr>
        <w:pStyle w:val="Nadpis2"/>
      </w:pPr>
      <w:bookmarkStart w:id="68" w:name="_Toc232612613"/>
      <w:r>
        <w:t>P</w:t>
      </w:r>
      <w:r w:rsidR="00A56532">
        <w:t>ožadavky na prověření vymezení ploch a koridorů, ve kterých bude rozhodování o změnách v území podmíněno vydáním regulačního plánu, zpracováním územní studie nebo uzavřením dohody o parcelaci</w:t>
      </w:r>
      <w:bookmarkEnd w:id="68"/>
    </w:p>
    <w:p w14:paraId="0523888E" w14:textId="034EB4D5" w:rsidR="00344549" w:rsidRPr="00344549" w:rsidRDefault="00344549" w:rsidP="00344549">
      <w:pPr>
        <w:rPr>
          <w:i/>
          <w:iCs/>
        </w:rPr>
      </w:pPr>
      <w:r w:rsidRPr="00344549">
        <w:rPr>
          <w:i/>
          <w:iCs/>
        </w:rPr>
        <w:t>Požadavek na vymezení ploch a koridorů, pro které budou podmínky pro rozhodování o změnách</w:t>
      </w:r>
      <w:r>
        <w:rPr>
          <w:i/>
          <w:iCs/>
        </w:rPr>
        <w:t xml:space="preserve"> </w:t>
      </w:r>
      <w:r w:rsidRPr="00344549">
        <w:rPr>
          <w:i/>
          <w:iCs/>
        </w:rPr>
        <w:t>jejich využití stanoveny regulačním plánem, není stanoven.</w:t>
      </w:r>
    </w:p>
    <w:p w14:paraId="296493A9" w14:textId="56CF6B9E" w:rsidR="00A56532" w:rsidRDefault="00344549" w:rsidP="00344549">
      <w:pPr>
        <w:rPr>
          <w:i/>
          <w:iCs/>
        </w:rPr>
      </w:pPr>
      <w:r w:rsidRPr="00344549">
        <w:rPr>
          <w:i/>
          <w:iCs/>
        </w:rPr>
        <w:t>Budou vymezeny plochy, ve kterých bude uloženo prověření změn jejich využití územní studií.</w:t>
      </w:r>
      <w:r>
        <w:rPr>
          <w:i/>
          <w:iCs/>
        </w:rPr>
        <w:t xml:space="preserve"> </w:t>
      </w:r>
      <w:r w:rsidRPr="00344549">
        <w:rPr>
          <w:i/>
          <w:iCs/>
        </w:rPr>
        <w:t>Zejména se bude jednat o zastavitelné plochy, u kterých nebude možno vymezit veřejné prostranství</w:t>
      </w:r>
      <w:r>
        <w:rPr>
          <w:i/>
          <w:iCs/>
        </w:rPr>
        <w:t xml:space="preserve"> </w:t>
      </w:r>
      <w:r w:rsidRPr="00344549">
        <w:rPr>
          <w:i/>
          <w:iCs/>
        </w:rPr>
        <w:t>územním plánem.</w:t>
      </w:r>
    </w:p>
    <w:p w14:paraId="06FF18A4" w14:textId="0C0037BA" w:rsidR="00344549" w:rsidRDefault="00344549" w:rsidP="00344549">
      <w:r>
        <w:lastRenderedPageBreak/>
        <w:t xml:space="preserve">Územní plán nevymezuje plochy a koridory, </w:t>
      </w:r>
      <w:r w:rsidRPr="00344549">
        <w:t>pro které budou podmínky pro rozhodování o změnách jejich využití stanoveny regulačním plánem</w:t>
      </w:r>
      <w:r>
        <w:t>. Územní plán prověřil potřebu stanovení ploch a koridorů, ve kterých bude rozhodování o změnách v území podmíněno zpracováním územní studie a pro návrhové plochy, ve</w:t>
      </w:r>
      <w:r w:rsidR="00F61D02">
        <w:t> </w:t>
      </w:r>
      <w:r>
        <w:t>kterých je dále nezbytné koordinovat požadavky na řešení veřejné infrastruktury stanovil podmínku zpracování územní studie nebo uzavření plánovací smlouvy, případně podmínku zpracování územní studie a zároveň vydání plánovací smlouvy.</w:t>
      </w:r>
    </w:p>
    <w:p w14:paraId="025FB3F3" w14:textId="3E24A348" w:rsidR="00F61D02" w:rsidRDefault="00504394" w:rsidP="00F61D02">
      <w:pPr>
        <w:pStyle w:val="Nadpis2"/>
      </w:pPr>
      <w:bookmarkStart w:id="69" w:name="_Toc232612614"/>
      <w:r>
        <w:t>P</w:t>
      </w:r>
      <w:r w:rsidR="00F61D02" w:rsidRPr="00F61D02">
        <w:t>řípadn</w:t>
      </w:r>
      <w:r w:rsidR="00243E60">
        <w:t>é</w:t>
      </w:r>
      <w:r w:rsidR="00F61D02" w:rsidRPr="00F61D02">
        <w:t xml:space="preserve"> požadavky na zpracování variant řešení</w:t>
      </w:r>
      <w:bookmarkEnd w:id="69"/>
    </w:p>
    <w:p w14:paraId="79EB4307" w14:textId="379B99A2" w:rsidR="00F61D02" w:rsidRDefault="00F61D02" w:rsidP="00F61D02">
      <w:pPr>
        <w:rPr>
          <w:i/>
          <w:iCs/>
        </w:rPr>
      </w:pPr>
      <w:r w:rsidRPr="00F61D02">
        <w:rPr>
          <w:i/>
          <w:iCs/>
        </w:rPr>
        <w:t>Požadavek na zpracování variant není stanoven.</w:t>
      </w:r>
    </w:p>
    <w:p w14:paraId="31E34AE6" w14:textId="3D6B5C59" w:rsidR="00F61D02" w:rsidRDefault="00F61D02" w:rsidP="00F61D02">
      <w:r>
        <w:t>Územní plán neobsahuje variantní řešení.</w:t>
      </w:r>
    </w:p>
    <w:p w14:paraId="564DED54" w14:textId="77DD1CB4" w:rsidR="00E748AC" w:rsidRDefault="00504394" w:rsidP="006549B4">
      <w:pPr>
        <w:pStyle w:val="Nadpis2"/>
      </w:pPr>
      <w:bookmarkStart w:id="70" w:name="_Toc232612615"/>
      <w:r>
        <w:t>P</w:t>
      </w:r>
      <w:r w:rsidR="00E748AC">
        <w:t>ožadavek na uspořádání obsahu návrhu územního plánu a</w:t>
      </w:r>
      <w:r>
        <w:t> </w:t>
      </w:r>
      <w:r w:rsidR="00E748AC">
        <w:t>na</w:t>
      </w:r>
      <w:r>
        <w:t> </w:t>
      </w:r>
      <w:r w:rsidR="00E748AC">
        <w:t>uspořádání obsahu jeho odůvodnění včetně měřítek výkresů a</w:t>
      </w:r>
      <w:r>
        <w:t> </w:t>
      </w:r>
      <w:r w:rsidR="00E748AC">
        <w:t>počtu vyhotovení</w:t>
      </w:r>
      <w:bookmarkEnd w:id="70"/>
    </w:p>
    <w:p w14:paraId="16C9046D" w14:textId="712B354A" w:rsidR="00E748AC" w:rsidRPr="00CB3817" w:rsidRDefault="00E748AC" w:rsidP="00E748AC">
      <w:pPr>
        <w:rPr>
          <w:i/>
          <w:iCs/>
        </w:rPr>
      </w:pPr>
      <w:r w:rsidRPr="00CB3817">
        <w:rPr>
          <w:i/>
          <w:iCs/>
        </w:rPr>
        <w:t>Dokumentace územního plánu bude členěna v souladu s vyhl. č. 500/2006 Sb. do dvou oddílů (výroková část a část odůvodnění). Územní plán bude zpracován digitálně nad katastrální mapou ve standardu dle ust. § 20a odst. 2 zákona č. 183/2006 Sb. (stávající stavební zákon), podrobnosti jednotného standardu zavedla s</w:t>
      </w:r>
    </w:p>
    <w:p w14:paraId="12344324" w14:textId="34DB5355" w:rsidR="00E748AC" w:rsidRPr="00CB3817" w:rsidRDefault="00E748AC" w:rsidP="00E748AC">
      <w:pPr>
        <w:rPr>
          <w:i/>
          <w:iCs/>
        </w:rPr>
      </w:pPr>
      <w:r w:rsidRPr="00CB3817">
        <w:rPr>
          <w:i/>
          <w:iCs/>
        </w:rPr>
        <w:t>účinností od začátku roku 2023 vyhláška č. 418/2022 Sb. Pro účely fáze projednávání návrhu bude dokumentace odevzdána fyzicky ve třech vyhotoveních, textová i grafická část bude dále odevzdána v digitální ve formátu dle standardu.</w:t>
      </w:r>
    </w:p>
    <w:p w14:paraId="7C5D1C6C" w14:textId="18C2F290" w:rsidR="00E748AC" w:rsidRPr="00CB3817" w:rsidRDefault="00E748AC" w:rsidP="00E748AC">
      <w:pPr>
        <w:rPr>
          <w:i/>
          <w:iCs/>
        </w:rPr>
      </w:pPr>
      <w:r w:rsidRPr="00CB3817">
        <w:rPr>
          <w:i/>
          <w:iCs/>
        </w:rPr>
        <w:t>Konečná podoba návrhu /čistopis/ k vydání bude odevzdána v počtu čtyř výtisků a v digitální podobě na CD, vše bude odevzdáno ve formátu dle standardu a dále ve formátu PDF.</w:t>
      </w:r>
    </w:p>
    <w:p w14:paraId="1B18451C" w14:textId="18905572" w:rsidR="00E748AC" w:rsidRPr="00CB3817" w:rsidRDefault="00E748AC" w:rsidP="00E748AC">
      <w:pPr>
        <w:rPr>
          <w:b/>
          <w:bCs/>
          <w:i/>
          <w:iCs/>
        </w:rPr>
      </w:pPr>
      <w:r w:rsidRPr="00CB3817">
        <w:rPr>
          <w:b/>
          <w:bCs/>
          <w:i/>
          <w:iCs/>
        </w:rPr>
        <w:t>I – územní plán obce bude obsahovat</w:t>
      </w:r>
    </w:p>
    <w:p w14:paraId="0D200FFA" w14:textId="77777777" w:rsidR="00E748AC" w:rsidRPr="00CB3817" w:rsidRDefault="00E748AC" w:rsidP="00E748AC">
      <w:pPr>
        <w:rPr>
          <w:i/>
          <w:iCs/>
          <w:u w:val="single"/>
        </w:rPr>
      </w:pPr>
      <w:r w:rsidRPr="00CB3817">
        <w:rPr>
          <w:i/>
          <w:iCs/>
          <w:u w:val="single"/>
        </w:rPr>
        <w:t>Textovou část</w:t>
      </w:r>
    </w:p>
    <w:p w14:paraId="2211A444" w14:textId="77777777" w:rsidR="00E748AC" w:rsidRPr="00CB3817" w:rsidRDefault="00E748AC" w:rsidP="00E748AC">
      <w:pPr>
        <w:rPr>
          <w:i/>
          <w:iCs/>
        </w:rPr>
      </w:pPr>
      <w:r w:rsidRPr="00CB3817">
        <w:rPr>
          <w:i/>
          <w:iCs/>
        </w:rPr>
        <w:t>Textová část bude obsahovat náležitosti dle přílohy č. 7 vyhlášky č. 500/2006 Sb.</w:t>
      </w:r>
    </w:p>
    <w:p w14:paraId="19D79242" w14:textId="77777777" w:rsidR="00E748AC" w:rsidRPr="00CB3817" w:rsidRDefault="00E748AC" w:rsidP="00E748AC">
      <w:pPr>
        <w:rPr>
          <w:i/>
          <w:iCs/>
        </w:rPr>
      </w:pPr>
      <w:r w:rsidRPr="00CB3817">
        <w:rPr>
          <w:i/>
          <w:iCs/>
          <w:u w:val="single"/>
        </w:rPr>
        <w:t>Grafická část</w:t>
      </w:r>
      <w:r w:rsidRPr="00CB3817">
        <w:rPr>
          <w:i/>
          <w:iCs/>
        </w:rPr>
        <w:t xml:space="preserve"> bude obsahovat zejména následující výkresy:</w:t>
      </w:r>
    </w:p>
    <w:p w14:paraId="7E12A160" w14:textId="768B4B8E" w:rsidR="00E748AC" w:rsidRPr="00CB3817" w:rsidRDefault="00E748AC" w:rsidP="00E748AC">
      <w:pPr>
        <w:tabs>
          <w:tab w:val="left" w:pos="6237"/>
        </w:tabs>
        <w:rPr>
          <w:i/>
          <w:iCs/>
        </w:rPr>
      </w:pPr>
      <w:r w:rsidRPr="00CB3817">
        <w:rPr>
          <w:i/>
          <w:iCs/>
        </w:rPr>
        <w:t>I/1 Výkres základního členění území</w:t>
      </w:r>
      <w:r w:rsidRPr="00CB3817">
        <w:rPr>
          <w:i/>
          <w:iCs/>
        </w:rPr>
        <w:tab/>
        <w:t>1: 5 000</w:t>
      </w:r>
    </w:p>
    <w:p w14:paraId="2BC5D0F1" w14:textId="6B98288B" w:rsidR="00E748AC" w:rsidRPr="00CB3817" w:rsidRDefault="00E748AC" w:rsidP="00E748AC">
      <w:pPr>
        <w:tabs>
          <w:tab w:val="left" w:pos="6237"/>
        </w:tabs>
        <w:rPr>
          <w:i/>
          <w:iCs/>
        </w:rPr>
      </w:pPr>
      <w:r w:rsidRPr="00CB3817">
        <w:rPr>
          <w:i/>
          <w:iCs/>
        </w:rPr>
        <w:t>I/2 Hlavní výkres</w:t>
      </w:r>
      <w:r w:rsidRPr="00CB3817">
        <w:rPr>
          <w:i/>
          <w:iCs/>
        </w:rPr>
        <w:tab/>
        <w:t>1: 5 000</w:t>
      </w:r>
    </w:p>
    <w:p w14:paraId="5EED8B22" w14:textId="23453839" w:rsidR="00E748AC" w:rsidRPr="00CB3817" w:rsidRDefault="00E748AC" w:rsidP="00E748AC">
      <w:pPr>
        <w:tabs>
          <w:tab w:val="left" w:pos="6237"/>
        </w:tabs>
        <w:rPr>
          <w:i/>
          <w:iCs/>
        </w:rPr>
      </w:pPr>
      <w:r w:rsidRPr="00CB3817">
        <w:rPr>
          <w:i/>
          <w:iCs/>
        </w:rPr>
        <w:t>I/3 Výkres koncepce technické infrastruktury</w:t>
      </w:r>
      <w:r w:rsidRPr="00CB3817">
        <w:rPr>
          <w:i/>
          <w:iCs/>
        </w:rPr>
        <w:tab/>
        <w:t>1: 5 000</w:t>
      </w:r>
    </w:p>
    <w:p w14:paraId="59FF9288" w14:textId="2F6ADB52" w:rsidR="00E748AC" w:rsidRPr="00CB3817" w:rsidRDefault="00E748AC" w:rsidP="00E748AC">
      <w:pPr>
        <w:tabs>
          <w:tab w:val="left" w:pos="6237"/>
        </w:tabs>
        <w:rPr>
          <w:i/>
          <w:iCs/>
        </w:rPr>
      </w:pPr>
      <w:r w:rsidRPr="00CB3817">
        <w:rPr>
          <w:i/>
          <w:iCs/>
        </w:rPr>
        <w:t>I/4 Výkres koncepce dopravní infrastruktury</w:t>
      </w:r>
      <w:r w:rsidRPr="00CB3817">
        <w:rPr>
          <w:i/>
          <w:iCs/>
        </w:rPr>
        <w:tab/>
        <w:t>1: 5 000</w:t>
      </w:r>
    </w:p>
    <w:p w14:paraId="3CA55CEC" w14:textId="316403CB" w:rsidR="00E748AC" w:rsidRPr="00CB3817" w:rsidRDefault="00E748AC" w:rsidP="00E748AC">
      <w:pPr>
        <w:tabs>
          <w:tab w:val="left" w:pos="6237"/>
        </w:tabs>
        <w:rPr>
          <w:i/>
          <w:iCs/>
        </w:rPr>
      </w:pPr>
      <w:r w:rsidRPr="00CB3817">
        <w:rPr>
          <w:i/>
          <w:iCs/>
        </w:rPr>
        <w:t>I/5 Výkres veřejně prospěšných staveb, opatření a asanací</w:t>
      </w:r>
      <w:r w:rsidRPr="00CB3817">
        <w:rPr>
          <w:i/>
          <w:iCs/>
        </w:rPr>
        <w:tab/>
        <w:t>1: 5 000</w:t>
      </w:r>
    </w:p>
    <w:p w14:paraId="2EEAAAB1" w14:textId="3CF704C8" w:rsidR="00E748AC" w:rsidRPr="00CB3817" w:rsidRDefault="00E748AC" w:rsidP="00E748AC">
      <w:pPr>
        <w:tabs>
          <w:tab w:val="left" w:pos="6237"/>
        </w:tabs>
        <w:rPr>
          <w:i/>
          <w:iCs/>
        </w:rPr>
      </w:pPr>
      <w:r w:rsidRPr="00CB3817">
        <w:rPr>
          <w:i/>
          <w:iCs/>
        </w:rPr>
        <w:t>I/6 Výkres pořadí změn v území (etapizaci)</w:t>
      </w:r>
      <w:r w:rsidRPr="00CB3817">
        <w:rPr>
          <w:i/>
          <w:iCs/>
        </w:rPr>
        <w:tab/>
        <w:t>1: 5 000</w:t>
      </w:r>
    </w:p>
    <w:p w14:paraId="7BA323C9" w14:textId="0D082494" w:rsidR="00E748AC" w:rsidRPr="00CB3817" w:rsidRDefault="00E748AC" w:rsidP="00E748AC">
      <w:pPr>
        <w:tabs>
          <w:tab w:val="left" w:pos="6237"/>
        </w:tabs>
        <w:rPr>
          <w:i/>
          <w:iCs/>
        </w:rPr>
      </w:pPr>
      <w:r w:rsidRPr="00CB3817">
        <w:rPr>
          <w:i/>
          <w:iCs/>
        </w:rPr>
        <w:t>I/7 Výkres prvků regulačního plánu</w:t>
      </w:r>
      <w:r w:rsidRPr="00CB3817">
        <w:rPr>
          <w:i/>
          <w:iCs/>
        </w:rPr>
        <w:tab/>
        <w:t>1: 5 000</w:t>
      </w:r>
    </w:p>
    <w:p w14:paraId="3CA0CDE8" w14:textId="3FE08905" w:rsidR="00E748AC" w:rsidRPr="00CB3817" w:rsidRDefault="00E748AC" w:rsidP="00E748AC">
      <w:pPr>
        <w:tabs>
          <w:tab w:val="left" w:pos="6237"/>
        </w:tabs>
        <w:rPr>
          <w:i/>
          <w:iCs/>
        </w:rPr>
      </w:pPr>
      <w:r w:rsidRPr="00CB3817">
        <w:rPr>
          <w:i/>
          <w:iCs/>
        </w:rPr>
        <w:t>I/8 Schémata</w:t>
      </w:r>
    </w:p>
    <w:p w14:paraId="000808BD" w14:textId="79E87848" w:rsidR="00E748AC" w:rsidRPr="00CB3817" w:rsidRDefault="00E748AC" w:rsidP="00E748AC">
      <w:pPr>
        <w:rPr>
          <w:b/>
          <w:bCs/>
          <w:i/>
          <w:iCs/>
        </w:rPr>
      </w:pPr>
      <w:r w:rsidRPr="00CB3817">
        <w:rPr>
          <w:b/>
          <w:bCs/>
          <w:i/>
          <w:iCs/>
        </w:rPr>
        <w:t>II – Odůvodnění bude obsahovat</w:t>
      </w:r>
    </w:p>
    <w:p w14:paraId="4F43EAC3" w14:textId="77777777" w:rsidR="00E748AC" w:rsidRPr="00CB3817" w:rsidRDefault="00E748AC" w:rsidP="00E748AC">
      <w:pPr>
        <w:rPr>
          <w:i/>
          <w:iCs/>
          <w:u w:val="single"/>
        </w:rPr>
      </w:pPr>
      <w:r w:rsidRPr="00CB3817">
        <w:rPr>
          <w:i/>
          <w:iCs/>
          <w:u w:val="single"/>
        </w:rPr>
        <w:t>Textovou část</w:t>
      </w:r>
    </w:p>
    <w:p w14:paraId="487743F7" w14:textId="06B62FD6" w:rsidR="00E748AC" w:rsidRPr="00CB3817" w:rsidRDefault="00E748AC" w:rsidP="00E748AC">
      <w:pPr>
        <w:rPr>
          <w:i/>
          <w:iCs/>
        </w:rPr>
      </w:pPr>
      <w:r w:rsidRPr="00CB3817">
        <w:rPr>
          <w:i/>
          <w:iCs/>
        </w:rPr>
        <w:t>Odůvodnění návrhu územního plánu bude odpovídat rozsahu daném v příloze č. 7 vyhlášky č. 500/2006 Sb. a dále bude obsahovat náležitosti vyplývající ze správního řádu a § 53 odst. 4 a 5 stavebního zákona.</w:t>
      </w:r>
    </w:p>
    <w:p w14:paraId="22774641" w14:textId="77777777" w:rsidR="00E748AC" w:rsidRPr="00CB3817" w:rsidRDefault="00E748AC" w:rsidP="00E748AC">
      <w:pPr>
        <w:rPr>
          <w:i/>
          <w:iCs/>
        </w:rPr>
      </w:pPr>
      <w:r w:rsidRPr="00CB3817">
        <w:rPr>
          <w:i/>
          <w:iCs/>
        </w:rPr>
        <w:t>Grafická část bude obsahovat následující výkresy:</w:t>
      </w:r>
    </w:p>
    <w:p w14:paraId="54CEF830" w14:textId="3879B27E" w:rsidR="00E748AC" w:rsidRPr="00CB3817" w:rsidRDefault="00E748AC" w:rsidP="00CB3817">
      <w:pPr>
        <w:tabs>
          <w:tab w:val="left" w:pos="6237"/>
        </w:tabs>
        <w:rPr>
          <w:i/>
          <w:iCs/>
        </w:rPr>
      </w:pPr>
      <w:r w:rsidRPr="00CB3817">
        <w:rPr>
          <w:i/>
          <w:iCs/>
        </w:rPr>
        <w:t>Il/1 Koordinační výkres</w:t>
      </w:r>
      <w:r w:rsidR="00CB3817" w:rsidRPr="00CB3817">
        <w:rPr>
          <w:i/>
          <w:iCs/>
        </w:rPr>
        <w:tab/>
        <w:t>1: 5 000</w:t>
      </w:r>
    </w:p>
    <w:p w14:paraId="23143BB5" w14:textId="7A73C3E0" w:rsidR="00E748AC" w:rsidRPr="00CB3817" w:rsidRDefault="00E748AC" w:rsidP="00CB3817">
      <w:pPr>
        <w:tabs>
          <w:tab w:val="left" w:pos="6237"/>
        </w:tabs>
        <w:rPr>
          <w:i/>
          <w:iCs/>
        </w:rPr>
      </w:pPr>
      <w:r w:rsidRPr="00CB3817">
        <w:rPr>
          <w:i/>
          <w:iCs/>
        </w:rPr>
        <w:t>Il/2 Výkres širších vztahů</w:t>
      </w:r>
      <w:r w:rsidR="00CB3817" w:rsidRPr="00CB3817">
        <w:rPr>
          <w:i/>
          <w:iCs/>
        </w:rPr>
        <w:tab/>
        <w:t>1: 50 000</w:t>
      </w:r>
    </w:p>
    <w:p w14:paraId="5A43424E" w14:textId="63B38EA2" w:rsidR="00E748AC" w:rsidRPr="00CB3817" w:rsidRDefault="00E748AC" w:rsidP="00CB3817">
      <w:pPr>
        <w:tabs>
          <w:tab w:val="left" w:pos="6237"/>
        </w:tabs>
        <w:rPr>
          <w:i/>
          <w:iCs/>
        </w:rPr>
      </w:pPr>
      <w:r w:rsidRPr="00CB3817">
        <w:rPr>
          <w:i/>
          <w:iCs/>
        </w:rPr>
        <w:t>Il/3 Výkres předpokládaného záboru půdního fondu</w:t>
      </w:r>
      <w:r w:rsidR="00CB3817" w:rsidRPr="00CB3817">
        <w:rPr>
          <w:i/>
          <w:iCs/>
        </w:rPr>
        <w:tab/>
        <w:t>1: 5 000</w:t>
      </w:r>
    </w:p>
    <w:p w14:paraId="61F0E28E" w14:textId="7C0777C0" w:rsidR="00E748AC" w:rsidRPr="00CB3817" w:rsidRDefault="00E748AC" w:rsidP="00E748AC">
      <w:pPr>
        <w:rPr>
          <w:i/>
          <w:iCs/>
        </w:rPr>
      </w:pPr>
      <w:r w:rsidRPr="00CB3817">
        <w:rPr>
          <w:i/>
          <w:iCs/>
        </w:rPr>
        <w:t>Výkresy budou obsahovat jevy zobrazitelné v daném měřítku. Grafická část může být doplněna</w:t>
      </w:r>
      <w:r w:rsidR="00CB3817" w:rsidRPr="00CB3817">
        <w:rPr>
          <w:i/>
          <w:iCs/>
        </w:rPr>
        <w:t xml:space="preserve"> </w:t>
      </w:r>
      <w:r w:rsidRPr="00CB3817">
        <w:rPr>
          <w:i/>
          <w:iCs/>
        </w:rPr>
        <w:t>schématy.</w:t>
      </w:r>
    </w:p>
    <w:p w14:paraId="441B4331" w14:textId="77777777" w:rsidR="006B3CC6" w:rsidRDefault="006B3CC6" w:rsidP="006B3CC6"/>
    <w:p w14:paraId="463638A9" w14:textId="2E95CE62" w:rsidR="006B3CC6" w:rsidRPr="00040C21" w:rsidRDefault="006B3CC6" w:rsidP="006B3CC6">
      <w:r w:rsidRPr="00040C21">
        <w:t>Územní plán byl zpracován v souladu se zákonem č. 283/2021 Sb., Stavební zákon v platném znění, a jeho prováděcích předpisů.</w:t>
      </w:r>
    </w:p>
    <w:p w14:paraId="29287DD1" w14:textId="77777777" w:rsidR="006B3CC6" w:rsidRPr="00040C21" w:rsidRDefault="006B3CC6" w:rsidP="006B3CC6">
      <w:r w:rsidRPr="00040C21">
        <w:t>Jedná se především o soulad s těmito ustanoveními:</w:t>
      </w:r>
    </w:p>
    <w:p w14:paraId="116F8D46" w14:textId="77777777" w:rsidR="006B3CC6" w:rsidRPr="00040C21" w:rsidRDefault="006B3CC6" w:rsidP="006B3CC6">
      <w:r w:rsidRPr="00040C21">
        <w:t xml:space="preserve">Věcný obsah územního plánu odpovídá požadavkům § </w:t>
      </w:r>
      <w:r>
        <w:t>80 až 84</w:t>
      </w:r>
      <w:r w:rsidRPr="00040C21">
        <w:t xml:space="preserve"> zákona č.</w:t>
      </w:r>
      <w:r>
        <w:t> 2</w:t>
      </w:r>
      <w:r w:rsidRPr="00040C21">
        <w:t>83/20</w:t>
      </w:r>
      <w:r>
        <w:t>21</w:t>
      </w:r>
      <w:r w:rsidRPr="00040C21">
        <w:t xml:space="preserve"> Sb., v platném znění, a je obsahově a formálně v souladu s</w:t>
      </w:r>
      <w:r>
        <w:t> přílohou č. 8 zákona č. 283/2021 Sb., v platném znění</w:t>
      </w:r>
      <w:r w:rsidRPr="00040C21">
        <w:t>.</w:t>
      </w:r>
    </w:p>
    <w:p w14:paraId="7F8B81CE" w14:textId="77777777" w:rsidR="006B3CC6" w:rsidRDefault="006B3CC6" w:rsidP="006B3CC6">
      <w:r w:rsidRPr="00040C21">
        <w:t>Plochy s rozdílným způsobem využití byly vymezeny v souladu s vyhláškou č.</w:t>
      </w:r>
      <w:r>
        <w:t> 157/2024</w:t>
      </w:r>
      <w:r w:rsidRPr="00040C21">
        <w:t xml:space="preserve"> Sb., v platném znění. </w:t>
      </w:r>
    </w:p>
    <w:p w14:paraId="51A87250" w14:textId="25FFB1B3" w:rsidR="006B3CC6" w:rsidRDefault="006B3CC6" w:rsidP="006B3CC6">
      <w:r w:rsidRPr="00040C21">
        <w:lastRenderedPageBreak/>
        <w:t>Veřejně prospěšné stavby a veřejně prospěšná opatření byly vymezeny v</w:t>
      </w:r>
      <w:r>
        <w:t> </w:t>
      </w:r>
      <w:r w:rsidRPr="00040C21">
        <w:t>souladu s § 170 zákona č. </w:t>
      </w:r>
      <w:r>
        <w:t>2</w:t>
      </w:r>
      <w:r w:rsidRPr="00040C21">
        <w:t>83/2</w:t>
      </w:r>
      <w:r>
        <w:t>021</w:t>
      </w:r>
      <w:r w:rsidRPr="00040C21">
        <w:t> Sb., v platném znění.</w:t>
      </w:r>
    </w:p>
    <w:p w14:paraId="0965F8D2" w14:textId="3A174660" w:rsidR="006B3CC6" w:rsidRDefault="006B3CC6" w:rsidP="006B3CC6">
      <w:r>
        <w:t>Rozsah grafické části byl upraven tak, aby odpovídal požadavkům platné legislativy, zobrazení sítí a systémů veřejné infrastruktury je předmětem grafické části odůvodnění územního plánu</w:t>
      </w:r>
      <w:r w:rsidR="000E4810">
        <w:t xml:space="preserve"> a jsou zobrazeny ve výkrese II.b Koordinační výkres</w:t>
      </w:r>
      <w:r>
        <w:t xml:space="preserve">. </w:t>
      </w:r>
      <w:r w:rsidR="000E4810">
        <w:t>Liniová kresba dopravní a technické infrastruktury není regulativem, resp. její směrový průběh není závazný. Územní nároky systémů veřejné infrastruktury jsou promítnuty do textové a</w:t>
      </w:r>
      <w:r w:rsidR="002B7CEE">
        <w:t> </w:t>
      </w:r>
      <w:r w:rsidR="000E4810">
        <w:t xml:space="preserve">grafické části územního plánu, resp. výkresu č. I.b Hlavní výkres. </w:t>
      </w:r>
      <w:r>
        <w:t>Rozsah části územního plánu s prvky regulačního plánu je zobrazen ve výkrese I.a Výkres základního členění území.</w:t>
      </w:r>
    </w:p>
    <w:p w14:paraId="462A88E0" w14:textId="75DF44C6" w:rsidR="00944482" w:rsidRDefault="00944482" w:rsidP="00944482">
      <w:pPr>
        <w:pStyle w:val="Nadpis2"/>
      </w:pPr>
      <w:bookmarkStart w:id="71" w:name="_Toc232612616"/>
      <w:r>
        <w:t>požadavky na vyhodnocení předpokládaných vlivů územního plánu na udržitelný rozvoj území</w:t>
      </w:r>
      <w:bookmarkEnd w:id="71"/>
    </w:p>
    <w:p w14:paraId="4FB13F40" w14:textId="6CB9BC9D" w:rsidR="009067EB" w:rsidRDefault="00944482" w:rsidP="00944482">
      <w:pPr>
        <w:rPr>
          <w:i/>
          <w:iCs/>
        </w:rPr>
      </w:pPr>
      <w:r w:rsidRPr="00944482">
        <w:rPr>
          <w:i/>
          <w:iCs/>
        </w:rPr>
        <w:t>Z dosud známých záměrů na změny územního plánu nevyplývá potřeba zpracování vyhodnocení vlivů na</w:t>
      </w:r>
      <w:r>
        <w:rPr>
          <w:i/>
          <w:iCs/>
        </w:rPr>
        <w:t> </w:t>
      </w:r>
      <w:r w:rsidRPr="00944482">
        <w:rPr>
          <w:i/>
          <w:iCs/>
        </w:rPr>
        <w:t>životní prostředí.</w:t>
      </w:r>
    </w:p>
    <w:p w14:paraId="4D3C4136" w14:textId="4F86918A" w:rsidR="00944482" w:rsidRDefault="00944482" w:rsidP="00944482">
      <w:r>
        <w:t>Územní plán neobsahuje vyhodnocení vlivu na životní prostředí.</w:t>
      </w:r>
    </w:p>
    <w:p w14:paraId="221C329B" w14:textId="10A04254" w:rsidR="00F76AEB" w:rsidRDefault="00F76AEB">
      <w:pPr>
        <w:spacing w:before="0" w:after="0"/>
        <w:ind w:left="0"/>
        <w:jc w:val="left"/>
      </w:pPr>
    </w:p>
    <w:p w14:paraId="6054366C" w14:textId="77777777" w:rsidR="009067EB" w:rsidRPr="00040C21" w:rsidRDefault="009067EB" w:rsidP="009067EB">
      <w:pPr>
        <w:pStyle w:val="Nadpis1"/>
      </w:pPr>
      <w:bookmarkStart w:id="72" w:name="_Toc213947227"/>
      <w:bookmarkStart w:id="73" w:name="_Toc214308149"/>
      <w:bookmarkStart w:id="74" w:name="_Toc232612617"/>
      <w:r>
        <w:t>Z</w:t>
      </w:r>
      <w:r w:rsidRPr="00D35278">
        <w:t>ákladní informace o výsledcích vyhodnocení vlivů na</w:t>
      </w:r>
      <w:r>
        <w:t> </w:t>
      </w:r>
      <w:r w:rsidRPr="00D35278">
        <w:t>udržitelný rozvoj území, včetně výsledků vyhodnocení vlivů na životní prostředí a posouzení vlivu na předmět ochrany a celistvost evropsky významné lokality nebo ptačí oblasti</w:t>
      </w:r>
      <w:bookmarkEnd w:id="72"/>
      <w:bookmarkEnd w:id="73"/>
      <w:bookmarkEnd w:id="74"/>
    </w:p>
    <w:p w14:paraId="19B8A6ED" w14:textId="1241846E" w:rsidR="009067EB" w:rsidRDefault="009067EB">
      <w:pPr>
        <w:pStyle w:val="Odstavecseseznamem"/>
        <w:numPr>
          <w:ilvl w:val="0"/>
          <w:numId w:val="67"/>
        </w:numPr>
        <w:ind w:left="709"/>
      </w:pPr>
      <w:r>
        <w:t>Ze</w:t>
      </w:r>
      <w:r w:rsidRPr="00D35278">
        <w:t xml:space="preserve"> </w:t>
      </w:r>
      <w:r>
        <w:t>Zprávy o uplatňování Územního plánu Hlubočky z 0</w:t>
      </w:r>
      <w:r w:rsidR="007138C0">
        <w:t>6</w:t>
      </w:r>
      <w:r>
        <w:t xml:space="preserve">/2024 nevyplývá potřeba vyhodnocení vlivu </w:t>
      </w:r>
      <w:r w:rsidR="000F4297" w:rsidRPr="0017160F">
        <w:t xml:space="preserve">územního plánu </w:t>
      </w:r>
      <w:r w:rsidR="000F4297">
        <w:t xml:space="preserve">Hlubočky </w:t>
      </w:r>
      <w:r>
        <w:t>na životní prostředí.</w:t>
      </w:r>
    </w:p>
    <w:p w14:paraId="5BE895D5" w14:textId="7A8D863C" w:rsidR="009067EB" w:rsidRPr="0017160F" w:rsidRDefault="009067EB" w:rsidP="009067EB">
      <w:r>
        <w:t>Ze</w:t>
      </w:r>
      <w:r w:rsidRPr="00D35278">
        <w:t xml:space="preserve"> </w:t>
      </w:r>
      <w:r>
        <w:t>Zprávy o uplatňování Územního plánu Hlubočky z 0</w:t>
      </w:r>
      <w:r w:rsidR="007138C0">
        <w:t>6</w:t>
      </w:r>
      <w:r>
        <w:t xml:space="preserve">/2024 nevyplývá potřeba </w:t>
      </w:r>
      <w:r w:rsidRPr="0017160F">
        <w:t xml:space="preserve">zpracování vyhodnocení vlivů územního plánu </w:t>
      </w:r>
      <w:r>
        <w:t>Hlubočky</w:t>
      </w:r>
      <w:r w:rsidRPr="0017160F">
        <w:t xml:space="preserve"> na evropsky významné lokality a ptačí oblasti soustavy NATURA2000.</w:t>
      </w:r>
    </w:p>
    <w:p w14:paraId="04C8EE04" w14:textId="77777777" w:rsidR="009067EB" w:rsidRDefault="009067EB" w:rsidP="009067EB">
      <w:pPr>
        <w:pStyle w:val="Nadpis1"/>
      </w:pPr>
      <w:bookmarkStart w:id="75" w:name="_Toc213947228"/>
      <w:bookmarkStart w:id="76" w:name="_Toc214308150"/>
      <w:bookmarkStart w:id="77" w:name="_Toc232612618"/>
      <w:r>
        <w:t>S</w:t>
      </w:r>
      <w:r w:rsidRPr="0017160F">
        <w:t>dělení, jak bylo zohledněno vyhodnocení vlivů na</w:t>
      </w:r>
      <w:r>
        <w:t> </w:t>
      </w:r>
      <w:r w:rsidRPr="0017160F">
        <w:t>udržitelný rozvoj území</w:t>
      </w:r>
      <w:bookmarkEnd w:id="75"/>
      <w:bookmarkEnd w:id="76"/>
      <w:bookmarkEnd w:id="77"/>
    </w:p>
    <w:p w14:paraId="2B5FB691" w14:textId="77777777" w:rsidR="009067EB" w:rsidRPr="00D35278" w:rsidRDefault="009067EB">
      <w:pPr>
        <w:pStyle w:val="Odstavecseseznamem"/>
        <w:numPr>
          <w:ilvl w:val="0"/>
          <w:numId w:val="68"/>
        </w:numPr>
        <w:ind w:left="709"/>
      </w:pPr>
      <w:r>
        <w:t>Vyhodnocení vlivů na udržitelný rozvoj území nebylo zpracováno, viz kap. VI. textové části odůvodnění.</w:t>
      </w:r>
    </w:p>
    <w:p w14:paraId="11EBAB7A" w14:textId="77777777" w:rsidR="009067EB" w:rsidRDefault="009067EB" w:rsidP="009067EB">
      <w:pPr>
        <w:pStyle w:val="Nadpis1"/>
      </w:pPr>
      <w:bookmarkStart w:id="78" w:name="_Toc213947229"/>
      <w:bookmarkStart w:id="79" w:name="_Toc214308151"/>
      <w:bookmarkStart w:id="80" w:name="_Toc232612619"/>
      <w:r>
        <w:t>S</w:t>
      </w:r>
      <w:r w:rsidRPr="00372D4C">
        <w:t>tanovisko příslušného orgánu k vyhodnocení vlivů na životní prostředí se sdělením, jak bylo zohledněno s</w:t>
      </w:r>
      <w:r>
        <w:t> </w:t>
      </w:r>
      <w:r w:rsidRPr="00372D4C">
        <w:t>uvedením závažných důvodů, pokud některé požadavky nebo podmínky zohledněny nebyly, a další části prohlášení podle § 10g odst. 5 zákona o</w:t>
      </w:r>
      <w:r>
        <w:t> </w:t>
      </w:r>
      <w:r w:rsidRPr="00372D4C">
        <w:t>posuzování vlivů na životní prostředí</w:t>
      </w:r>
      <w:bookmarkEnd w:id="78"/>
      <w:bookmarkEnd w:id="79"/>
      <w:bookmarkEnd w:id="80"/>
    </w:p>
    <w:p w14:paraId="3884E72E" w14:textId="191E0FC9" w:rsidR="009067EB" w:rsidRDefault="009067EB">
      <w:pPr>
        <w:pStyle w:val="Odstavecseseznamem"/>
        <w:numPr>
          <w:ilvl w:val="0"/>
          <w:numId w:val="69"/>
        </w:numPr>
        <w:ind w:left="709"/>
      </w:pPr>
      <w:r>
        <w:t>Vyhodnocení vlivů na udržitelný rozvoj území nebylo zpracováno, viz kap. VI. textové části odůvodnění.</w:t>
      </w:r>
    </w:p>
    <w:p w14:paraId="324A8785" w14:textId="5DD4671F" w:rsidR="0032551A" w:rsidRPr="00040C21" w:rsidRDefault="0032551A" w:rsidP="00AB6E1D">
      <w:pPr>
        <w:ind w:left="0"/>
      </w:pPr>
      <w:r w:rsidRPr="00040C21">
        <w:br w:type="page"/>
      </w:r>
    </w:p>
    <w:p w14:paraId="6DC879B3" w14:textId="77777777" w:rsidR="008543CD" w:rsidRPr="00040C21" w:rsidRDefault="008543CD" w:rsidP="00AB6E1D">
      <w:pPr>
        <w:pStyle w:val="Nadpis1"/>
      </w:pPr>
      <w:bookmarkStart w:id="81" w:name="_Toc156318452"/>
      <w:bookmarkStart w:id="82" w:name="_Toc232612620"/>
      <w:bookmarkStart w:id="83" w:name="_Toc16835708"/>
      <w:bookmarkEnd w:id="81"/>
      <w:r w:rsidRPr="00040C21">
        <w:lastRenderedPageBreak/>
        <w:t>Komplexní zdůvodnění přijatého řešení</w:t>
      </w:r>
      <w:bookmarkEnd w:id="82"/>
    </w:p>
    <w:p w14:paraId="3EF1C90E" w14:textId="77777777" w:rsidR="008543CD" w:rsidRPr="00040C21" w:rsidRDefault="008543CD" w:rsidP="00AB6E1D">
      <w:pPr>
        <w:ind w:left="0"/>
      </w:pPr>
    </w:p>
    <w:p w14:paraId="5CBAEFD5" w14:textId="77777777" w:rsidR="008543CD" w:rsidRPr="00040C21" w:rsidRDefault="008543CD" w:rsidP="00AB6E1D">
      <w:pPr>
        <w:ind w:left="0"/>
      </w:pPr>
    </w:p>
    <w:p w14:paraId="0A8F9EBE" w14:textId="77777777" w:rsidR="008543CD" w:rsidRPr="00040C21" w:rsidRDefault="008543CD" w:rsidP="00AB6E1D">
      <w:pPr>
        <w:ind w:left="0"/>
      </w:pPr>
    </w:p>
    <w:p w14:paraId="42C982C4" w14:textId="77777777" w:rsidR="008543CD" w:rsidRPr="00040C21" w:rsidRDefault="008543CD" w:rsidP="00AB6E1D">
      <w:pPr>
        <w:ind w:left="0"/>
      </w:pPr>
    </w:p>
    <w:p w14:paraId="47AA6555" w14:textId="77777777" w:rsidR="008543CD" w:rsidRPr="00040C21" w:rsidRDefault="008543CD" w:rsidP="00AB6E1D">
      <w:pPr>
        <w:ind w:left="0"/>
      </w:pPr>
    </w:p>
    <w:p w14:paraId="6EFE3655" w14:textId="77777777" w:rsidR="008543CD" w:rsidRPr="00040C21" w:rsidRDefault="008543CD" w:rsidP="00AB6E1D">
      <w:pPr>
        <w:ind w:left="0"/>
      </w:pPr>
    </w:p>
    <w:p w14:paraId="29774D85" w14:textId="77777777" w:rsidR="008543CD" w:rsidRPr="00040C21" w:rsidRDefault="008543CD" w:rsidP="00AB6E1D">
      <w:pPr>
        <w:ind w:left="0"/>
      </w:pPr>
    </w:p>
    <w:p w14:paraId="60E5BDDB" w14:textId="77777777" w:rsidR="008543CD" w:rsidRPr="00040C21" w:rsidRDefault="008543CD" w:rsidP="00AB6E1D">
      <w:pPr>
        <w:ind w:left="0"/>
      </w:pPr>
    </w:p>
    <w:p w14:paraId="68B172E4" w14:textId="77777777" w:rsidR="008543CD" w:rsidRPr="00040C21" w:rsidRDefault="008543CD" w:rsidP="00AB6E1D">
      <w:pPr>
        <w:ind w:left="0"/>
      </w:pPr>
    </w:p>
    <w:p w14:paraId="7A918A16" w14:textId="77777777" w:rsidR="008543CD" w:rsidRPr="00040C21" w:rsidRDefault="008543CD" w:rsidP="00AB6E1D">
      <w:pPr>
        <w:ind w:left="0"/>
      </w:pPr>
    </w:p>
    <w:p w14:paraId="3C6B7876" w14:textId="77777777" w:rsidR="008543CD" w:rsidRPr="00040C21" w:rsidRDefault="008543CD" w:rsidP="00AB6E1D">
      <w:pPr>
        <w:ind w:left="0"/>
      </w:pPr>
    </w:p>
    <w:p w14:paraId="01F9141F" w14:textId="77777777" w:rsidR="008543CD" w:rsidRPr="00040C21" w:rsidRDefault="008543CD" w:rsidP="00AB6E1D">
      <w:pPr>
        <w:ind w:left="0"/>
      </w:pPr>
    </w:p>
    <w:p w14:paraId="4B85A727" w14:textId="77777777" w:rsidR="008543CD" w:rsidRPr="00040C21" w:rsidRDefault="008543CD" w:rsidP="00AB6E1D">
      <w:pPr>
        <w:ind w:left="0"/>
      </w:pPr>
    </w:p>
    <w:p w14:paraId="616A5E5B" w14:textId="77777777" w:rsidR="008543CD" w:rsidRPr="00040C21" w:rsidRDefault="008543CD" w:rsidP="00AB6E1D">
      <w:pPr>
        <w:ind w:left="0"/>
      </w:pPr>
    </w:p>
    <w:p w14:paraId="48B2BC13" w14:textId="77777777" w:rsidR="008543CD" w:rsidRPr="00040C21" w:rsidRDefault="008543CD" w:rsidP="00AB6E1D">
      <w:pPr>
        <w:ind w:left="0"/>
      </w:pPr>
    </w:p>
    <w:p w14:paraId="0BE5F7C7" w14:textId="77777777" w:rsidR="008543CD" w:rsidRPr="00040C21" w:rsidRDefault="008543CD" w:rsidP="00AB6E1D">
      <w:pPr>
        <w:ind w:left="0"/>
      </w:pPr>
    </w:p>
    <w:p w14:paraId="105F3CBA" w14:textId="77777777" w:rsidR="008543CD" w:rsidRPr="00040C21" w:rsidRDefault="008543CD" w:rsidP="00AB6E1D">
      <w:pPr>
        <w:ind w:left="0"/>
      </w:pPr>
    </w:p>
    <w:p w14:paraId="30A95E39" w14:textId="77777777" w:rsidR="008543CD" w:rsidRPr="00040C21" w:rsidRDefault="008543CD" w:rsidP="00AB6E1D">
      <w:pPr>
        <w:ind w:left="0"/>
      </w:pPr>
    </w:p>
    <w:p w14:paraId="6C908274" w14:textId="77777777" w:rsidR="008543CD" w:rsidRDefault="008543CD" w:rsidP="00AB6E1D">
      <w:pPr>
        <w:ind w:left="0"/>
      </w:pPr>
    </w:p>
    <w:p w14:paraId="14F9A7FF" w14:textId="77777777" w:rsidR="00F54444" w:rsidRDefault="00F54444" w:rsidP="00AB6E1D">
      <w:pPr>
        <w:ind w:left="0"/>
      </w:pPr>
    </w:p>
    <w:p w14:paraId="6EE890B1" w14:textId="77777777" w:rsidR="00F54444" w:rsidRDefault="00F54444" w:rsidP="00AB6E1D">
      <w:pPr>
        <w:ind w:left="0"/>
      </w:pPr>
    </w:p>
    <w:p w14:paraId="0D1806E3" w14:textId="77777777" w:rsidR="00F54444" w:rsidRDefault="00F54444" w:rsidP="00AB6E1D">
      <w:pPr>
        <w:ind w:left="0"/>
      </w:pPr>
    </w:p>
    <w:p w14:paraId="69A69453" w14:textId="77777777" w:rsidR="00F54444" w:rsidRDefault="00F54444" w:rsidP="00AB6E1D">
      <w:pPr>
        <w:ind w:left="0"/>
      </w:pPr>
    </w:p>
    <w:p w14:paraId="0FE793B5" w14:textId="77777777" w:rsidR="00F54444" w:rsidRDefault="00F54444" w:rsidP="00AB6E1D">
      <w:pPr>
        <w:ind w:left="0"/>
      </w:pPr>
    </w:p>
    <w:p w14:paraId="03107CEC" w14:textId="77777777" w:rsidR="00F54444" w:rsidRDefault="00F54444" w:rsidP="00AB6E1D">
      <w:pPr>
        <w:ind w:left="0"/>
      </w:pPr>
    </w:p>
    <w:p w14:paraId="32A313EB" w14:textId="77777777" w:rsidR="00F54444" w:rsidRPr="00040C21" w:rsidRDefault="00F54444" w:rsidP="00AB6E1D">
      <w:pPr>
        <w:ind w:left="0"/>
      </w:pPr>
    </w:p>
    <w:p w14:paraId="7EE97C7F" w14:textId="77777777" w:rsidR="008543CD" w:rsidRPr="00040C21" w:rsidRDefault="008543CD" w:rsidP="00AB6E1D">
      <w:pPr>
        <w:ind w:left="0"/>
      </w:pPr>
    </w:p>
    <w:p w14:paraId="5E5A04C1" w14:textId="77777777" w:rsidR="008543CD" w:rsidRPr="00040C21" w:rsidRDefault="008543CD" w:rsidP="00AB6E1D">
      <w:pPr>
        <w:ind w:left="0"/>
      </w:pPr>
    </w:p>
    <w:p w14:paraId="3E753A41" w14:textId="77777777" w:rsidR="008543CD" w:rsidRPr="00040C21" w:rsidRDefault="008543CD" w:rsidP="00AB6E1D">
      <w:pPr>
        <w:ind w:left="0"/>
      </w:pPr>
    </w:p>
    <w:p w14:paraId="324896CC" w14:textId="77777777" w:rsidR="008543CD" w:rsidRPr="00040C21" w:rsidRDefault="008543CD" w:rsidP="00AB6E1D">
      <w:pPr>
        <w:ind w:left="0"/>
      </w:pPr>
    </w:p>
    <w:p w14:paraId="25CDD904" w14:textId="77777777" w:rsidR="008543CD" w:rsidRPr="00040C21" w:rsidRDefault="008543CD" w:rsidP="00AB6E1D">
      <w:pPr>
        <w:ind w:left="0"/>
      </w:pPr>
    </w:p>
    <w:p w14:paraId="650B3E2D" w14:textId="77777777" w:rsidR="008543CD" w:rsidRPr="00040C21" w:rsidRDefault="008543CD" w:rsidP="00AB6E1D">
      <w:pPr>
        <w:ind w:left="0"/>
      </w:pPr>
    </w:p>
    <w:p w14:paraId="7B5D2860" w14:textId="74C4FED6" w:rsidR="008543CD" w:rsidRPr="00040C21" w:rsidRDefault="000B725D" w:rsidP="00AB6E1D">
      <w:pPr>
        <w:pStyle w:val="Nadpis2"/>
      </w:pPr>
      <w:bookmarkStart w:id="84" w:name="_Toc232612621"/>
      <w:r w:rsidRPr="00040C21">
        <w:t>Zdůvodnění v</w:t>
      </w:r>
      <w:r w:rsidR="008543CD" w:rsidRPr="00040C21">
        <w:t>ymezení zastavěného území</w:t>
      </w:r>
      <w:bookmarkEnd w:id="84"/>
    </w:p>
    <w:p w14:paraId="7C72F1D7" w14:textId="2D7C21ED" w:rsidR="008543CD" w:rsidRPr="00040C21" w:rsidRDefault="008543CD">
      <w:pPr>
        <w:pStyle w:val="Odstavecseseznamem"/>
        <w:numPr>
          <w:ilvl w:val="0"/>
          <w:numId w:val="70"/>
        </w:numPr>
        <w:ind w:left="709"/>
      </w:pPr>
      <w:r w:rsidRPr="00040C21">
        <w:t>Zastavěné území je vymezeno k</w:t>
      </w:r>
      <w:r w:rsidR="00FB7909" w:rsidRPr="00040C21">
        <w:t xml:space="preserve">e dni </w:t>
      </w:r>
      <w:r w:rsidR="005273C2">
        <w:t>28.1.2025</w:t>
      </w:r>
      <w:r w:rsidRPr="00040C21">
        <w:t xml:space="preserve">. Při vymezování bylo postupováno dle § </w:t>
      </w:r>
      <w:r w:rsidR="00C26ECA" w:rsidRPr="00040C21">
        <w:t>116</w:t>
      </w:r>
      <w:r w:rsidRPr="00040C21">
        <w:t xml:space="preserve"> SZ.</w:t>
      </w:r>
    </w:p>
    <w:p w14:paraId="0E7E8201" w14:textId="1E078559" w:rsidR="008543CD" w:rsidRPr="00040C21" w:rsidRDefault="008543CD" w:rsidP="00F54444">
      <w:pPr>
        <w:pStyle w:val="Odstavecseseznamem"/>
        <w:ind w:left="709"/>
      </w:pPr>
      <w:r w:rsidRPr="00040C21">
        <w:t xml:space="preserve">Hranice zastavěného území je vyznačena ve výkrese </w:t>
      </w:r>
      <w:r w:rsidR="005273C2">
        <w:t>I.a</w:t>
      </w:r>
      <w:r w:rsidRPr="00040C21">
        <w:t>. Výkres základního členění území a výkrese</w:t>
      </w:r>
      <w:r w:rsidR="00F54444">
        <w:t xml:space="preserve"> </w:t>
      </w:r>
      <w:r w:rsidR="005273C2">
        <w:t>I.b</w:t>
      </w:r>
      <w:r w:rsidRPr="00040C21">
        <w:t>.</w:t>
      </w:r>
      <w:r w:rsidR="00F54444">
        <w:t> </w:t>
      </w:r>
      <w:r w:rsidRPr="00040C21">
        <w:t>Hlavní výkres.</w:t>
      </w:r>
    </w:p>
    <w:p w14:paraId="2241BA12" w14:textId="5BB42C7D" w:rsidR="00C26ECA" w:rsidRPr="00040C21" w:rsidRDefault="00C26ECA" w:rsidP="00AB6E1D">
      <w:pPr>
        <w:pStyle w:val="Normlnbezmezer"/>
      </w:pPr>
      <w:r w:rsidRPr="00040C21">
        <w:t xml:space="preserve">Na základě doplňujících průzkumů, rozborů v území a terénního šetření byly do zastavěného území zahrnuty stávající zastavěné pozemky, plochy veřejných prostranství a pozemky proluk </w:t>
      </w:r>
      <w:r w:rsidR="00112CDB" w:rsidRPr="00040C21">
        <w:t>s</w:t>
      </w:r>
      <w:r w:rsidRPr="00040C21">
        <w:t> důrazem na kompaktnost vymezeného zastavěného území.</w:t>
      </w:r>
    </w:p>
    <w:p w14:paraId="1E2D01FA" w14:textId="6EC53523" w:rsidR="00112CDB" w:rsidRPr="00040C21" w:rsidRDefault="00112CDB" w:rsidP="00112CDB">
      <w:pPr>
        <w:pStyle w:val="Normlnbezmezer"/>
      </w:pPr>
      <w:r w:rsidRPr="00040C21">
        <w:t>Zastavěné území bylo účelně vymezeno tak, aby byla zajištěna ochrana volné zemědělské krajiny, ale zároveň zajištěna kompaktnost a spojitost zástavby včetně systému veřejných prostranství v souladu s urbanistickou koncepcí a koncepcí ochrany hodnot území.</w:t>
      </w:r>
    </w:p>
    <w:p w14:paraId="312FEC33" w14:textId="39DCD2B5" w:rsidR="00112CDB" w:rsidRPr="00040C21" w:rsidRDefault="00112CDB" w:rsidP="00112CDB">
      <w:pPr>
        <w:pStyle w:val="Normlnbezmezer"/>
      </w:pPr>
      <w:r w:rsidRPr="00040C21">
        <w:t>Při vymezování zastavěného území byl zohledněn v maximální možné míře dle dostupných informací stavební rozvoj území tak, aby rozsah zastavěného území odpovídal skutečnému využití území</w:t>
      </w:r>
      <w:r w:rsidR="005B7408" w:rsidRPr="00040C21">
        <w:t>.</w:t>
      </w:r>
    </w:p>
    <w:p w14:paraId="1C369276" w14:textId="77777777" w:rsidR="008543CD" w:rsidRPr="00040C21" w:rsidRDefault="008543CD" w:rsidP="00AB6E1D">
      <w:pPr>
        <w:ind w:left="0"/>
      </w:pPr>
      <w:r w:rsidRPr="00040C21">
        <w:br w:type="page"/>
      </w:r>
    </w:p>
    <w:p w14:paraId="1E8AD2A4" w14:textId="01D0EE81" w:rsidR="008543CD" w:rsidRPr="00040C21" w:rsidRDefault="000B725D" w:rsidP="00A651C4">
      <w:pPr>
        <w:pStyle w:val="Nadpis2"/>
      </w:pPr>
      <w:bookmarkStart w:id="85" w:name="_Toc232612622"/>
      <w:r w:rsidRPr="00040C21">
        <w:lastRenderedPageBreak/>
        <w:t>Zdůvodnění z</w:t>
      </w:r>
      <w:r w:rsidR="008543CD" w:rsidRPr="00040C21">
        <w:t>ákladní koncepce rozvoje území obce</w:t>
      </w:r>
      <w:bookmarkEnd w:id="85"/>
    </w:p>
    <w:p w14:paraId="4EBF8D62" w14:textId="1FE14D6A" w:rsidR="008543CD" w:rsidRPr="00040C21" w:rsidRDefault="00501113" w:rsidP="00E4603C">
      <w:pPr>
        <w:pStyle w:val="Nadpis3"/>
      </w:pPr>
      <w:bookmarkStart w:id="86" w:name="_Toc232612623"/>
      <w:bookmarkStart w:id="87" w:name="_Toc17526904"/>
      <w:r>
        <w:t>Principy</w:t>
      </w:r>
      <w:r w:rsidR="005273C2">
        <w:t xml:space="preserve"> </w:t>
      </w:r>
      <w:r w:rsidR="005273C2" w:rsidRPr="00FF5FBE">
        <w:t>koncepce rozvoje území</w:t>
      </w:r>
      <w:r w:rsidR="00E42DD6">
        <w:t xml:space="preserve"> obce</w:t>
      </w:r>
      <w:bookmarkEnd w:id="86"/>
    </w:p>
    <w:p w14:paraId="259FBE19" w14:textId="517F4992" w:rsidR="008543CD" w:rsidRPr="00040C21" w:rsidRDefault="00BD2E73" w:rsidP="00AB6E1D">
      <w:r>
        <w:t>Principy</w:t>
      </w:r>
      <w:r w:rsidR="005273C2">
        <w:t xml:space="preserve"> koncepce rozvoje území</w:t>
      </w:r>
      <w:r w:rsidR="008543CD" w:rsidRPr="00040C21">
        <w:t xml:space="preserve"> </w:t>
      </w:r>
      <w:r>
        <w:t xml:space="preserve">obce </w:t>
      </w:r>
      <w:r w:rsidR="008543CD" w:rsidRPr="00040C21">
        <w:t xml:space="preserve">stanovují základní východiska pro </w:t>
      </w:r>
      <w:r>
        <w:t>stanovení urbanistické koncepce a koncepce veřejné infrastruktury</w:t>
      </w:r>
      <w:r w:rsidR="008543CD" w:rsidRPr="00040C21">
        <w:t xml:space="preserve"> územního plánu</w:t>
      </w:r>
      <w:r w:rsidR="005273C2">
        <w:t xml:space="preserve"> obce</w:t>
      </w:r>
      <w:r w:rsidR="008543CD" w:rsidRPr="00040C21">
        <w:t xml:space="preserve">. Musí být respektovány </w:t>
      </w:r>
      <w:r w:rsidR="00FB7909" w:rsidRPr="00040C21">
        <w:t>při</w:t>
      </w:r>
      <w:r w:rsidR="002B6632" w:rsidRPr="00040C21">
        <w:t> </w:t>
      </w:r>
      <w:r w:rsidR="008543CD" w:rsidRPr="00040C21">
        <w:t>řešení všech změn v území.</w:t>
      </w:r>
      <w:r w:rsidR="0016156A">
        <w:t xml:space="preserve"> Jejich podstatná úprava vyvolává potřebu pořízení nového územního plánu obce.</w:t>
      </w:r>
    </w:p>
    <w:p w14:paraId="7C4C8238" w14:textId="77777777" w:rsidR="008543CD" w:rsidRPr="00040C21" w:rsidRDefault="008543CD" w:rsidP="00AB6E1D"/>
    <w:p w14:paraId="1E2CA6F1" w14:textId="2477AD3E" w:rsidR="008543CD" w:rsidRPr="00040C21" w:rsidRDefault="004120C4">
      <w:pPr>
        <w:pStyle w:val="Odstavecseseznamem"/>
        <w:numPr>
          <w:ilvl w:val="0"/>
          <w:numId w:val="11"/>
        </w:numPr>
        <w:ind w:left="709"/>
        <w:rPr>
          <w:b/>
          <w:sz w:val="24"/>
        </w:rPr>
      </w:pPr>
      <w:r>
        <w:rPr>
          <w:b/>
        </w:rPr>
        <w:t>Hlubočky jako součást přírodního a rekreačního zázemí Olomouce.</w:t>
      </w:r>
    </w:p>
    <w:p w14:paraId="4C797994" w14:textId="269E694E" w:rsidR="00830F91" w:rsidRDefault="00830F91" w:rsidP="00AB6E1D">
      <w:r>
        <w:t>Kraji</w:t>
      </w:r>
      <w:r w:rsidR="004120C4">
        <w:t>nný prostor obce leží na pomezí Radíkovské a Libavské vrchoviny, mezi přírodně rekreačním prostorem Svatého Kopečka a Vojenským újezdem Libavá</w:t>
      </w:r>
      <w:r w:rsidR="00D04AC9">
        <w:t>. Se Svatým Kopečkem je propojen rekreačními trasami a</w:t>
      </w:r>
      <w:r w:rsidR="004D18CA">
        <w:t> </w:t>
      </w:r>
      <w:r w:rsidR="00D04AC9">
        <w:t>stezkami údolími přítoků Bystřice.</w:t>
      </w:r>
    </w:p>
    <w:p w14:paraId="12184FAC" w14:textId="1CEBB0E5" w:rsidR="008673BF" w:rsidRDefault="00D04AC9" w:rsidP="00D04AC9">
      <w:r>
        <w:t>Hlubočky jsou svými rekreačními areály (rekreační areál</w:t>
      </w:r>
      <w:r w:rsidR="00B3091C">
        <w:t xml:space="preserve"> Mariánské Údolí,</w:t>
      </w:r>
      <w:r>
        <w:t xml:space="preserve"> Hlubočky, rekreační areál Hrubá Voda) významnou součástí sportovně-rekreačního zázemí Olomouce. Přírodní park Údolí Bystřice, sahající až k Radíkovskému hřebeni, je hodnotným krajinným územím a součástí přírodně-rekreačního zázemí Olomouce. </w:t>
      </w:r>
    </w:p>
    <w:p w14:paraId="685068BD" w14:textId="1FF2354A" w:rsidR="00D04AC9" w:rsidRPr="00040C21" w:rsidRDefault="008673BF" w:rsidP="00D04AC9">
      <w:r>
        <w:t>Charakter Hluboček je mozaikou charakterů jejich místních částí, od intenzivněji urbanizovaných lokalit navazujících na aglomeraci Olomouce</w:t>
      </w:r>
      <w:r w:rsidR="00123019">
        <w:t xml:space="preserve"> (Mariánské Údolí, Hlubočky, Dukla, Posluchov)</w:t>
      </w:r>
      <w:r>
        <w:t>, po převážně krajinné lokality s roztroušeným osídlením v severní části obce</w:t>
      </w:r>
      <w:r w:rsidR="00123019">
        <w:t xml:space="preserve"> (Hrubá Voda, Smilovský Mlýn)</w:t>
      </w:r>
      <w:r>
        <w:t>.</w:t>
      </w:r>
    </w:p>
    <w:p w14:paraId="57B69C86" w14:textId="2C939F59" w:rsidR="008543CD" w:rsidRPr="00040C21" w:rsidRDefault="004120C4">
      <w:pPr>
        <w:pStyle w:val="Odstavecseseznamem"/>
        <w:numPr>
          <w:ilvl w:val="0"/>
          <w:numId w:val="11"/>
        </w:numPr>
        <w:ind w:left="709"/>
        <w:rPr>
          <w:b/>
          <w:sz w:val="24"/>
        </w:rPr>
      </w:pPr>
      <w:bookmarkStart w:id="88" w:name="_Hlk212538502"/>
      <w:r>
        <w:rPr>
          <w:b/>
        </w:rPr>
        <w:t xml:space="preserve">Charakter krajiny </w:t>
      </w:r>
      <w:bookmarkEnd w:id="88"/>
      <w:r>
        <w:rPr>
          <w:b/>
        </w:rPr>
        <w:t xml:space="preserve">definuje vztah údolí Bystřice a </w:t>
      </w:r>
      <w:r w:rsidR="007D4D1C">
        <w:rPr>
          <w:b/>
        </w:rPr>
        <w:t xml:space="preserve">jejích přítoků a </w:t>
      </w:r>
      <w:r>
        <w:rPr>
          <w:b/>
        </w:rPr>
        <w:t>návrší Radíkovské pahorkatiny.</w:t>
      </w:r>
    </w:p>
    <w:p w14:paraId="161DC6A6" w14:textId="0677BFE6" w:rsidR="007D4D1C" w:rsidRDefault="004120C4" w:rsidP="00AB6E1D">
      <w:r>
        <w:t>Bystřice tvoří krajinnou i sídelní osnovu obce. Je kompoziční, funkční i rekreační páteří Hluboček.</w:t>
      </w:r>
      <w:r w:rsidR="007D4D1C">
        <w:t xml:space="preserve"> Bystřice prochází sídelními částmi obce v druhém plánu, mimo hlavní strukturu veřejných prostranství a jádra jednotlivých částí obce. Niva Bystřice a jejích přítoků, případně části svahů údolí Bystřice a jejích přítoků vymezují prostor, ve kterém jsou sídelní části obce přirozeně stabilizovány.</w:t>
      </w:r>
    </w:p>
    <w:p w14:paraId="6F36981F" w14:textId="18EDFF63" w:rsidR="008543CD" w:rsidRDefault="007D4D1C" w:rsidP="00AB6E1D">
      <w:r>
        <w:t>Krajina údolí Bystřice a jejích přítoků je charakteristická hlubokými zářezy údolí jednotlivých toků do Radíkovské a Libavské pahorkatiny.</w:t>
      </w:r>
      <w:r w:rsidR="00AA7CB2">
        <w:t xml:space="preserve"> </w:t>
      </w:r>
      <w:r w:rsidR="002A3697">
        <w:t xml:space="preserve">Pravobřežními přítoky Bystřice udávajícími charakter částí obce jsou z jihu LP Bystřice Podlesí, Hluboček, Trnava, Nepřívazský potok a Lichnička. </w:t>
      </w:r>
      <w:r w:rsidR="00AA7CB2">
        <w:t xml:space="preserve">Levobřežními přítoky Bystřice </w:t>
      </w:r>
      <w:r w:rsidR="002A3697">
        <w:t xml:space="preserve">udávajícími charakter částí obce jsou z jihu </w:t>
      </w:r>
      <w:r w:rsidR="00F344E3">
        <w:t>Posluchovský potok, Zdiměřský potok, Staroml</w:t>
      </w:r>
      <w:r w:rsidR="005078C9">
        <w:t>ý</w:t>
      </w:r>
      <w:r w:rsidR="00F344E3">
        <w:t>nský potok a Pstružník.</w:t>
      </w:r>
      <w:r w:rsidR="00255150">
        <w:t xml:space="preserve"> </w:t>
      </w:r>
    </w:p>
    <w:p w14:paraId="29F11C6C" w14:textId="0AD28938" w:rsidR="00255150" w:rsidRPr="00040C21" w:rsidRDefault="00255150" w:rsidP="00AB6E1D">
      <w:r>
        <w:t>Krajina návrší Radíkovské pahorkatiny je v</w:t>
      </w:r>
      <w:r w:rsidR="004D318B">
        <w:t> sídelních částech</w:t>
      </w:r>
      <w:r>
        <w:t xml:space="preserve"> charakteristická volnými otevřenými plochami polní a luční krajiny členěnými remízy, V krajinných částech pak </w:t>
      </w:r>
      <w:r w:rsidR="004D318B">
        <w:t>převážně souvislými lesními porosty.</w:t>
      </w:r>
    </w:p>
    <w:p w14:paraId="1440D0D4" w14:textId="6CBAB914" w:rsidR="008543CD" w:rsidRPr="004120C4" w:rsidRDefault="004120C4">
      <w:pPr>
        <w:pStyle w:val="Odstavecseseznamem"/>
        <w:numPr>
          <w:ilvl w:val="0"/>
          <w:numId w:val="11"/>
        </w:numPr>
        <w:ind w:left="709"/>
        <w:rPr>
          <w:b/>
        </w:rPr>
      </w:pPr>
      <w:r>
        <w:rPr>
          <w:b/>
        </w:rPr>
        <w:t>Charakter sídla a jeho částí definuje poloha v krajině údolí Bystřice</w:t>
      </w:r>
    </w:p>
    <w:p w14:paraId="0CFE84FE" w14:textId="77777777" w:rsidR="00B659C8" w:rsidRDefault="00123019" w:rsidP="00AB6E1D">
      <w:r>
        <w:t xml:space="preserve">Charakter jednotlivých sídelních části a sídel obce je definován jejich umístěním v údolí Bystřice a jejích přítoků nebo v návršních polohách Radíkovské vrchoviny. </w:t>
      </w:r>
    </w:p>
    <w:p w14:paraId="32909E54" w14:textId="2267695A" w:rsidR="008543CD" w:rsidRDefault="00123019" w:rsidP="00AB6E1D">
      <w:r>
        <w:t>Sídelní č</w:t>
      </w:r>
      <w:r w:rsidR="00B659C8">
        <w:t>á</w:t>
      </w:r>
      <w:r>
        <w:t xml:space="preserve">sti a sídla v údolních polohách tvoří převážně lineární struktury v prostoru nivy toků nebo v nižších polohách svahů </w:t>
      </w:r>
      <w:r w:rsidR="002C142E">
        <w:t>údolí.</w:t>
      </w:r>
      <w:r w:rsidR="00B659C8">
        <w:t xml:space="preserve"> Charakter a využití </w:t>
      </w:r>
      <w:r w:rsidR="008B5F62">
        <w:t>území</w:t>
      </w:r>
      <w:r w:rsidR="00B659C8">
        <w:t xml:space="preserve"> </w:t>
      </w:r>
      <w:r w:rsidR="00F344E3">
        <w:t>limitován a usměrněn</w:t>
      </w:r>
      <w:r w:rsidR="00B659C8">
        <w:t xml:space="preserve"> prostorovými parametry jednotlivých údolí.</w:t>
      </w:r>
      <w:r w:rsidR="002F416B">
        <w:t xml:space="preserve"> Místní jádra jsou stabilizována v prostorech soutoků Bystřice </w:t>
      </w:r>
      <w:r w:rsidR="007A139E">
        <w:t>a</w:t>
      </w:r>
      <w:r w:rsidR="002F416B">
        <w:t xml:space="preserve"> jejích přítoků.</w:t>
      </w:r>
    </w:p>
    <w:p w14:paraId="5A41FCEF" w14:textId="68A5D1BA" w:rsidR="008B5F62" w:rsidRPr="00040C21" w:rsidRDefault="008B5F62" w:rsidP="00AB6E1D">
      <w:r>
        <w:t xml:space="preserve">Sídelní části a sídla v návršních polohách (zejména Posluchov a samoty) tvoří převážně centrální struktury </w:t>
      </w:r>
      <w:r w:rsidR="00AB6161">
        <w:t>u </w:t>
      </w:r>
      <w:r>
        <w:t>morfologických vrcholů nebo zlomů</w:t>
      </w:r>
      <w:r w:rsidR="00AB6161">
        <w:t xml:space="preserve"> s jasným a uceleným vymezením hranice sídla a jeho obrazu v krajině. Místní jádra tvoří centrální prostor struktury.</w:t>
      </w:r>
    </w:p>
    <w:p w14:paraId="7116D54E" w14:textId="3689AC51" w:rsidR="008543CD" w:rsidRPr="00040C21" w:rsidRDefault="004120C4">
      <w:pPr>
        <w:pStyle w:val="Odstavecseseznamem"/>
        <w:numPr>
          <w:ilvl w:val="0"/>
          <w:numId w:val="11"/>
        </w:numPr>
        <w:ind w:left="709"/>
        <w:rPr>
          <w:b/>
          <w:sz w:val="24"/>
        </w:rPr>
      </w:pPr>
      <w:r>
        <w:rPr>
          <w:b/>
          <w:szCs w:val="18"/>
        </w:rPr>
        <w:t>Míra a charakter rozvoje odpovídá jedinečné poloze v krajině údolí Bystříce</w:t>
      </w:r>
    </w:p>
    <w:p w14:paraId="17952BC3" w14:textId="77777777" w:rsidR="007E6358" w:rsidRDefault="002E1AF1" w:rsidP="00AB6E1D">
      <w:r>
        <w:t xml:space="preserve">Potenciál rozvoje jednotlivých sídelních částí a sídel vychází z daností </w:t>
      </w:r>
      <w:r w:rsidR="00A803FC">
        <w:t xml:space="preserve">morfologie </w:t>
      </w:r>
      <w:r>
        <w:t>krajiny</w:t>
      </w:r>
      <w:r w:rsidR="00A803FC">
        <w:t xml:space="preserve"> </w:t>
      </w:r>
      <w:r>
        <w:t xml:space="preserve">a </w:t>
      </w:r>
      <w:r w:rsidR="00A803FC">
        <w:t xml:space="preserve">stávajících kompozičních a prostorových vztahů a vazeb v území. </w:t>
      </w:r>
    </w:p>
    <w:p w14:paraId="2A0F3EDB" w14:textId="0C91CB97" w:rsidR="008543CD" w:rsidRDefault="00A803FC" w:rsidP="00AB6E1D">
      <w:r>
        <w:t xml:space="preserve">Sídelní struktura v údolí Bystřice se přirozeně historicky odvíjí od nivních poloh po nižší polohy na svazích údolí. </w:t>
      </w:r>
      <w:r w:rsidR="0052364C">
        <w:t xml:space="preserve">Jejich rozvojový potenciál je orientován přednostně nivních a nižších poloh na svazích údolí. </w:t>
      </w:r>
      <w:r w:rsidR="007E6358">
        <w:t>Vyšší polohy na svazích údolí jsou vymezeny pro rekreační využití s ohledem na limity veřejné infrastruktury a</w:t>
      </w:r>
      <w:r w:rsidR="0052364C">
        <w:t> </w:t>
      </w:r>
      <w:r w:rsidR="007E6358">
        <w:t xml:space="preserve">možnosti jejího reálného budování. </w:t>
      </w:r>
      <w:r>
        <w:t xml:space="preserve">Specifikem je urbanizace posluchovského kopce daná </w:t>
      </w:r>
      <w:r w:rsidR="001340FF">
        <w:t>rozvojovým potenciálem Mariánského Údolí ve vazbě na rozvoj průmyslové výroby.</w:t>
      </w:r>
      <w:r w:rsidR="0052364C">
        <w:t xml:space="preserve"> Rozsah urbanizace posluchovského kopce je stabilizovaný.</w:t>
      </w:r>
    </w:p>
    <w:p w14:paraId="71B04C32" w14:textId="2BDDE4E4" w:rsidR="0052364C" w:rsidRDefault="0052364C" w:rsidP="00AB6E1D">
      <w:r>
        <w:t>Sídelní struktury v návršních polohách (zejména Posluchov, samoty) jsou historicky založenými prostorově uzavřenými formami. Jejich rozvojový potenciál je orientován do doplnění proluk ve formálně uzavřené podobě sídla.</w:t>
      </w:r>
    </w:p>
    <w:p w14:paraId="59BFA5D8" w14:textId="77777777" w:rsidR="00501113" w:rsidRDefault="00501113" w:rsidP="00AB6E1D"/>
    <w:p w14:paraId="435B7F21" w14:textId="5B848C7E" w:rsidR="00501113" w:rsidRPr="00040C21" w:rsidRDefault="00501113" w:rsidP="00AB6E1D">
      <w:r w:rsidRPr="00040C21">
        <w:t xml:space="preserve">obr.: principy </w:t>
      </w:r>
      <w:r w:rsidRPr="00FF5FBE">
        <w:t>koncepce ochrany a rozvoje území</w:t>
      </w:r>
      <w:r w:rsidRPr="00040C21">
        <w:t>&gt;</w:t>
      </w:r>
    </w:p>
    <w:p w14:paraId="6B5C64F8" w14:textId="77777777" w:rsidR="008543CD" w:rsidRPr="00040C21" w:rsidRDefault="008543CD" w:rsidP="00AB6E1D">
      <w:pPr>
        <w:ind w:left="0"/>
      </w:pPr>
      <w:r w:rsidRPr="00040C21">
        <w:br w:type="page"/>
      </w:r>
    </w:p>
    <w:p w14:paraId="18EC6478" w14:textId="09BF14DB" w:rsidR="004D422E" w:rsidRDefault="00D85320" w:rsidP="008543CD">
      <w:pPr>
        <w:ind w:left="0"/>
      </w:pPr>
      <w:bookmarkStart w:id="89" w:name="_Toc17526921"/>
      <w:bookmarkEnd w:id="87"/>
      <w:r>
        <w:rPr>
          <w:noProof/>
        </w:rPr>
        <w:lastRenderedPageBreak/>
        <w:drawing>
          <wp:anchor distT="0" distB="0" distL="114300" distR="114300" simplePos="0" relativeHeight="251996672" behindDoc="0" locked="0" layoutInCell="1" allowOverlap="1" wp14:anchorId="1679730A" wp14:editId="4A13B25A">
            <wp:simplePos x="0" y="0"/>
            <wp:positionH relativeFrom="page">
              <wp:posOffset>7034</wp:posOffset>
            </wp:positionH>
            <wp:positionV relativeFrom="page">
              <wp:posOffset>0</wp:posOffset>
            </wp:positionV>
            <wp:extent cx="7596944" cy="10745999"/>
            <wp:effectExtent l="0" t="0" r="4445" b="0"/>
            <wp:wrapNone/>
            <wp:docPr id="486969466"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6969466" name="Obrázek 1"/>
                    <pic:cNvPicPr>
                      <a:picLocks noChangeAspect="1" noChangeArrowheads="1"/>
                    </pic:cNvPicPr>
                  </pic:nvPicPr>
                  <pic:blipFill>
                    <a:blip r:embed="rId14"/>
                    <a:stretch>
                      <a:fillRect/>
                    </a:stretch>
                  </pic:blipFill>
                  <pic:spPr bwMode="auto">
                    <a:xfrm>
                      <a:off x="0" y="0"/>
                      <a:ext cx="7596944" cy="10745999"/>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5ABE8CC3" w14:textId="1897F706" w:rsidR="008543CD" w:rsidRPr="00040C21" w:rsidRDefault="008543CD" w:rsidP="008543CD">
      <w:pPr>
        <w:ind w:left="0"/>
      </w:pPr>
      <w:r w:rsidRPr="00040C21">
        <w:br w:type="page"/>
      </w:r>
    </w:p>
    <w:p w14:paraId="283B1112" w14:textId="7A96ACFE" w:rsidR="008543CD" w:rsidRPr="00040C21" w:rsidRDefault="000B725D" w:rsidP="000E479E">
      <w:pPr>
        <w:pStyle w:val="Nadpis2"/>
      </w:pPr>
      <w:bookmarkStart w:id="90" w:name="_Toc17526924"/>
      <w:bookmarkStart w:id="91" w:name="_Toc232612624"/>
      <w:bookmarkEnd w:id="89"/>
      <w:r w:rsidRPr="00040C21">
        <w:lastRenderedPageBreak/>
        <w:t>Zdůvodnění u</w:t>
      </w:r>
      <w:r w:rsidR="008543CD" w:rsidRPr="00040C21">
        <w:t>rbanistick</w:t>
      </w:r>
      <w:r w:rsidRPr="00040C21">
        <w:t>é</w:t>
      </w:r>
      <w:r w:rsidR="008543CD" w:rsidRPr="00040C21">
        <w:t xml:space="preserve"> koncepce</w:t>
      </w:r>
      <w:bookmarkEnd w:id="90"/>
      <w:r w:rsidR="00510190">
        <w:t xml:space="preserve">, </w:t>
      </w:r>
      <w:r w:rsidR="00510190" w:rsidRPr="00420635">
        <w:t>včetně urbanistické kompozice, vymezení ploch s rozdílným způsobem využití, zastavitelných ploch, ploch přestavby a systému sídelní zeleně</w:t>
      </w:r>
      <w:bookmarkEnd w:id="91"/>
    </w:p>
    <w:p w14:paraId="4A6EF42E" w14:textId="2899C260" w:rsidR="007A2886" w:rsidRDefault="00B34A2B" w:rsidP="007A2886">
      <w:pPr>
        <w:pStyle w:val="Odstavecseseznamem"/>
        <w:autoSpaceDE w:val="0"/>
        <w:autoSpaceDN w:val="0"/>
        <w:adjustRightInd w:val="0"/>
      </w:pPr>
      <w:r w:rsidRPr="006C66C2">
        <w:t>Koncepce struktury určuje význam, charakter a hodnoty obce. Vyjadřuje se k uspořádání sídla i krajiny, které chápe jako nedílně provázané. Popisuje významné přírodní a lidské prvky v území a zásady jejich uspořádání.</w:t>
      </w:r>
    </w:p>
    <w:p w14:paraId="52785C63" w14:textId="0E46D389" w:rsidR="00B34A2B" w:rsidRDefault="00B34A2B" w:rsidP="00B34A2B">
      <w:pPr>
        <w:pStyle w:val="Nadpis3"/>
      </w:pPr>
      <w:bookmarkStart w:id="92" w:name="_Toc232612625"/>
      <w:r>
        <w:t>Hlubočky v kontextu prostoru Olomouce</w:t>
      </w:r>
      <w:bookmarkEnd w:id="92"/>
    </w:p>
    <w:p w14:paraId="6632FE34" w14:textId="3519F879" w:rsidR="00B123DC" w:rsidRDefault="00E30D0B" w:rsidP="00255D10">
      <w:pPr>
        <w:pStyle w:val="Odstavecseseznamem"/>
        <w:numPr>
          <w:ilvl w:val="0"/>
          <w:numId w:val="130"/>
        </w:numPr>
        <w:ind w:left="709" w:hanging="357"/>
        <w:contextualSpacing w:val="0"/>
      </w:pPr>
      <w:r>
        <w:t>Hlubočky jsou svým umístěním s kvalitní obsluhou hromadnou dopravou přirozenou vstupní branou do přírodního parku Údolí Bystřice a do krajiny Radíkovské vrchoviny. Rekreační potenciál je obce je zohledněn v posilování jeho polyfunkčního charakteru a vytváření prostoru pro rozvoj a vznik rekreační infrastruktury a občanského vybavení.</w:t>
      </w:r>
      <w:r w:rsidR="00D119E7">
        <w:t xml:space="preserve"> Rekreační potenciál představuje i režimové turistické využití Vojenského újezdu Libavá</w:t>
      </w:r>
    </w:p>
    <w:p w14:paraId="7C86A226" w14:textId="0B439673" w:rsidR="00E30D0B" w:rsidRDefault="000013A4" w:rsidP="00255D10">
      <w:pPr>
        <w:pStyle w:val="Odstavecseseznamem"/>
        <w:numPr>
          <w:ilvl w:val="0"/>
          <w:numId w:val="130"/>
        </w:numPr>
        <w:ind w:left="709" w:hanging="357"/>
        <w:contextualSpacing w:val="0"/>
      </w:pPr>
      <w:r>
        <w:t>Krajina údolí Bystřice a jejích přítoků tvoří základ identity obce a je její nejvýznamnější hodnotou. Údolí Bystřice a jejích přítoků jsou nejen krajinnou ale i pohybovou a obytnou osnovou celé obce. Tento systém je posilován doplňováním místních propojení a vazeb a napojováním osnovy pohybu a pobytu na okolí.</w:t>
      </w:r>
    </w:p>
    <w:p w14:paraId="214260E3" w14:textId="13BC517E" w:rsidR="00704254" w:rsidRDefault="00704254" w:rsidP="00255D10">
      <w:pPr>
        <w:pStyle w:val="Odstavecseseznamem"/>
        <w:numPr>
          <w:ilvl w:val="0"/>
          <w:numId w:val="130"/>
        </w:numPr>
        <w:ind w:left="709" w:hanging="357"/>
        <w:contextualSpacing w:val="0"/>
      </w:pPr>
      <w:r>
        <w:t xml:space="preserve">Přírodně rekreační potenciál obce představuje zejména prostor lesů přírodního parku Údolí Bystřice. Sportovně rekreačním potenciálem nadmístního významu </w:t>
      </w:r>
      <w:r w:rsidR="00953C91">
        <w:t xml:space="preserve">jsou rekreační areály zimních sportů Hlubočky a Hrubá Voda, doplněný letním rekreačním areálem biotopu Mariánské Údolí. Rekreační areály mají významný nadmístní přesah a slouží širokému spádovému území </w:t>
      </w:r>
      <w:r w:rsidR="006C0C60">
        <w:t>regionu a jejích atraktivita může synergicky působit na rozvoj vybavení a pracovních příležitostí v </w:t>
      </w:r>
      <w:r w:rsidR="005932EE">
        <w:t>obci,</w:t>
      </w:r>
      <w:r w:rsidR="006C0C60">
        <w:t xml:space="preserve"> a tedy k přírůstku obyvatel.</w:t>
      </w:r>
    </w:p>
    <w:p w14:paraId="5EBB67DB" w14:textId="7CF177ED" w:rsidR="005932EE" w:rsidRDefault="005932EE" w:rsidP="00255D10">
      <w:pPr>
        <w:pStyle w:val="Odstavecseseznamem"/>
        <w:numPr>
          <w:ilvl w:val="0"/>
          <w:numId w:val="130"/>
        </w:numPr>
        <w:ind w:left="709" w:hanging="357"/>
        <w:contextualSpacing w:val="0"/>
      </w:pPr>
      <w:r>
        <w:t xml:space="preserve">Součástí prostoru sídla i krajiny jsou kulturní (stavební památky, drobná architektura v krajině) i přírodní památky (vodopády, skály) , které jsou určeny k ochraně. Při řešení pohybu a pobytu v krajině je vhodné tyto památky zapojit do sítě pohybu a pobytu v krajině. Tento přístup </w:t>
      </w:r>
      <w:r w:rsidR="008F7D67">
        <w:t>zvyšuje</w:t>
      </w:r>
      <w:r>
        <w:t xml:space="preserve"> a</w:t>
      </w:r>
      <w:r w:rsidR="008F7D67">
        <w:t>traktivitu prostředí obce pro</w:t>
      </w:r>
      <w:r w:rsidR="00350E71">
        <w:t> </w:t>
      </w:r>
      <w:r w:rsidR="008F7D67">
        <w:t>návštěvníky ze širšího spádového území regionu a ke zvyšování poptávka na kvalitu vybavení a sl</w:t>
      </w:r>
      <w:r w:rsidR="00743497">
        <w:t>užeb.</w:t>
      </w:r>
    </w:p>
    <w:p w14:paraId="4F6BB9B1" w14:textId="6F77B72F" w:rsidR="005932EE" w:rsidRDefault="005932EE" w:rsidP="00255D10">
      <w:pPr>
        <w:pStyle w:val="Odstavecseseznamem"/>
        <w:numPr>
          <w:ilvl w:val="0"/>
          <w:numId w:val="130"/>
        </w:numPr>
        <w:ind w:left="709" w:hanging="357"/>
        <w:contextualSpacing w:val="0"/>
      </w:pPr>
      <w:r>
        <w:t>Sídelní soustava obce je diverzifikována dle polohy v prostoru údolí Bystřice, od samot v krajině, přes centrální samostatnou strukturu Posluchova, po lineární sídlení formy v údolích. Tyto formy a jejich případné kombinace udávají charakter jednotlivých místních částí, která je stabilizován a rozvíjen ve svém současném nastavení.</w:t>
      </w:r>
    </w:p>
    <w:p w14:paraId="25EC25ED" w14:textId="22A76606" w:rsidR="005932EE" w:rsidRPr="00B123DC" w:rsidRDefault="00D028CA" w:rsidP="00255D10">
      <w:pPr>
        <w:pStyle w:val="Odstavecseseznamem"/>
        <w:numPr>
          <w:ilvl w:val="0"/>
          <w:numId w:val="130"/>
        </w:numPr>
        <w:ind w:left="709" w:hanging="357"/>
        <w:contextualSpacing w:val="0"/>
      </w:pPr>
      <w:r>
        <w:t xml:space="preserve">Správní území obce je členěno na lokality dle převažujícího charakteru. </w:t>
      </w:r>
      <w:r w:rsidR="001C2DBE">
        <w:t>Lokality jsou vymezeny dle jednotlivých sídelních struktur místních částí obce (Mariánské Údolí, Hlubočky, Posluchov, Dukla, Hrubá Voda, Smilov), jejich sídelních vazeb (Posluchovský kopec) a prostoru přítoků údolí Bystřice (V Podlesí, Údolí Hlubučku, Údolí Trnavy, Údolí Nepřívazského potoka, Údolí Posluchovského potoka, Údolí Zdiměřského potoka a Údolí Pstružníku</w:t>
      </w:r>
      <w:r w:rsidR="00D90CD8">
        <w:t>).</w:t>
      </w:r>
      <w:r w:rsidR="001C2DBE">
        <w:t xml:space="preserve"> </w:t>
      </w:r>
      <w:r>
        <w:t>Pro jednotlivé lokality jsou stanoveny podrobné podmínky charakteru a</w:t>
      </w:r>
      <w:r w:rsidR="0090657A">
        <w:t> </w:t>
      </w:r>
      <w:r>
        <w:t>prostorového uspořádání zástavby i krajiny. Podrobné zdůvodnění podmínek charakteru a prostorového uspořádání je uvedeno v kap. IX.f/1 textové části odůvodnění.</w:t>
      </w:r>
    </w:p>
    <w:p w14:paraId="04662B87" w14:textId="089529D9" w:rsidR="00B34A2B" w:rsidRDefault="00B34A2B" w:rsidP="00B34A2B">
      <w:pPr>
        <w:pStyle w:val="Nadpis3"/>
      </w:pPr>
      <w:bookmarkStart w:id="93" w:name="_Toc232612626"/>
      <w:r>
        <w:t>Krajina</w:t>
      </w:r>
      <w:bookmarkEnd w:id="93"/>
    </w:p>
    <w:p w14:paraId="01EE3953" w14:textId="1726F7FC" w:rsidR="004507E7" w:rsidRDefault="00D119E7" w:rsidP="00255D10">
      <w:pPr>
        <w:pStyle w:val="Odstavecseseznamem"/>
        <w:numPr>
          <w:ilvl w:val="0"/>
          <w:numId w:val="131"/>
        </w:numPr>
        <w:ind w:left="709" w:hanging="357"/>
        <w:contextualSpacing w:val="0"/>
      </w:pPr>
      <w:r>
        <w:t xml:space="preserve">Krajinný rámec obce je definován vztahem údolí toků a návrší Radíkovské vrchoviny. Údolí jednotlivých toků tvoří samostatná přírodní prostředí s vlastními specifiky a charakterem. Rozmanitost krajin je klíčovým prvkem její biologické hodnoty i rekreačního významu. </w:t>
      </w:r>
    </w:p>
    <w:p w14:paraId="27F8D110" w14:textId="77777777" w:rsidR="0072330B" w:rsidRDefault="007C5A11" w:rsidP="00255D10">
      <w:pPr>
        <w:pStyle w:val="Odstavecseseznamem"/>
        <w:numPr>
          <w:ilvl w:val="0"/>
          <w:numId w:val="131"/>
        </w:numPr>
        <w:ind w:left="709" w:hanging="357"/>
        <w:contextualSpacing w:val="0"/>
      </w:pPr>
      <w:r>
        <w:t>Panorama</w:t>
      </w:r>
      <w:r w:rsidR="009B0F87">
        <w:t xml:space="preserve">tické pohledy na obec a její místní části jsou patrné zejména z rekreačních tras po svazích údolí Bystřice a jejích přítoků. </w:t>
      </w:r>
      <w:r w:rsidR="002A52CB">
        <w:t>Nejvýraznější u</w:t>
      </w:r>
      <w:r w:rsidR="009B0F87">
        <w:t xml:space="preserve">celený panoramatický pohled na Hlubočky je viditelný z pěší trasy mezi Posluchovským kopcem a Posluchovem, z panoramatu výškové škálování typu zástavby a orientace intenzivnějších forem zástavby do nižších poloh údolí. </w:t>
      </w:r>
      <w:r w:rsidR="002A52CB">
        <w:t xml:space="preserve">Této panoramatický pohled je důležitý při posuzování řešení zejména návrhových ploch v lokalitě Hlubočky. </w:t>
      </w:r>
      <w:r w:rsidR="00FB0200">
        <w:t>Horní polohy údolí jsou tvořeny zemědělskou krajinou a vrcholky kopců lesy.</w:t>
      </w:r>
      <w:r w:rsidR="008809D9">
        <w:t xml:space="preserve"> </w:t>
      </w:r>
      <w:r w:rsidR="009B0F87">
        <w:t xml:space="preserve">Výjimku tohoto pravidla tvoří pouze zástavba posluchovského kopce podél ulice K Posluchovu, které se táhne po hřebeni nad Posluchovským potokem. </w:t>
      </w:r>
    </w:p>
    <w:p w14:paraId="312C93F8" w14:textId="2413EEA4" w:rsidR="0072330B" w:rsidRDefault="0072330B" w:rsidP="00255D10">
      <w:pPr>
        <w:pStyle w:val="Odstavecseseznamem"/>
        <w:numPr>
          <w:ilvl w:val="0"/>
          <w:numId w:val="131"/>
        </w:numPr>
        <w:ind w:left="709" w:hanging="357"/>
        <w:contextualSpacing w:val="0"/>
      </w:pPr>
      <w:r>
        <w:t>Vyšší polohy údolí Bystřice, resp. jejích přítoků, zejména v jižní části správního území obce (Údolí Hlubučku, Trnavy a Nepřívazského potoka) je díky své pohledové expozici citlivé na rozšiřování zástavby do vyšších poloh svahů. Zástavba je proto cíleně usměrňována do současných nižších poloh údolí, ve vyšších polohách je stabilizována volní krajina, případně stávající rekreační chatové lokality.</w:t>
      </w:r>
    </w:p>
    <w:p w14:paraId="44F57219" w14:textId="6B705E4C" w:rsidR="00D119E7" w:rsidRDefault="009B0F87" w:rsidP="00255D10">
      <w:pPr>
        <w:pStyle w:val="Odstavecseseznamem"/>
        <w:numPr>
          <w:ilvl w:val="0"/>
          <w:numId w:val="131"/>
        </w:numPr>
        <w:ind w:left="709" w:hanging="357"/>
        <w:contextualSpacing w:val="0"/>
      </w:pPr>
      <w:r>
        <w:t>Obraz Posluchova v krajině je definován jeho návršní polohou a pohledovou expozicí ze všech stran, obvod sídla je tedy citlivý na řešení rozhraní sídla a krajiny při jeho dostavbě.</w:t>
      </w:r>
      <w:r w:rsidR="0072330B">
        <w:t xml:space="preserve"> Harmonickému obrazu sídla v krajině napomáhá rozvoj systému krajinné zeleně formou interakčních prvků.</w:t>
      </w:r>
    </w:p>
    <w:p w14:paraId="5E0D3E39" w14:textId="0969A593" w:rsidR="00975643" w:rsidRDefault="00957911" w:rsidP="00255D10">
      <w:pPr>
        <w:pStyle w:val="Odstavecseseznamem"/>
        <w:numPr>
          <w:ilvl w:val="0"/>
          <w:numId w:val="131"/>
        </w:numPr>
        <w:spacing w:before="0" w:after="0"/>
        <w:ind w:left="709" w:hanging="357"/>
        <w:contextualSpacing w:val="0"/>
        <w:jc w:val="left"/>
      </w:pPr>
      <w:r>
        <w:t>Rozvoj interakčních prvků, které doplňují hlavní strukturu krajiny, formou remízků, mezí a stromořadí, je vhodné propojovat se systémem pěší prostupnosti krajiny. Vzniká tak synergie obsluhy území, pohybu v něm, ochrany krajiny před negativními účinky eroze a stabilizaci její struktury.</w:t>
      </w:r>
    </w:p>
    <w:p w14:paraId="2485CDE2" w14:textId="7D1C5921" w:rsidR="00B34A2B" w:rsidRDefault="00B34A2B" w:rsidP="00B34A2B">
      <w:pPr>
        <w:pStyle w:val="Nadpis3"/>
      </w:pPr>
      <w:bookmarkStart w:id="94" w:name="_Toc232612627"/>
      <w:r>
        <w:lastRenderedPageBreak/>
        <w:t>Sídlo</w:t>
      </w:r>
      <w:bookmarkEnd w:id="94"/>
    </w:p>
    <w:p w14:paraId="1A420289" w14:textId="79EE2161" w:rsidR="004507E7" w:rsidRDefault="002B7CEE" w:rsidP="00255D10">
      <w:pPr>
        <w:pStyle w:val="Odstavecseseznamem"/>
        <w:numPr>
          <w:ilvl w:val="0"/>
          <w:numId w:val="135"/>
        </w:numPr>
        <w:ind w:left="850" w:hanging="357"/>
        <w:contextualSpacing w:val="0"/>
      </w:pPr>
      <w:r>
        <w:t xml:space="preserve">Obec Hlubočky je tvořena soustavou několika sídel, resp. místních částí, s vlastním charakterem, identitou, historickým </w:t>
      </w:r>
      <w:r w:rsidR="00180416">
        <w:t>kontextem,</w:t>
      </w:r>
      <w:r>
        <w:t xml:space="preserve"> a tedy i možnostmi rozvoje.</w:t>
      </w:r>
      <w:r w:rsidR="00180416">
        <w:t xml:space="preserve"> Jednotlivé místní části Hlubočky, Mariánské Údolí, Dukla, Posluchov a Hrubá Voda mají svá těžiště, funkční centra, která zakládají jejich identitu a významové ukotveni v sídelní soustavě obce. Těžiště místních částí jsou vymezena jako významná veřejná prostranství a ovlivňují podmínky využití a prostorového uspořádání navazující zástavby.</w:t>
      </w:r>
    </w:p>
    <w:p w14:paraId="1B378F31" w14:textId="1722BD8A" w:rsidR="00180416" w:rsidRDefault="00180416" w:rsidP="00255D10">
      <w:pPr>
        <w:pStyle w:val="Odstavecseseznamem"/>
        <w:numPr>
          <w:ilvl w:val="0"/>
          <w:numId w:val="135"/>
        </w:numPr>
        <w:ind w:left="850" w:hanging="357"/>
        <w:contextualSpacing w:val="0"/>
      </w:pPr>
      <w:r>
        <w:t>Příměstský až venkovský charakter obce je typický smíšenou funkční skladbou, kdy hlavní funkci bydlení doplňuje občanské vybavení</w:t>
      </w:r>
      <w:r w:rsidR="00B4033B">
        <w:t>,</w:t>
      </w:r>
      <w:r>
        <w:t xml:space="preserve"> podnikání a služby. Smíšenost, resp. polyfunkční charakter, ploch s rozdílným způsobem využití zajišťuje flexibilitu a udržitelnost rozvoje obce, kdy při místních změnách využití konkrétních pozemků není potřeba měnit územní plán, ale pouze díky široké paletě možného využití posuzovat soulad záměru s charakterem prostředí.</w:t>
      </w:r>
      <w:r w:rsidR="00B4033B">
        <w:t xml:space="preserve"> Občanské vybavení je integrální součástí ploch smíšených obytných, při vzniku nového občanského vybavení nebo při změně lokalizace stávajícího občanského vybavení není potřeba měnit územní plán, ale pouze prokázat adekvátní náhradu, resp. zajištění funkce a kapacity občanského vybavení jiným způsobem.</w:t>
      </w:r>
    </w:p>
    <w:p w14:paraId="73C59579" w14:textId="66D270BF" w:rsidR="00310F1B" w:rsidRDefault="00310F1B" w:rsidP="00255D10">
      <w:pPr>
        <w:pStyle w:val="Odstavecseseznamem"/>
        <w:numPr>
          <w:ilvl w:val="0"/>
          <w:numId w:val="135"/>
        </w:numPr>
        <w:ind w:left="850" w:hanging="357"/>
        <w:contextualSpacing w:val="0"/>
      </w:pPr>
      <w:r>
        <w:t>Mariánské Údolí, Hlubočky a Hrubá Voda tvoří vzájemně provázanou soustavu osídlení podél linie údolí Bystřice. Výjimku z lineární form</w:t>
      </w:r>
      <w:r w:rsidR="008314FE">
        <w:t>y</w:t>
      </w:r>
      <w:r>
        <w:t xml:space="preserve"> obce představuje lokalita Posluchovský kopec, kde se zástavba nachází i ve vyšších polohách údolí.</w:t>
      </w:r>
      <w:r w:rsidR="008314FE">
        <w:t xml:space="preserve"> Rozsah zástavby posluchovského kopce je stabilizovaný a není žádoucí její prostorové spojení s Posluchovem. </w:t>
      </w:r>
    </w:p>
    <w:p w14:paraId="4AB2B479" w14:textId="2EDCEC86" w:rsidR="008314FE" w:rsidRDefault="008314FE" w:rsidP="008D3D57">
      <w:pPr>
        <w:pStyle w:val="Odstavecseseznamem"/>
        <w:ind w:left="851"/>
        <w:contextualSpacing w:val="0"/>
      </w:pPr>
      <w:r w:rsidRPr="003F7EDE">
        <w:rPr>
          <w:b/>
          <w:bCs/>
        </w:rPr>
        <w:t>Mariánské Údolí</w:t>
      </w:r>
      <w:r>
        <w:t xml:space="preserve"> </w:t>
      </w:r>
      <w:r w:rsidR="000A1F82">
        <w:t>se rozvinulo do současné podoby zejména díky industrializaci obce v 19. století společně s rozvojem železáren</w:t>
      </w:r>
      <w:r w:rsidR="00CC545D">
        <w:t xml:space="preserve"> (dnešní areál Moravia)</w:t>
      </w:r>
      <w:r w:rsidR="000A1F82">
        <w:t xml:space="preserve"> jako tovární osada. </w:t>
      </w:r>
      <w:r w:rsidR="003F7EDE">
        <w:t xml:space="preserve">V současnosti je zástavba Mariánského Údolí stabilizována a postupně doplňována v prolukách. </w:t>
      </w:r>
      <w:r w:rsidR="000A1F82">
        <w:t xml:space="preserve">Těžištěm místní části </w:t>
      </w:r>
      <w:r w:rsidR="00155B7C">
        <w:t xml:space="preserve">(místním jádrem) </w:t>
      </w:r>
      <w:r w:rsidR="000A1F82">
        <w:t xml:space="preserve">je </w:t>
      </w:r>
      <w:r w:rsidR="003F7EDE">
        <w:t xml:space="preserve">centrum u křížení ulic Olomoucká a Letní s občanským vybavením (kulturní dům, pošta, základní škola, mateřská škola, obchody). Hodnotnou zástavbu představuje tovární sídliště (dělnická kolonie) komponovaná kolem os Letní a Wolkerova. Jižní část Mariánského Údolí </w:t>
      </w:r>
      <w:r w:rsidR="00842DFE">
        <w:t xml:space="preserve">je tvořena chatovými koloniemi, při Olomoucké se nachází </w:t>
      </w:r>
      <w:r w:rsidR="007D461B">
        <w:t xml:space="preserve">letní </w:t>
      </w:r>
      <w:r w:rsidR="00842DFE">
        <w:t>rekreační areál biotopu</w:t>
      </w:r>
      <w:r w:rsidR="007D461B">
        <w:t xml:space="preserve"> s koupalištěm</w:t>
      </w:r>
      <w:r w:rsidR="00842DFE">
        <w:t>.</w:t>
      </w:r>
      <w:r w:rsidR="001129C6">
        <w:t xml:space="preserve"> Bývalá štola s kaplí Panny Marie Bolestné (původ pojmenování místní části) se</w:t>
      </w:r>
      <w:r w:rsidR="00CC545D">
        <w:t> </w:t>
      </w:r>
      <w:r w:rsidR="001129C6">
        <w:t>nachází při nástupu na rekreační trasu údolím Zlatého dolu směrem na Lošov a Radíkov.</w:t>
      </w:r>
    </w:p>
    <w:p w14:paraId="59B6E042" w14:textId="226279C9" w:rsidR="003F7EDE" w:rsidRDefault="003F7EDE" w:rsidP="008D3D57">
      <w:pPr>
        <w:pStyle w:val="Odstavecseseznamem"/>
        <w:ind w:left="851"/>
        <w:contextualSpacing w:val="0"/>
      </w:pPr>
      <w:r>
        <w:rPr>
          <w:b/>
          <w:bCs/>
        </w:rPr>
        <w:t xml:space="preserve">Hlubočky </w:t>
      </w:r>
      <w:r>
        <w:t xml:space="preserve">jsou formovány na soutoku toků Hluboček a Bystřice. </w:t>
      </w:r>
      <w:r w:rsidR="00492DA6">
        <w:t xml:space="preserve">Osnovou sídla jsou údolí toků Bystřice, Hlubočku a Trnavy. </w:t>
      </w:r>
      <w:r>
        <w:t>Těžištěm místní části</w:t>
      </w:r>
      <w:r w:rsidR="00155B7C">
        <w:t xml:space="preserve"> (místním jádrem)</w:t>
      </w:r>
      <w:r>
        <w:t xml:space="preserve"> je prostor ulice Olomoucké od Školní po předprostor obecního úřadu. V prostoru návsi se nachází obecní úřad, knihovna, policie a smíšené zboží. Funkční centrum obce doplňuje základní škola a sportovní areál na Olomoucké a</w:t>
      </w:r>
      <w:r w:rsidR="001129C6">
        <w:t> </w:t>
      </w:r>
      <w:r>
        <w:t>dále rekreační areál zimních sportů Hlubočky.</w:t>
      </w:r>
      <w:r w:rsidR="001129C6">
        <w:t xml:space="preserve"> Dominantou kompozice jádra Hluboček je kostel</w:t>
      </w:r>
      <w:r w:rsidR="00CC545D">
        <w:t xml:space="preserve"> Božského srdce Páně. </w:t>
      </w:r>
      <w:r w:rsidR="00492DA6">
        <w:t>Stavební hodnoto</w:t>
      </w:r>
      <w:r w:rsidR="00373ACD">
        <w:t>u</w:t>
      </w:r>
      <w:r w:rsidR="00492DA6">
        <w:t xml:space="preserve"> je objekt rychty na Nám. družby č.p. 10.</w:t>
      </w:r>
    </w:p>
    <w:p w14:paraId="14265478" w14:textId="3D9FE2DA" w:rsidR="00492DA6" w:rsidRDefault="00492DA6" w:rsidP="008D3D57">
      <w:pPr>
        <w:pStyle w:val="Odstavecseseznamem"/>
        <w:ind w:left="851"/>
        <w:contextualSpacing w:val="0"/>
      </w:pPr>
      <w:r>
        <w:rPr>
          <w:b/>
          <w:bCs/>
        </w:rPr>
        <w:t>Dukla</w:t>
      </w:r>
      <w:r>
        <w:t xml:space="preserve"> </w:t>
      </w:r>
      <w:r w:rsidR="003714DD">
        <w:t xml:space="preserve">se rozvinula s výstavbou elektrárny v 20. letech 20. století v blízkosti usedlostí </w:t>
      </w:r>
      <w:r w:rsidR="00E63804">
        <w:t xml:space="preserve">a rodinných domů </w:t>
      </w:r>
      <w:r w:rsidR="003714DD">
        <w:t>při soutoku Nepřívazského potoka a Bystřice</w:t>
      </w:r>
      <w:r w:rsidR="005018C0">
        <w:t xml:space="preserve"> a továrny na hřebíky</w:t>
      </w:r>
      <w:r w:rsidR="003714DD">
        <w:t>. Severní část kolem ulice Dukelských hrdinů má charakter solitérní zástavby s</w:t>
      </w:r>
      <w:r w:rsidR="00155B7C">
        <w:t> </w:t>
      </w:r>
      <w:r w:rsidR="003714DD">
        <w:t>těžištěm</w:t>
      </w:r>
      <w:r w:rsidR="00155B7C">
        <w:t xml:space="preserve"> (místním jádrem)</w:t>
      </w:r>
      <w:r w:rsidR="003714DD">
        <w:t xml:space="preserve"> v blízkosti pošty a místního vybavení. V severní části Dukly se dále nachází areál základní a mateřské školy a sbor dobrovolných hasičů</w:t>
      </w:r>
      <w:r w:rsidR="005018C0">
        <w:t xml:space="preserve">. </w:t>
      </w:r>
      <w:r w:rsidR="00241F0F">
        <w:t>Jižní část Dukly je komponována kolem osy ulice Na Orátě s pohledovou dominantou elektrárenského komína.</w:t>
      </w:r>
      <w:r w:rsidR="00BA0EDB">
        <w:t xml:space="preserve"> Jižní okraj sídliště Na Orátě je věnován sportovním plochám mj. pro požární sport.</w:t>
      </w:r>
    </w:p>
    <w:p w14:paraId="00466BB3" w14:textId="451FC04E" w:rsidR="0040039D" w:rsidRDefault="0040039D" w:rsidP="008D3D57">
      <w:pPr>
        <w:pStyle w:val="Odstavecseseznamem"/>
        <w:ind w:left="851"/>
        <w:contextualSpacing w:val="0"/>
      </w:pPr>
      <w:r>
        <w:rPr>
          <w:b/>
          <w:bCs/>
        </w:rPr>
        <w:t xml:space="preserve">Hrubá Voda </w:t>
      </w:r>
      <w:r w:rsidR="004C2843">
        <w:t xml:space="preserve">se rozvinula s těžbou kamene (břidlice) a na počátku 20. století také s výstavbou areálu zimních sportů (sáňkařská dráha). Hrubá Voda si udržuje i v současnosti svůj rekreační charakter </w:t>
      </w:r>
      <w:r w:rsidR="00373ACD">
        <w:t xml:space="preserve">převahou rekreační zástavby, zejména ve severní části a významný rekreační potenciál </w:t>
      </w:r>
      <w:r w:rsidR="004C2843">
        <w:t>areálem zimních sportů v blízkosti železniční stanice. Struktura zástavby má převážně lineární charakter (podél údolí Bystřice) a je</w:t>
      </w:r>
      <w:r w:rsidR="00514F36">
        <w:t> </w:t>
      </w:r>
      <w:r w:rsidR="004C2843">
        <w:t>převážně stabilizovaná.</w:t>
      </w:r>
      <w:r w:rsidR="00373ACD">
        <w:t xml:space="preserve"> Těžištěm</w:t>
      </w:r>
      <w:r w:rsidR="00514F36">
        <w:t xml:space="preserve"> místní části</w:t>
      </w:r>
      <w:r w:rsidR="00155B7C">
        <w:t xml:space="preserve"> (místním jádrem)</w:t>
      </w:r>
      <w:r w:rsidR="00373ACD">
        <w:t xml:space="preserve"> je vstupní prostor do areálu zimních sportů (v místě původní osady). Historickou a kulturní dominantu tvoří zřícenina hradu Hluboký. Stavební hodnotou je dále železniční stanice Hrubá Voda.</w:t>
      </w:r>
    </w:p>
    <w:p w14:paraId="38943699" w14:textId="398FBFA7" w:rsidR="00A131AC" w:rsidRDefault="00A131AC" w:rsidP="00255D10">
      <w:pPr>
        <w:pStyle w:val="Odstavecseseznamem"/>
        <w:numPr>
          <w:ilvl w:val="0"/>
          <w:numId w:val="135"/>
        </w:numPr>
        <w:ind w:left="851"/>
        <w:contextualSpacing w:val="0"/>
      </w:pPr>
      <w:r w:rsidRPr="008D3D57">
        <w:rPr>
          <w:b/>
          <w:bCs/>
        </w:rPr>
        <w:t>Posluchov</w:t>
      </w:r>
      <w:r>
        <w:t xml:space="preserve"> je</w:t>
      </w:r>
      <w:r w:rsidR="008D3D57">
        <w:t xml:space="preserve"> samostatným sídlem, charakteru okrouhlice s centrální návsí a kaplí Nejsvětější Trojice. Urbanistická forma sídla je zároveň limitem jeho rozvoje, resp. jednoznačně stanovuje jeho formu. Citlivé je zejména rozhraní sídla a krajiny, které je díky návršní poloze pohledově exponované ze všech stran.</w:t>
      </w:r>
      <w:r w:rsidR="00D40F52">
        <w:t xml:space="preserve"> V okolí sídla se nachází drobné usedlosti a zemědělské stavby, které jsou územně stabilizovány a nepředpokládá se jejich plošný rozvoj.</w:t>
      </w:r>
      <w:r w:rsidR="001437ED">
        <w:t xml:space="preserve"> Spojování Posluchova a Mariánského Údolí je díky specifické formě okrouhlice nežádoucí.</w:t>
      </w:r>
      <w:r w:rsidR="005C0693">
        <w:t xml:space="preserve"> Kompoziční vazbu na Mariánské Údolí představuje pěší trasa mezi centrem u ulice Letní a posluchovskou návsí. Kompoziční vazbu na Hlubočky představuje pěší trasa s křížovou cestou mezi hlubočskou a posluchovskou návsí.</w:t>
      </w:r>
    </w:p>
    <w:p w14:paraId="0DAB9558" w14:textId="57B40BAC" w:rsidR="005C0693" w:rsidRDefault="009746A9" w:rsidP="00255D10">
      <w:pPr>
        <w:pStyle w:val="Odstavecseseznamem"/>
        <w:numPr>
          <w:ilvl w:val="0"/>
          <w:numId w:val="135"/>
        </w:numPr>
        <w:ind w:left="851"/>
        <w:contextualSpacing w:val="0"/>
      </w:pPr>
      <w:r w:rsidRPr="003D1F78">
        <w:rPr>
          <w:b/>
          <w:bCs/>
        </w:rPr>
        <w:t>Smilov</w:t>
      </w:r>
      <w:r>
        <w:t>, resp. Smilovský Mlýn a okolní rekreační zástavba, je pozůstatkem bývalé obce Smilov, zaniklé při ustanovení Vojenského újezdu Libavá.</w:t>
      </w:r>
      <w:r w:rsidR="00A75E17">
        <w:t xml:space="preserve"> Současná podoba má charakter usedlosti v krajině. Stavební hodnotou je kaple u Smilovského mlýna.</w:t>
      </w:r>
      <w:r w:rsidR="003D1F78">
        <w:t xml:space="preserve"> Zástavba je stabilizovaná a nepředpokládá se její plošný rozvoj.</w:t>
      </w:r>
    </w:p>
    <w:p w14:paraId="3345AED7" w14:textId="2151D23C" w:rsidR="003D1F78" w:rsidRDefault="00CD6AAB" w:rsidP="00255D10">
      <w:pPr>
        <w:pStyle w:val="Odstavecseseznamem"/>
        <w:ind w:left="851"/>
        <w:contextualSpacing w:val="0"/>
      </w:pPr>
      <w:r>
        <w:rPr>
          <w:b/>
          <w:bCs/>
        </w:rPr>
        <w:t xml:space="preserve">Horní a Dolní Vinohrádky </w:t>
      </w:r>
      <w:r>
        <w:t xml:space="preserve">jsou samostatnými </w:t>
      </w:r>
      <w:r w:rsidR="008755B0">
        <w:t xml:space="preserve">stabilizovanými </w:t>
      </w:r>
      <w:r>
        <w:t>chatovými osadami v údolí Zdiměřského potoka a jsou napojeny na místní část Dukla trasou od Zdiměřské hájovny.</w:t>
      </w:r>
    </w:p>
    <w:p w14:paraId="342D89DA" w14:textId="34D7C437" w:rsidR="00157054" w:rsidRDefault="00157054" w:rsidP="00255D10">
      <w:pPr>
        <w:pStyle w:val="Odstavecseseznamem"/>
        <w:ind w:left="851"/>
        <w:contextualSpacing w:val="0"/>
      </w:pPr>
      <w:r w:rsidRPr="00157054">
        <w:lastRenderedPageBreak/>
        <w:t xml:space="preserve">Rekreační usedlosti v krajině </w:t>
      </w:r>
      <w:r>
        <w:t>jsou územně stabilizovány a nepředpokládá se jejich plošný rozvoj.</w:t>
      </w:r>
    </w:p>
    <w:p w14:paraId="213CCAE8" w14:textId="148525DC" w:rsidR="003E038C" w:rsidRDefault="003E038C" w:rsidP="00255D10">
      <w:pPr>
        <w:pStyle w:val="Odstavecseseznamem"/>
        <w:numPr>
          <w:ilvl w:val="0"/>
          <w:numId w:val="135"/>
        </w:numPr>
        <w:ind w:left="851"/>
        <w:contextualSpacing w:val="0"/>
      </w:pPr>
      <w:r>
        <w:t>Nadmístní rekreační areály Hlubočky a Hrubá voda slouží především zimním sportům, minoritně i letním aktivitám. Areály jsou územně stabilizované, případný rozvoj lyžařských tras nebo vleků je přípustný v rámci stávajícího rozsahu areálů.</w:t>
      </w:r>
    </w:p>
    <w:p w14:paraId="4934C118" w14:textId="7DF4D090" w:rsidR="003E038C" w:rsidRDefault="003E038C" w:rsidP="00255D10">
      <w:pPr>
        <w:pStyle w:val="Odstavecseseznamem"/>
        <w:ind w:left="851"/>
        <w:contextualSpacing w:val="0"/>
      </w:pPr>
      <w:r>
        <w:t>Nadmístní rekreační areál biotop v Mariánském Údolí je určen pro letní aktivity a výhledově je předpokládán jeho rozvoj severním směrem.</w:t>
      </w:r>
    </w:p>
    <w:p w14:paraId="51177538" w14:textId="02B5BAA7" w:rsidR="00C618D9" w:rsidRDefault="00C618D9" w:rsidP="00255D10">
      <w:pPr>
        <w:pStyle w:val="Odstavecseseznamem"/>
        <w:numPr>
          <w:ilvl w:val="0"/>
          <w:numId w:val="135"/>
        </w:numPr>
        <w:ind w:left="851"/>
        <w:contextualSpacing w:val="0"/>
      </w:pPr>
      <w:r>
        <w:t>Těžiště, návsi nebo centra, místních částí jsou i přirozeným prostorem pro rozvoj místního občanského vybavení obecního významu. Do prostoru těžišť obce nebo v jejich blízkosti je orientováno stávající občanské vybavení obce. Rozvoj občanského vybavení v těchto místních jádrech posiluje polycentrický charakter obce s obsluhou vybavením navazující obytné zástavby.</w:t>
      </w:r>
      <w:r w:rsidR="00830A5D">
        <w:t xml:space="preserve"> Tento princip je výhodný i z hlediska dopravní obsluhy území a každodenního pohybu po lineárně uspořádané obci.</w:t>
      </w:r>
    </w:p>
    <w:p w14:paraId="12238037" w14:textId="46CC886A" w:rsidR="00F42BC2" w:rsidRDefault="00F42BC2" w:rsidP="00255D10">
      <w:pPr>
        <w:pStyle w:val="Odstavecseseznamem"/>
        <w:numPr>
          <w:ilvl w:val="0"/>
          <w:numId w:val="135"/>
        </w:numPr>
        <w:ind w:left="851"/>
        <w:contextualSpacing w:val="0"/>
      </w:pPr>
      <w:r>
        <w:t>Produkční areály jsou v Mariánském Údolí a na Dukle jsou územně stabilizovány a předpokládá se případný rozvoj v rámci těchto areálů. Návaznost produkčních areálu na obytnou zástavbu j</w:t>
      </w:r>
      <w:r w:rsidR="001609DB">
        <w:t>e zajištěna preferencí orientace administrativního zázemí, případně občanského vybavení, směrem do veřejných prostranství, na hranici areálů. Tento princip snižuje hygienické dopady provozu areálů na obytné prostředí a zároveň řeší estetické působení zástavby areálů na okolní obytné prostředí obce.</w:t>
      </w:r>
    </w:p>
    <w:p w14:paraId="3C933D59" w14:textId="5D5D5E18" w:rsidR="0055180C" w:rsidRDefault="0055180C" w:rsidP="00255D10">
      <w:pPr>
        <w:pStyle w:val="Odstavecseseznamem"/>
        <w:numPr>
          <w:ilvl w:val="0"/>
          <w:numId w:val="135"/>
        </w:numPr>
        <w:ind w:left="851"/>
        <w:contextualSpacing w:val="0"/>
      </w:pPr>
      <w:r>
        <w:t xml:space="preserve">Prvky kulturní krajiny, drobná architektura křížů, božích muk, zřícenin, památníků, bývalých lomů a štol atp. spoluvytváří obytnost krajiny Hluboček. Tyto stavby jsou kulturní a architektonickou hodnotou a jsou určeny k ochraně </w:t>
      </w:r>
      <w:r w:rsidR="00F7692B">
        <w:t>a zapojení do systému pěšího a rekreačního pohybu v krajině.</w:t>
      </w:r>
    </w:p>
    <w:p w14:paraId="322A567E" w14:textId="4B7E1E1F" w:rsidR="001D1E04" w:rsidRDefault="001D1E04" w:rsidP="00255D10">
      <w:pPr>
        <w:pStyle w:val="Odstavecseseznamem"/>
        <w:numPr>
          <w:ilvl w:val="0"/>
          <w:numId w:val="135"/>
        </w:numPr>
        <w:ind w:left="851"/>
        <w:contextualSpacing w:val="0"/>
      </w:pPr>
      <w:r>
        <w:t>K rozvoji zastavěného území obce</w:t>
      </w:r>
      <w:r w:rsidRPr="0069540D">
        <w:t xml:space="preserve"> jsou vymezeny následující transformační plochy:</w:t>
      </w:r>
    </w:p>
    <w:tbl>
      <w:tblPr>
        <w:tblW w:w="7796" w:type="dxa"/>
        <w:tblInd w:w="709" w:type="dxa"/>
        <w:tblCellMar>
          <w:left w:w="70" w:type="dxa"/>
          <w:right w:w="70" w:type="dxa"/>
        </w:tblCellMar>
        <w:tblLook w:val="04A0" w:firstRow="1" w:lastRow="0" w:firstColumn="1" w:lastColumn="0" w:noHBand="0" w:noVBand="1"/>
      </w:tblPr>
      <w:tblGrid>
        <w:gridCol w:w="709"/>
        <w:gridCol w:w="659"/>
        <w:gridCol w:w="2318"/>
        <w:gridCol w:w="4110"/>
      </w:tblGrid>
      <w:tr w:rsidR="001D1E04" w:rsidRPr="00BC2BB5" w14:paraId="6566F343" w14:textId="77777777" w:rsidTr="00BC2BB5">
        <w:trPr>
          <w:trHeight w:val="284"/>
          <w:tblHeader/>
        </w:trPr>
        <w:tc>
          <w:tcPr>
            <w:tcW w:w="709" w:type="dxa"/>
            <w:tcBorders>
              <w:top w:val="dotted" w:sz="4" w:space="0" w:color="auto"/>
              <w:left w:val="nil"/>
              <w:bottom w:val="dotted" w:sz="4" w:space="0" w:color="auto"/>
              <w:right w:val="nil"/>
            </w:tcBorders>
            <w:hideMark/>
          </w:tcPr>
          <w:p w14:paraId="0BB53BFA" w14:textId="77777777" w:rsidR="001D1E04" w:rsidRPr="00BC2BB5" w:rsidRDefault="001D1E04" w:rsidP="0013788E">
            <w:pPr>
              <w:spacing w:before="0" w:after="0"/>
              <w:ind w:left="0"/>
              <w:jc w:val="left"/>
              <w:rPr>
                <w:rFonts w:asciiTheme="minorHAnsi" w:hAnsiTheme="minorHAnsi" w:cstheme="minorHAnsi"/>
                <w:b/>
                <w:bCs/>
                <w:color w:val="000000"/>
                <w:sz w:val="17"/>
                <w:szCs w:val="17"/>
              </w:rPr>
            </w:pPr>
            <w:r w:rsidRPr="00BC2BB5">
              <w:rPr>
                <w:rFonts w:asciiTheme="minorHAnsi" w:hAnsiTheme="minorHAnsi" w:cstheme="minorHAnsi"/>
                <w:b/>
                <w:bCs/>
                <w:color w:val="000000"/>
                <w:sz w:val="17"/>
                <w:szCs w:val="17"/>
              </w:rPr>
              <w:t>číslo plochy</w:t>
            </w:r>
          </w:p>
        </w:tc>
        <w:tc>
          <w:tcPr>
            <w:tcW w:w="659" w:type="dxa"/>
            <w:tcBorders>
              <w:top w:val="dotted" w:sz="4" w:space="0" w:color="auto"/>
              <w:left w:val="nil"/>
              <w:bottom w:val="dotted" w:sz="4" w:space="0" w:color="auto"/>
              <w:right w:val="nil"/>
            </w:tcBorders>
            <w:hideMark/>
          </w:tcPr>
          <w:p w14:paraId="42CA96C0" w14:textId="77777777" w:rsidR="001D1E04" w:rsidRPr="00BC2BB5" w:rsidRDefault="001D1E04" w:rsidP="0013788E">
            <w:pPr>
              <w:spacing w:before="0" w:after="0"/>
              <w:ind w:left="0"/>
              <w:jc w:val="left"/>
              <w:rPr>
                <w:rFonts w:asciiTheme="minorHAnsi" w:hAnsiTheme="minorHAnsi" w:cstheme="minorHAnsi"/>
                <w:b/>
                <w:bCs/>
                <w:color w:val="000000"/>
                <w:sz w:val="17"/>
                <w:szCs w:val="17"/>
              </w:rPr>
            </w:pPr>
            <w:r w:rsidRPr="00BC2BB5">
              <w:rPr>
                <w:rFonts w:asciiTheme="minorHAnsi" w:hAnsiTheme="minorHAnsi" w:cstheme="minorHAnsi"/>
                <w:b/>
                <w:bCs/>
                <w:color w:val="000000"/>
                <w:sz w:val="17"/>
                <w:szCs w:val="17"/>
              </w:rPr>
              <w:t>kód využití</w:t>
            </w:r>
          </w:p>
        </w:tc>
        <w:tc>
          <w:tcPr>
            <w:tcW w:w="2318" w:type="dxa"/>
            <w:tcBorders>
              <w:top w:val="dotted" w:sz="4" w:space="0" w:color="auto"/>
              <w:left w:val="nil"/>
              <w:bottom w:val="dotted" w:sz="4" w:space="0" w:color="auto"/>
              <w:right w:val="nil"/>
            </w:tcBorders>
            <w:hideMark/>
          </w:tcPr>
          <w:p w14:paraId="71060EAD" w14:textId="594B1BF3" w:rsidR="001D1E04" w:rsidRPr="00BC2BB5" w:rsidRDefault="00EB365F" w:rsidP="0013788E">
            <w:pPr>
              <w:spacing w:before="0" w:after="0"/>
              <w:ind w:left="0"/>
              <w:jc w:val="left"/>
              <w:rPr>
                <w:rFonts w:asciiTheme="minorHAnsi" w:hAnsiTheme="minorHAnsi" w:cstheme="minorHAnsi"/>
                <w:b/>
                <w:bCs/>
                <w:color w:val="000000"/>
                <w:sz w:val="17"/>
                <w:szCs w:val="17"/>
              </w:rPr>
            </w:pPr>
            <w:r>
              <w:rPr>
                <w:rFonts w:asciiTheme="minorHAnsi" w:hAnsiTheme="minorHAnsi" w:cstheme="minorHAnsi"/>
                <w:b/>
                <w:bCs/>
                <w:color w:val="000000"/>
                <w:sz w:val="17"/>
                <w:szCs w:val="17"/>
              </w:rPr>
              <w:t>způsob</w:t>
            </w:r>
            <w:r w:rsidRPr="00FF1841">
              <w:rPr>
                <w:rFonts w:asciiTheme="minorHAnsi" w:hAnsiTheme="minorHAnsi" w:cstheme="minorHAnsi"/>
                <w:b/>
                <w:bCs/>
                <w:color w:val="000000"/>
                <w:sz w:val="17"/>
                <w:szCs w:val="17"/>
              </w:rPr>
              <w:t xml:space="preserve"> využití</w:t>
            </w:r>
          </w:p>
        </w:tc>
        <w:tc>
          <w:tcPr>
            <w:tcW w:w="4110" w:type="dxa"/>
            <w:tcBorders>
              <w:top w:val="dotted" w:sz="4" w:space="0" w:color="auto"/>
              <w:left w:val="nil"/>
              <w:bottom w:val="dotted" w:sz="4" w:space="0" w:color="auto"/>
              <w:right w:val="nil"/>
            </w:tcBorders>
            <w:hideMark/>
          </w:tcPr>
          <w:p w14:paraId="106DF544" w14:textId="755232BA" w:rsidR="001D1E04" w:rsidRPr="00BC2BB5" w:rsidRDefault="001D1E04" w:rsidP="0013788E">
            <w:pPr>
              <w:spacing w:before="0" w:after="0"/>
              <w:ind w:left="0"/>
              <w:jc w:val="left"/>
              <w:rPr>
                <w:rFonts w:asciiTheme="minorHAnsi" w:hAnsiTheme="minorHAnsi" w:cstheme="minorHAnsi"/>
                <w:b/>
                <w:bCs/>
                <w:color w:val="000000"/>
                <w:sz w:val="17"/>
                <w:szCs w:val="17"/>
              </w:rPr>
            </w:pPr>
            <w:r w:rsidRPr="00BC2BB5">
              <w:rPr>
                <w:rFonts w:asciiTheme="minorHAnsi" w:hAnsiTheme="minorHAnsi" w:cstheme="minorHAnsi"/>
                <w:b/>
                <w:bCs/>
                <w:color w:val="000000"/>
                <w:sz w:val="17"/>
                <w:szCs w:val="17"/>
              </w:rPr>
              <w:t>zd</w:t>
            </w:r>
            <w:r w:rsidR="00105BB6" w:rsidRPr="00BC2BB5">
              <w:rPr>
                <w:rFonts w:asciiTheme="minorHAnsi" w:hAnsiTheme="minorHAnsi" w:cstheme="minorHAnsi"/>
                <w:b/>
                <w:bCs/>
                <w:color w:val="000000"/>
                <w:sz w:val="17"/>
                <w:szCs w:val="17"/>
              </w:rPr>
              <w:t>ůvodnění vymezení</w:t>
            </w:r>
          </w:p>
        </w:tc>
      </w:tr>
      <w:tr w:rsidR="001D1E04" w:rsidRPr="00BC2BB5" w14:paraId="6C490B00" w14:textId="77777777" w:rsidTr="00BC2BB5">
        <w:trPr>
          <w:trHeight w:val="284"/>
        </w:trPr>
        <w:tc>
          <w:tcPr>
            <w:tcW w:w="709" w:type="dxa"/>
            <w:tcBorders>
              <w:top w:val="nil"/>
              <w:left w:val="nil"/>
              <w:bottom w:val="dotted" w:sz="4" w:space="0" w:color="auto"/>
              <w:right w:val="nil"/>
            </w:tcBorders>
            <w:hideMark/>
          </w:tcPr>
          <w:p w14:paraId="398F4F12" w14:textId="77777777" w:rsidR="001D1E04" w:rsidRPr="00BC2BB5" w:rsidRDefault="001D1E04" w:rsidP="0013788E">
            <w:pPr>
              <w:spacing w:before="0" w:after="0"/>
              <w:ind w:left="0"/>
              <w:jc w:val="left"/>
              <w:rPr>
                <w:rFonts w:asciiTheme="minorHAnsi" w:hAnsiTheme="minorHAnsi" w:cstheme="minorHAnsi"/>
                <w:bCs/>
                <w:color w:val="000000"/>
                <w:sz w:val="17"/>
                <w:szCs w:val="17"/>
              </w:rPr>
            </w:pPr>
            <w:r w:rsidRPr="00BC2BB5">
              <w:rPr>
                <w:rFonts w:asciiTheme="minorHAnsi" w:hAnsiTheme="minorHAnsi" w:cstheme="minorHAnsi"/>
                <w:bCs/>
                <w:color w:val="000000"/>
                <w:sz w:val="17"/>
                <w:szCs w:val="17"/>
              </w:rPr>
              <w:t>T.01-1</w:t>
            </w:r>
          </w:p>
        </w:tc>
        <w:tc>
          <w:tcPr>
            <w:tcW w:w="659" w:type="dxa"/>
            <w:tcBorders>
              <w:top w:val="nil"/>
              <w:left w:val="nil"/>
              <w:bottom w:val="dotted" w:sz="4" w:space="0" w:color="auto"/>
              <w:right w:val="nil"/>
            </w:tcBorders>
            <w:hideMark/>
          </w:tcPr>
          <w:p w14:paraId="49D9376F" w14:textId="77777777" w:rsidR="001D1E04" w:rsidRPr="00BC2BB5" w:rsidRDefault="001D1E04" w:rsidP="0013788E">
            <w:pPr>
              <w:spacing w:before="0" w:after="0"/>
              <w:ind w:left="0"/>
              <w:jc w:val="left"/>
              <w:rPr>
                <w:rFonts w:asciiTheme="minorHAnsi" w:hAnsiTheme="minorHAnsi" w:cstheme="minorHAnsi"/>
                <w:bCs/>
                <w:color w:val="000000"/>
                <w:sz w:val="17"/>
                <w:szCs w:val="17"/>
              </w:rPr>
            </w:pPr>
            <w:r w:rsidRPr="00BC2BB5">
              <w:rPr>
                <w:rFonts w:asciiTheme="minorHAnsi" w:hAnsiTheme="minorHAnsi" w:cstheme="minorHAnsi"/>
                <w:bCs/>
                <w:color w:val="000000"/>
                <w:sz w:val="17"/>
                <w:szCs w:val="17"/>
              </w:rPr>
              <w:t>RX</w:t>
            </w:r>
          </w:p>
        </w:tc>
        <w:tc>
          <w:tcPr>
            <w:tcW w:w="2318" w:type="dxa"/>
            <w:tcBorders>
              <w:top w:val="nil"/>
              <w:left w:val="nil"/>
              <w:bottom w:val="dotted" w:sz="4" w:space="0" w:color="auto"/>
              <w:right w:val="nil"/>
            </w:tcBorders>
            <w:hideMark/>
          </w:tcPr>
          <w:p w14:paraId="2D308B9F" w14:textId="77777777" w:rsidR="001D1E04" w:rsidRPr="00BC2BB5" w:rsidRDefault="001D1E04" w:rsidP="0013788E">
            <w:pPr>
              <w:spacing w:before="0" w:after="0"/>
              <w:ind w:left="0"/>
              <w:jc w:val="left"/>
              <w:rPr>
                <w:rFonts w:asciiTheme="minorHAnsi" w:hAnsiTheme="minorHAnsi" w:cstheme="minorHAnsi"/>
                <w:bCs/>
                <w:color w:val="000000"/>
                <w:sz w:val="17"/>
                <w:szCs w:val="17"/>
              </w:rPr>
            </w:pPr>
            <w:r w:rsidRPr="00BC2BB5">
              <w:rPr>
                <w:rFonts w:asciiTheme="minorHAnsi" w:hAnsiTheme="minorHAnsi" w:cstheme="minorHAnsi"/>
                <w:bCs/>
                <w:color w:val="000000"/>
                <w:sz w:val="17"/>
                <w:szCs w:val="17"/>
              </w:rPr>
              <w:t>rekreace jiná – rekreační areály</w:t>
            </w:r>
          </w:p>
        </w:tc>
        <w:tc>
          <w:tcPr>
            <w:tcW w:w="4110" w:type="dxa"/>
            <w:tcBorders>
              <w:top w:val="nil"/>
              <w:left w:val="nil"/>
              <w:bottom w:val="dotted" w:sz="4" w:space="0" w:color="auto"/>
              <w:right w:val="nil"/>
            </w:tcBorders>
          </w:tcPr>
          <w:p w14:paraId="6C0A023C" w14:textId="62D1F499" w:rsidR="001D1E04" w:rsidRPr="004912B2" w:rsidRDefault="00BC2BB5" w:rsidP="00FB2164">
            <w:pPr>
              <w:pStyle w:val="Odstavecseseznamem"/>
              <w:numPr>
                <w:ilvl w:val="0"/>
                <w:numId w:val="18"/>
              </w:numPr>
              <w:spacing w:before="0" w:after="0"/>
              <w:ind w:left="208" w:hanging="208"/>
              <w:rPr>
                <w:rFonts w:cs="Calibri"/>
                <w:sz w:val="17"/>
                <w:szCs w:val="17"/>
              </w:rPr>
            </w:pPr>
            <w:r w:rsidRPr="004912B2">
              <w:rPr>
                <w:rFonts w:cs="Calibri"/>
                <w:sz w:val="17"/>
                <w:szCs w:val="17"/>
              </w:rPr>
              <w:t>plocha je součástí zastavěného území obce</w:t>
            </w:r>
            <w:r w:rsidR="00EB365F" w:rsidRPr="004912B2">
              <w:rPr>
                <w:rFonts w:cs="Calibri"/>
                <w:sz w:val="17"/>
                <w:szCs w:val="17"/>
              </w:rPr>
              <w:t>,</w:t>
            </w:r>
          </w:p>
          <w:p w14:paraId="31E56B7F" w14:textId="6E155833" w:rsidR="00BC2BB5" w:rsidRPr="004912B2" w:rsidRDefault="00BC2BB5" w:rsidP="00FB2164">
            <w:pPr>
              <w:pStyle w:val="Odstavecseseznamem"/>
              <w:numPr>
                <w:ilvl w:val="0"/>
                <w:numId w:val="18"/>
              </w:numPr>
              <w:spacing w:before="0" w:after="0"/>
              <w:ind w:left="208" w:hanging="208"/>
              <w:rPr>
                <w:rFonts w:cs="Calibri"/>
                <w:sz w:val="17"/>
                <w:szCs w:val="17"/>
              </w:rPr>
            </w:pPr>
            <w:r w:rsidRPr="004912B2">
              <w:rPr>
                <w:rFonts w:cs="Calibri"/>
                <w:sz w:val="17"/>
                <w:szCs w:val="17"/>
              </w:rPr>
              <w:t>plocha je vymezena jako návrhová plocha pro rekreaci, sport a občanské vybavení předchozím ÚP Hlubočky (O6)</w:t>
            </w:r>
            <w:r w:rsidR="00EB365F" w:rsidRPr="004912B2">
              <w:rPr>
                <w:rFonts w:cs="Calibri"/>
                <w:sz w:val="17"/>
                <w:szCs w:val="17"/>
              </w:rPr>
              <w:t>,</w:t>
            </w:r>
          </w:p>
          <w:p w14:paraId="3A6914A0" w14:textId="24BF64E0" w:rsidR="00BC2BB5" w:rsidRPr="004912B2" w:rsidRDefault="00BC2BB5" w:rsidP="00FB2164">
            <w:pPr>
              <w:pStyle w:val="Odstavecseseznamem"/>
              <w:numPr>
                <w:ilvl w:val="0"/>
                <w:numId w:val="18"/>
              </w:numPr>
              <w:spacing w:before="0" w:after="0"/>
              <w:ind w:left="208" w:hanging="208"/>
              <w:rPr>
                <w:rFonts w:asciiTheme="minorHAnsi" w:hAnsiTheme="minorHAnsi" w:cstheme="minorHAnsi"/>
                <w:bCs/>
                <w:color w:val="000000"/>
                <w:sz w:val="17"/>
                <w:szCs w:val="17"/>
              </w:rPr>
            </w:pPr>
            <w:r w:rsidRPr="004912B2">
              <w:rPr>
                <w:rFonts w:cs="Calibri"/>
                <w:sz w:val="17"/>
                <w:szCs w:val="17"/>
              </w:rPr>
              <w:t>změna využití plochy je stanovena z důvodu rozvoje nadmístního rekreačního areálu Mariánské Údolí a</w:t>
            </w:r>
            <w:r w:rsidR="00FB2164" w:rsidRPr="004912B2">
              <w:rPr>
                <w:rFonts w:cs="Calibri"/>
                <w:sz w:val="17"/>
                <w:szCs w:val="17"/>
              </w:rPr>
              <w:t> </w:t>
            </w:r>
            <w:r w:rsidRPr="004912B2">
              <w:rPr>
                <w:rFonts w:cs="Calibri"/>
                <w:sz w:val="17"/>
                <w:szCs w:val="17"/>
              </w:rPr>
              <w:t>navazuje na areál přírodního koupaliště Burk, rozvoj nadmístního rekreačního areálu představuje veřejný zájem obce.</w:t>
            </w:r>
          </w:p>
        </w:tc>
      </w:tr>
      <w:tr w:rsidR="001D1E04" w:rsidRPr="00BC2BB5" w14:paraId="61B3AD90" w14:textId="77777777" w:rsidTr="00BC2BB5">
        <w:trPr>
          <w:trHeight w:val="284"/>
        </w:trPr>
        <w:tc>
          <w:tcPr>
            <w:tcW w:w="709" w:type="dxa"/>
            <w:tcBorders>
              <w:top w:val="nil"/>
              <w:left w:val="nil"/>
              <w:bottom w:val="dotted" w:sz="4" w:space="0" w:color="auto"/>
              <w:right w:val="nil"/>
            </w:tcBorders>
            <w:hideMark/>
          </w:tcPr>
          <w:p w14:paraId="4937E6C7" w14:textId="77777777" w:rsidR="001D1E04" w:rsidRPr="00BC2BB5" w:rsidRDefault="001D1E04" w:rsidP="0013788E">
            <w:pPr>
              <w:spacing w:before="0" w:after="0"/>
              <w:ind w:left="0"/>
              <w:jc w:val="left"/>
              <w:rPr>
                <w:rFonts w:asciiTheme="minorHAnsi" w:hAnsiTheme="minorHAnsi" w:cstheme="minorHAnsi"/>
                <w:bCs/>
                <w:color w:val="000000"/>
                <w:sz w:val="17"/>
                <w:szCs w:val="17"/>
              </w:rPr>
            </w:pPr>
            <w:r w:rsidRPr="00BC2BB5">
              <w:rPr>
                <w:rFonts w:asciiTheme="minorHAnsi" w:hAnsiTheme="minorHAnsi" w:cstheme="minorHAnsi"/>
                <w:bCs/>
                <w:color w:val="000000"/>
                <w:sz w:val="17"/>
                <w:szCs w:val="17"/>
              </w:rPr>
              <w:t>T.01-10</w:t>
            </w:r>
          </w:p>
        </w:tc>
        <w:tc>
          <w:tcPr>
            <w:tcW w:w="659" w:type="dxa"/>
            <w:tcBorders>
              <w:top w:val="nil"/>
              <w:left w:val="nil"/>
              <w:bottom w:val="dotted" w:sz="4" w:space="0" w:color="auto"/>
              <w:right w:val="nil"/>
            </w:tcBorders>
            <w:hideMark/>
          </w:tcPr>
          <w:p w14:paraId="009D29CD" w14:textId="77777777" w:rsidR="001D1E04" w:rsidRPr="00BC2BB5" w:rsidRDefault="001D1E04" w:rsidP="0013788E">
            <w:pPr>
              <w:spacing w:before="0" w:after="0"/>
              <w:ind w:left="0"/>
              <w:jc w:val="left"/>
              <w:rPr>
                <w:rFonts w:asciiTheme="minorHAnsi" w:hAnsiTheme="minorHAnsi" w:cstheme="minorHAnsi"/>
                <w:bCs/>
                <w:color w:val="000000"/>
                <w:sz w:val="17"/>
                <w:szCs w:val="17"/>
              </w:rPr>
            </w:pPr>
            <w:r w:rsidRPr="00BC2BB5">
              <w:rPr>
                <w:rFonts w:asciiTheme="minorHAnsi" w:hAnsiTheme="minorHAnsi" w:cstheme="minorHAnsi"/>
                <w:bCs/>
                <w:color w:val="000000"/>
                <w:sz w:val="17"/>
                <w:szCs w:val="17"/>
              </w:rPr>
              <w:t>TU</w:t>
            </w:r>
          </w:p>
        </w:tc>
        <w:tc>
          <w:tcPr>
            <w:tcW w:w="2318" w:type="dxa"/>
            <w:tcBorders>
              <w:top w:val="nil"/>
              <w:left w:val="nil"/>
              <w:bottom w:val="dotted" w:sz="4" w:space="0" w:color="auto"/>
              <w:right w:val="nil"/>
            </w:tcBorders>
            <w:hideMark/>
          </w:tcPr>
          <w:p w14:paraId="28595838" w14:textId="77777777" w:rsidR="001D1E04" w:rsidRPr="00BC2BB5" w:rsidRDefault="001D1E04" w:rsidP="0013788E">
            <w:pPr>
              <w:spacing w:before="0" w:after="0"/>
              <w:ind w:left="0"/>
              <w:jc w:val="left"/>
              <w:rPr>
                <w:rFonts w:asciiTheme="minorHAnsi" w:hAnsiTheme="minorHAnsi" w:cstheme="minorHAnsi"/>
                <w:bCs/>
                <w:color w:val="000000"/>
                <w:sz w:val="17"/>
                <w:szCs w:val="17"/>
              </w:rPr>
            </w:pPr>
            <w:r w:rsidRPr="00BC2BB5">
              <w:rPr>
                <w:rFonts w:asciiTheme="minorHAnsi" w:hAnsiTheme="minorHAnsi" w:cstheme="minorHAnsi"/>
                <w:bCs/>
                <w:color w:val="000000"/>
                <w:sz w:val="17"/>
                <w:szCs w:val="17"/>
              </w:rPr>
              <w:t>technická infrastruktura všeobecná</w:t>
            </w:r>
          </w:p>
        </w:tc>
        <w:tc>
          <w:tcPr>
            <w:tcW w:w="4110" w:type="dxa"/>
            <w:tcBorders>
              <w:top w:val="nil"/>
              <w:left w:val="nil"/>
              <w:bottom w:val="dotted" w:sz="4" w:space="0" w:color="auto"/>
              <w:right w:val="nil"/>
            </w:tcBorders>
          </w:tcPr>
          <w:p w14:paraId="0A143EAE" w14:textId="7D567835" w:rsidR="00EB365F" w:rsidRPr="004912B2" w:rsidRDefault="00EB365F" w:rsidP="00EB365F">
            <w:pPr>
              <w:pStyle w:val="Odstavecseseznamem"/>
              <w:numPr>
                <w:ilvl w:val="0"/>
                <w:numId w:val="18"/>
              </w:numPr>
              <w:spacing w:before="0" w:after="0"/>
              <w:ind w:left="208" w:hanging="208"/>
              <w:rPr>
                <w:rFonts w:cs="Calibri"/>
                <w:sz w:val="17"/>
                <w:szCs w:val="17"/>
              </w:rPr>
            </w:pPr>
            <w:r w:rsidRPr="004912B2">
              <w:rPr>
                <w:rFonts w:cs="Calibri"/>
                <w:sz w:val="17"/>
                <w:szCs w:val="17"/>
              </w:rPr>
              <w:t xml:space="preserve">plocha je součástí zastavěného území obce, </w:t>
            </w:r>
          </w:p>
          <w:p w14:paraId="45B54139" w14:textId="54A02363" w:rsidR="00EB365F" w:rsidRPr="004912B2" w:rsidRDefault="00EB365F" w:rsidP="00EB365F">
            <w:pPr>
              <w:pStyle w:val="Odstavecseseznamem"/>
              <w:numPr>
                <w:ilvl w:val="0"/>
                <w:numId w:val="18"/>
              </w:numPr>
              <w:spacing w:before="0" w:after="0"/>
              <w:ind w:left="208" w:hanging="208"/>
              <w:rPr>
                <w:rFonts w:cs="Calibri"/>
                <w:sz w:val="17"/>
                <w:szCs w:val="17"/>
              </w:rPr>
            </w:pPr>
            <w:r w:rsidRPr="004912B2">
              <w:rPr>
                <w:rFonts w:cs="Calibri"/>
                <w:sz w:val="17"/>
                <w:szCs w:val="17"/>
              </w:rPr>
              <w:t>plocha neslouží k zemědělskému využití,</w:t>
            </w:r>
          </w:p>
          <w:p w14:paraId="55940165" w14:textId="5C479628" w:rsidR="00EB365F" w:rsidRPr="004912B2" w:rsidRDefault="00EB365F" w:rsidP="00EB365F">
            <w:pPr>
              <w:pStyle w:val="Odstavecseseznamem"/>
              <w:numPr>
                <w:ilvl w:val="0"/>
                <w:numId w:val="18"/>
              </w:numPr>
              <w:spacing w:before="0" w:after="0"/>
              <w:ind w:left="208" w:hanging="208"/>
              <w:rPr>
                <w:rFonts w:cs="Calibri"/>
                <w:sz w:val="17"/>
                <w:szCs w:val="17"/>
              </w:rPr>
            </w:pPr>
            <w:r w:rsidRPr="004912B2">
              <w:rPr>
                <w:rFonts w:cs="Calibri"/>
                <w:sz w:val="17"/>
                <w:szCs w:val="17"/>
              </w:rPr>
              <w:t>plocha je vymezena pro technickou infrastrukturu předchozím ÚP Hlubočky (plocha T5),</w:t>
            </w:r>
          </w:p>
          <w:p w14:paraId="069A1F69" w14:textId="0CA6D3DC" w:rsidR="001D1E04" w:rsidRPr="004912B2" w:rsidRDefault="00EB365F" w:rsidP="00EB365F">
            <w:pPr>
              <w:pStyle w:val="Odstavecseseznamem"/>
              <w:numPr>
                <w:ilvl w:val="0"/>
                <w:numId w:val="18"/>
              </w:numPr>
              <w:spacing w:before="0" w:after="0"/>
              <w:ind w:left="208" w:hanging="208"/>
              <w:rPr>
                <w:rFonts w:cs="Calibri"/>
                <w:sz w:val="17"/>
                <w:szCs w:val="17"/>
              </w:rPr>
            </w:pPr>
            <w:r w:rsidRPr="004912B2">
              <w:rPr>
                <w:rFonts w:cs="Calibri"/>
                <w:sz w:val="17"/>
                <w:szCs w:val="17"/>
              </w:rPr>
              <w:t>plocha je vymezena jako prostorová rezerva pro</w:t>
            </w:r>
            <w:r w:rsidR="004C39FB" w:rsidRPr="004912B2">
              <w:rPr>
                <w:rFonts w:cs="Calibri"/>
                <w:sz w:val="17"/>
                <w:szCs w:val="17"/>
              </w:rPr>
              <w:t> </w:t>
            </w:r>
            <w:r w:rsidRPr="004912B2">
              <w:rPr>
                <w:rFonts w:cs="Calibri"/>
                <w:sz w:val="17"/>
                <w:szCs w:val="17"/>
              </w:rPr>
              <w:t>zkapacitnění stávající ČOV.</w:t>
            </w:r>
          </w:p>
        </w:tc>
      </w:tr>
      <w:tr w:rsidR="00EB365F" w:rsidRPr="00BC2BB5" w14:paraId="077F41BB" w14:textId="77777777" w:rsidTr="002D3C34">
        <w:trPr>
          <w:trHeight w:val="284"/>
        </w:trPr>
        <w:tc>
          <w:tcPr>
            <w:tcW w:w="7796" w:type="dxa"/>
            <w:gridSpan w:val="4"/>
            <w:tcBorders>
              <w:top w:val="nil"/>
              <w:left w:val="nil"/>
              <w:bottom w:val="dotted" w:sz="4" w:space="0" w:color="auto"/>
              <w:right w:val="nil"/>
            </w:tcBorders>
          </w:tcPr>
          <w:p w14:paraId="56F170BF" w14:textId="025DC243" w:rsidR="00EB365F" w:rsidRPr="00BC2BB5" w:rsidRDefault="00EB365F" w:rsidP="0013788E">
            <w:pPr>
              <w:spacing w:before="0" w:after="0"/>
              <w:ind w:left="0"/>
              <w:jc w:val="left"/>
              <w:rPr>
                <w:rFonts w:asciiTheme="minorHAnsi" w:hAnsiTheme="minorHAnsi" w:cstheme="minorHAnsi"/>
                <w:bCs/>
                <w:color w:val="000000"/>
                <w:sz w:val="17"/>
                <w:szCs w:val="17"/>
              </w:rPr>
            </w:pPr>
            <w:r w:rsidRPr="00AE233A">
              <w:rPr>
                <w:rFonts w:asciiTheme="minorHAnsi" w:hAnsiTheme="minorHAnsi" w:cstheme="minorHAnsi"/>
                <w:b/>
                <w:color w:val="000000"/>
                <w:sz w:val="17"/>
                <w:szCs w:val="17"/>
              </w:rPr>
              <w:t>L.02 Hlubočky</w:t>
            </w:r>
          </w:p>
        </w:tc>
      </w:tr>
      <w:tr w:rsidR="001D1E04" w:rsidRPr="00BC2BB5" w14:paraId="39A6B120" w14:textId="77777777" w:rsidTr="00BC2BB5">
        <w:trPr>
          <w:trHeight w:val="284"/>
        </w:trPr>
        <w:tc>
          <w:tcPr>
            <w:tcW w:w="709" w:type="dxa"/>
            <w:tcBorders>
              <w:top w:val="nil"/>
              <w:left w:val="nil"/>
              <w:bottom w:val="dotted" w:sz="4" w:space="0" w:color="auto"/>
              <w:right w:val="nil"/>
            </w:tcBorders>
            <w:hideMark/>
          </w:tcPr>
          <w:p w14:paraId="4516482A" w14:textId="77777777" w:rsidR="001D1E04" w:rsidRPr="00BC2BB5" w:rsidRDefault="001D1E04" w:rsidP="0013788E">
            <w:pPr>
              <w:spacing w:before="0" w:after="0"/>
              <w:ind w:left="0"/>
              <w:jc w:val="left"/>
              <w:rPr>
                <w:rFonts w:asciiTheme="minorHAnsi" w:hAnsiTheme="minorHAnsi" w:cstheme="minorHAnsi"/>
                <w:bCs/>
                <w:color w:val="000000"/>
                <w:sz w:val="17"/>
                <w:szCs w:val="17"/>
              </w:rPr>
            </w:pPr>
            <w:r w:rsidRPr="00BC2BB5">
              <w:rPr>
                <w:rFonts w:asciiTheme="minorHAnsi" w:hAnsiTheme="minorHAnsi" w:cstheme="minorHAnsi"/>
                <w:bCs/>
                <w:color w:val="000000"/>
                <w:sz w:val="17"/>
                <w:szCs w:val="17"/>
              </w:rPr>
              <w:t>T.02-1</w:t>
            </w:r>
          </w:p>
        </w:tc>
        <w:tc>
          <w:tcPr>
            <w:tcW w:w="659" w:type="dxa"/>
            <w:tcBorders>
              <w:top w:val="nil"/>
              <w:left w:val="nil"/>
              <w:bottom w:val="dotted" w:sz="4" w:space="0" w:color="auto"/>
              <w:right w:val="nil"/>
            </w:tcBorders>
            <w:hideMark/>
          </w:tcPr>
          <w:p w14:paraId="02DB4323" w14:textId="77777777" w:rsidR="001D1E04" w:rsidRPr="00BC2BB5" w:rsidRDefault="001D1E04" w:rsidP="0013788E">
            <w:pPr>
              <w:spacing w:before="0" w:after="0"/>
              <w:ind w:left="0"/>
              <w:jc w:val="left"/>
              <w:rPr>
                <w:rFonts w:asciiTheme="minorHAnsi" w:hAnsiTheme="minorHAnsi" w:cstheme="minorHAnsi"/>
                <w:bCs/>
                <w:color w:val="000000"/>
                <w:sz w:val="17"/>
                <w:szCs w:val="17"/>
              </w:rPr>
            </w:pPr>
            <w:r w:rsidRPr="00BC2BB5">
              <w:rPr>
                <w:rFonts w:asciiTheme="minorHAnsi" w:hAnsiTheme="minorHAnsi" w:cstheme="minorHAnsi"/>
                <w:bCs/>
                <w:color w:val="000000"/>
                <w:sz w:val="17"/>
                <w:szCs w:val="17"/>
              </w:rPr>
              <w:t>SV</w:t>
            </w:r>
          </w:p>
        </w:tc>
        <w:tc>
          <w:tcPr>
            <w:tcW w:w="2318" w:type="dxa"/>
            <w:tcBorders>
              <w:top w:val="nil"/>
              <w:left w:val="nil"/>
              <w:bottom w:val="dotted" w:sz="4" w:space="0" w:color="auto"/>
              <w:right w:val="nil"/>
            </w:tcBorders>
            <w:hideMark/>
          </w:tcPr>
          <w:p w14:paraId="30AB3AF5" w14:textId="77777777" w:rsidR="001D1E04" w:rsidRPr="00BC2BB5" w:rsidRDefault="001D1E04" w:rsidP="0013788E">
            <w:pPr>
              <w:spacing w:before="0" w:after="0"/>
              <w:ind w:left="0"/>
              <w:jc w:val="left"/>
              <w:rPr>
                <w:rFonts w:asciiTheme="minorHAnsi" w:hAnsiTheme="minorHAnsi" w:cstheme="minorHAnsi"/>
                <w:bCs/>
                <w:color w:val="000000"/>
                <w:sz w:val="17"/>
                <w:szCs w:val="17"/>
              </w:rPr>
            </w:pPr>
            <w:r w:rsidRPr="00BC2BB5">
              <w:rPr>
                <w:rFonts w:asciiTheme="minorHAnsi" w:hAnsiTheme="minorHAnsi" w:cstheme="minorHAnsi"/>
                <w:bCs/>
                <w:color w:val="000000"/>
                <w:sz w:val="17"/>
                <w:szCs w:val="17"/>
              </w:rPr>
              <w:t>smíšené obytné venkovské</w:t>
            </w:r>
          </w:p>
        </w:tc>
        <w:tc>
          <w:tcPr>
            <w:tcW w:w="4110" w:type="dxa"/>
            <w:tcBorders>
              <w:top w:val="nil"/>
              <w:left w:val="nil"/>
              <w:bottom w:val="dotted" w:sz="4" w:space="0" w:color="auto"/>
              <w:right w:val="nil"/>
            </w:tcBorders>
          </w:tcPr>
          <w:p w14:paraId="37E3C4B9" w14:textId="3CC76632" w:rsidR="00FE4FCD" w:rsidRPr="00FE4FCD" w:rsidRDefault="00FE4FCD" w:rsidP="00FE4FCD">
            <w:pPr>
              <w:pStyle w:val="Odstavecseseznamem"/>
              <w:numPr>
                <w:ilvl w:val="0"/>
                <w:numId w:val="18"/>
              </w:numPr>
              <w:spacing w:before="0" w:after="0"/>
              <w:ind w:left="208" w:hanging="208"/>
              <w:rPr>
                <w:rFonts w:cs="Calibri"/>
                <w:sz w:val="17"/>
                <w:szCs w:val="17"/>
              </w:rPr>
            </w:pPr>
            <w:r w:rsidRPr="00FE4FCD">
              <w:rPr>
                <w:rFonts w:cs="Calibri"/>
                <w:sz w:val="17"/>
                <w:szCs w:val="17"/>
              </w:rPr>
              <w:t>plocha je součástí zastavěného území obce,</w:t>
            </w:r>
          </w:p>
          <w:p w14:paraId="37FECAA5" w14:textId="2F65DC52" w:rsidR="00FE4FCD" w:rsidRPr="00FE4FCD" w:rsidRDefault="00FE4FCD" w:rsidP="00FE4FCD">
            <w:pPr>
              <w:pStyle w:val="Odstavecseseznamem"/>
              <w:numPr>
                <w:ilvl w:val="0"/>
                <w:numId w:val="18"/>
              </w:numPr>
              <w:spacing w:before="0" w:after="0"/>
              <w:ind w:left="208" w:hanging="208"/>
              <w:rPr>
                <w:rFonts w:cs="Calibri"/>
                <w:sz w:val="17"/>
                <w:szCs w:val="17"/>
              </w:rPr>
            </w:pPr>
            <w:r w:rsidRPr="00FE4FCD">
              <w:rPr>
                <w:rFonts w:cs="Calibri"/>
                <w:sz w:val="17"/>
                <w:szCs w:val="17"/>
              </w:rPr>
              <w:t>plocha je stabilizována pro bydlení předchozím ÚP Hlubočky,</w:t>
            </w:r>
          </w:p>
          <w:p w14:paraId="3401870C" w14:textId="36A290DA" w:rsidR="001D1E04" w:rsidRPr="00BC2BB5" w:rsidRDefault="00FE4FCD" w:rsidP="00366828">
            <w:pPr>
              <w:pStyle w:val="Odstavecseseznamem"/>
              <w:numPr>
                <w:ilvl w:val="0"/>
                <w:numId w:val="18"/>
              </w:numPr>
              <w:spacing w:before="0" w:after="0"/>
              <w:ind w:left="208" w:hanging="208"/>
              <w:rPr>
                <w:rFonts w:asciiTheme="minorHAnsi" w:hAnsiTheme="minorHAnsi" w:cstheme="minorHAnsi"/>
                <w:bCs/>
                <w:color w:val="000000"/>
                <w:sz w:val="17"/>
                <w:szCs w:val="17"/>
              </w:rPr>
            </w:pPr>
            <w:r w:rsidRPr="00FE4FCD">
              <w:rPr>
                <w:rFonts w:cs="Calibri"/>
                <w:sz w:val="17"/>
                <w:szCs w:val="17"/>
              </w:rPr>
              <w:t>změna využití plochy je stanovena z důvodu koordinace řešení urbanistické koncepce US.02-1 společně s plochou Z.02-1</w:t>
            </w:r>
            <w:r w:rsidR="00366828">
              <w:rPr>
                <w:rFonts w:cs="Calibri"/>
                <w:sz w:val="17"/>
                <w:szCs w:val="17"/>
              </w:rPr>
              <w:t>.</w:t>
            </w:r>
          </w:p>
        </w:tc>
      </w:tr>
      <w:tr w:rsidR="001D1E04" w:rsidRPr="00BC2BB5" w14:paraId="4216122F" w14:textId="77777777" w:rsidTr="00BC2BB5">
        <w:trPr>
          <w:trHeight w:val="284"/>
        </w:trPr>
        <w:tc>
          <w:tcPr>
            <w:tcW w:w="709" w:type="dxa"/>
            <w:tcBorders>
              <w:top w:val="nil"/>
              <w:left w:val="nil"/>
              <w:bottom w:val="dotted" w:sz="4" w:space="0" w:color="auto"/>
              <w:right w:val="nil"/>
            </w:tcBorders>
          </w:tcPr>
          <w:p w14:paraId="4AE5E354" w14:textId="77777777" w:rsidR="001D1E04" w:rsidRPr="00BC2BB5" w:rsidRDefault="001D1E04" w:rsidP="0013788E">
            <w:pPr>
              <w:spacing w:before="0" w:after="0"/>
              <w:ind w:left="0"/>
              <w:jc w:val="left"/>
              <w:rPr>
                <w:rFonts w:asciiTheme="minorHAnsi" w:hAnsiTheme="minorHAnsi" w:cstheme="minorHAnsi"/>
                <w:bCs/>
                <w:color w:val="000000"/>
                <w:sz w:val="17"/>
                <w:szCs w:val="17"/>
              </w:rPr>
            </w:pPr>
            <w:r w:rsidRPr="00BC2BB5">
              <w:rPr>
                <w:rFonts w:asciiTheme="minorHAnsi" w:hAnsiTheme="minorHAnsi" w:cstheme="minorHAnsi"/>
                <w:bCs/>
                <w:color w:val="000000"/>
                <w:sz w:val="17"/>
                <w:szCs w:val="17"/>
              </w:rPr>
              <w:t>T.02-2</w:t>
            </w:r>
          </w:p>
        </w:tc>
        <w:tc>
          <w:tcPr>
            <w:tcW w:w="659" w:type="dxa"/>
            <w:tcBorders>
              <w:top w:val="nil"/>
              <w:left w:val="nil"/>
              <w:bottom w:val="dotted" w:sz="4" w:space="0" w:color="auto"/>
              <w:right w:val="nil"/>
            </w:tcBorders>
          </w:tcPr>
          <w:p w14:paraId="704EEB06" w14:textId="77777777" w:rsidR="001D1E04" w:rsidRPr="00BC2BB5" w:rsidRDefault="001D1E04" w:rsidP="0013788E">
            <w:pPr>
              <w:spacing w:before="0" w:after="0"/>
              <w:ind w:left="0"/>
              <w:jc w:val="left"/>
              <w:rPr>
                <w:rFonts w:asciiTheme="minorHAnsi" w:hAnsiTheme="minorHAnsi" w:cstheme="minorHAnsi"/>
                <w:bCs/>
                <w:color w:val="000000"/>
                <w:sz w:val="17"/>
                <w:szCs w:val="17"/>
              </w:rPr>
            </w:pPr>
            <w:r w:rsidRPr="00BC2BB5">
              <w:rPr>
                <w:rFonts w:asciiTheme="minorHAnsi" w:hAnsiTheme="minorHAnsi" w:cstheme="minorHAnsi"/>
                <w:bCs/>
                <w:color w:val="000000"/>
                <w:sz w:val="17"/>
                <w:szCs w:val="17"/>
              </w:rPr>
              <w:t>SV</w:t>
            </w:r>
          </w:p>
        </w:tc>
        <w:tc>
          <w:tcPr>
            <w:tcW w:w="2318" w:type="dxa"/>
            <w:tcBorders>
              <w:top w:val="nil"/>
              <w:left w:val="nil"/>
              <w:bottom w:val="dotted" w:sz="4" w:space="0" w:color="auto"/>
              <w:right w:val="nil"/>
            </w:tcBorders>
          </w:tcPr>
          <w:p w14:paraId="1E9B3965" w14:textId="77777777" w:rsidR="001D1E04" w:rsidRPr="00BC2BB5" w:rsidRDefault="001D1E04" w:rsidP="0013788E">
            <w:pPr>
              <w:spacing w:before="0" w:after="0"/>
              <w:ind w:left="0"/>
              <w:jc w:val="left"/>
              <w:rPr>
                <w:rFonts w:asciiTheme="minorHAnsi" w:hAnsiTheme="minorHAnsi" w:cstheme="minorHAnsi"/>
                <w:bCs/>
                <w:color w:val="000000"/>
                <w:sz w:val="17"/>
                <w:szCs w:val="17"/>
              </w:rPr>
            </w:pPr>
            <w:r w:rsidRPr="00BC2BB5">
              <w:rPr>
                <w:rFonts w:asciiTheme="minorHAnsi" w:hAnsiTheme="minorHAnsi" w:cstheme="minorHAnsi"/>
                <w:bCs/>
                <w:color w:val="000000"/>
                <w:sz w:val="17"/>
                <w:szCs w:val="17"/>
              </w:rPr>
              <w:t>smíšené obytné venkovské</w:t>
            </w:r>
          </w:p>
        </w:tc>
        <w:tc>
          <w:tcPr>
            <w:tcW w:w="4110" w:type="dxa"/>
            <w:tcBorders>
              <w:top w:val="nil"/>
              <w:left w:val="nil"/>
              <w:bottom w:val="dotted" w:sz="4" w:space="0" w:color="auto"/>
              <w:right w:val="nil"/>
            </w:tcBorders>
          </w:tcPr>
          <w:p w14:paraId="2C04F70F" w14:textId="21AB141B" w:rsidR="002606CB" w:rsidRPr="002606CB" w:rsidRDefault="002606CB" w:rsidP="002606CB">
            <w:pPr>
              <w:pStyle w:val="Odstavecseseznamem"/>
              <w:numPr>
                <w:ilvl w:val="0"/>
                <w:numId w:val="18"/>
              </w:numPr>
              <w:spacing w:before="0" w:after="0"/>
              <w:ind w:left="208" w:hanging="208"/>
              <w:rPr>
                <w:rFonts w:cs="Calibri"/>
                <w:sz w:val="17"/>
                <w:szCs w:val="17"/>
              </w:rPr>
            </w:pPr>
            <w:r w:rsidRPr="002606CB">
              <w:rPr>
                <w:rFonts w:cs="Calibri"/>
                <w:sz w:val="17"/>
                <w:szCs w:val="17"/>
              </w:rPr>
              <w:t>plocha je součástí zastavěného území obce,</w:t>
            </w:r>
          </w:p>
          <w:p w14:paraId="5586B1F8" w14:textId="16643045" w:rsidR="002606CB" w:rsidRPr="002606CB" w:rsidRDefault="002606CB" w:rsidP="002606CB">
            <w:pPr>
              <w:pStyle w:val="Odstavecseseznamem"/>
              <w:numPr>
                <w:ilvl w:val="0"/>
                <w:numId w:val="18"/>
              </w:numPr>
              <w:spacing w:before="0" w:after="0"/>
              <w:ind w:left="208" w:hanging="208"/>
              <w:rPr>
                <w:rFonts w:cs="Calibri"/>
                <w:sz w:val="17"/>
                <w:szCs w:val="17"/>
              </w:rPr>
            </w:pPr>
            <w:r w:rsidRPr="002606CB">
              <w:rPr>
                <w:rFonts w:cs="Calibri"/>
                <w:sz w:val="17"/>
                <w:szCs w:val="17"/>
              </w:rPr>
              <w:t>plocha je prolukou v souvislé zástavbě ulice Dukelských hrdinů a přímo navazuje na stávající veřejnou infrastrukturu obce,</w:t>
            </w:r>
          </w:p>
          <w:p w14:paraId="43F5A70A" w14:textId="1273A22B" w:rsidR="001D1E04" w:rsidRPr="00366828" w:rsidRDefault="002606CB" w:rsidP="00366828">
            <w:pPr>
              <w:pStyle w:val="Odstavecseseznamem"/>
              <w:numPr>
                <w:ilvl w:val="0"/>
                <w:numId w:val="18"/>
              </w:numPr>
              <w:spacing w:before="0" w:after="0"/>
              <w:ind w:left="208" w:hanging="208"/>
              <w:rPr>
                <w:rFonts w:cs="Calibri"/>
                <w:sz w:val="17"/>
                <w:szCs w:val="17"/>
              </w:rPr>
            </w:pPr>
            <w:r w:rsidRPr="002606CB">
              <w:rPr>
                <w:rFonts w:cs="Calibri"/>
                <w:sz w:val="17"/>
                <w:szCs w:val="17"/>
              </w:rPr>
              <w:t>plocha je vymezena na pozemcích ve vlastnictví obce a</w:t>
            </w:r>
            <w:r>
              <w:rPr>
                <w:rFonts w:cs="Calibri"/>
                <w:sz w:val="17"/>
                <w:szCs w:val="17"/>
              </w:rPr>
              <w:t> </w:t>
            </w:r>
            <w:r w:rsidRPr="002606CB">
              <w:rPr>
                <w:rFonts w:cs="Calibri"/>
                <w:sz w:val="17"/>
                <w:szCs w:val="17"/>
              </w:rPr>
              <w:t>je vymezena pro rozvoj občanského vybavení, případně jiných obecních priorit (např. dostupné bydlení)</w:t>
            </w:r>
            <w:r w:rsidR="00366828">
              <w:rPr>
                <w:rFonts w:cs="Calibri"/>
                <w:sz w:val="17"/>
                <w:szCs w:val="17"/>
              </w:rPr>
              <w:t>.</w:t>
            </w:r>
          </w:p>
        </w:tc>
      </w:tr>
      <w:tr w:rsidR="001D1E04" w:rsidRPr="00BC2BB5" w14:paraId="3B5EDFE6" w14:textId="77777777" w:rsidTr="00155B7C">
        <w:trPr>
          <w:trHeight w:val="2123"/>
        </w:trPr>
        <w:tc>
          <w:tcPr>
            <w:tcW w:w="709" w:type="dxa"/>
            <w:tcBorders>
              <w:top w:val="nil"/>
              <w:left w:val="nil"/>
              <w:bottom w:val="dotted" w:sz="4" w:space="0" w:color="auto"/>
              <w:right w:val="nil"/>
            </w:tcBorders>
            <w:hideMark/>
          </w:tcPr>
          <w:p w14:paraId="63C46FF6" w14:textId="77777777" w:rsidR="001D1E04" w:rsidRPr="00BC2BB5" w:rsidRDefault="001D1E04" w:rsidP="0013788E">
            <w:pPr>
              <w:spacing w:before="0" w:after="0"/>
              <w:ind w:left="0"/>
              <w:jc w:val="left"/>
              <w:rPr>
                <w:rFonts w:asciiTheme="minorHAnsi" w:hAnsiTheme="minorHAnsi" w:cstheme="minorHAnsi"/>
                <w:bCs/>
                <w:color w:val="000000"/>
                <w:sz w:val="17"/>
                <w:szCs w:val="17"/>
              </w:rPr>
            </w:pPr>
            <w:r w:rsidRPr="00BC2BB5">
              <w:rPr>
                <w:rFonts w:asciiTheme="minorHAnsi" w:hAnsiTheme="minorHAnsi" w:cstheme="minorHAnsi"/>
                <w:bCs/>
                <w:color w:val="000000"/>
                <w:sz w:val="17"/>
                <w:szCs w:val="17"/>
              </w:rPr>
              <w:t>T.02-3</w:t>
            </w:r>
          </w:p>
        </w:tc>
        <w:tc>
          <w:tcPr>
            <w:tcW w:w="659" w:type="dxa"/>
            <w:tcBorders>
              <w:top w:val="nil"/>
              <w:left w:val="nil"/>
              <w:bottom w:val="dotted" w:sz="4" w:space="0" w:color="auto"/>
              <w:right w:val="nil"/>
            </w:tcBorders>
            <w:hideMark/>
          </w:tcPr>
          <w:p w14:paraId="020816E0" w14:textId="77777777" w:rsidR="001D1E04" w:rsidRPr="00BC2BB5" w:rsidRDefault="001D1E04" w:rsidP="0013788E">
            <w:pPr>
              <w:spacing w:before="0" w:after="0"/>
              <w:ind w:left="0"/>
              <w:jc w:val="left"/>
              <w:rPr>
                <w:rFonts w:asciiTheme="minorHAnsi" w:hAnsiTheme="minorHAnsi" w:cstheme="minorHAnsi"/>
                <w:bCs/>
                <w:color w:val="000000"/>
                <w:sz w:val="17"/>
                <w:szCs w:val="17"/>
              </w:rPr>
            </w:pPr>
            <w:r w:rsidRPr="00BC2BB5">
              <w:rPr>
                <w:rFonts w:asciiTheme="minorHAnsi" w:hAnsiTheme="minorHAnsi" w:cstheme="minorHAnsi"/>
                <w:bCs/>
                <w:color w:val="000000"/>
                <w:sz w:val="17"/>
                <w:szCs w:val="17"/>
              </w:rPr>
              <w:t>SV</w:t>
            </w:r>
          </w:p>
        </w:tc>
        <w:tc>
          <w:tcPr>
            <w:tcW w:w="2318" w:type="dxa"/>
            <w:tcBorders>
              <w:top w:val="nil"/>
              <w:left w:val="nil"/>
              <w:bottom w:val="dotted" w:sz="4" w:space="0" w:color="auto"/>
              <w:right w:val="nil"/>
            </w:tcBorders>
            <w:hideMark/>
          </w:tcPr>
          <w:p w14:paraId="0B622F13" w14:textId="77777777" w:rsidR="001D1E04" w:rsidRPr="00BC2BB5" w:rsidRDefault="001D1E04" w:rsidP="0013788E">
            <w:pPr>
              <w:spacing w:before="0" w:after="0"/>
              <w:ind w:left="0"/>
              <w:jc w:val="left"/>
              <w:rPr>
                <w:rFonts w:asciiTheme="minorHAnsi" w:hAnsiTheme="minorHAnsi" w:cstheme="minorHAnsi"/>
                <w:bCs/>
                <w:color w:val="000000"/>
                <w:sz w:val="17"/>
                <w:szCs w:val="17"/>
              </w:rPr>
            </w:pPr>
            <w:r w:rsidRPr="00BC2BB5">
              <w:rPr>
                <w:rFonts w:asciiTheme="minorHAnsi" w:hAnsiTheme="minorHAnsi" w:cstheme="minorHAnsi"/>
                <w:bCs/>
                <w:color w:val="000000"/>
                <w:sz w:val="17"/>
                <w:szCs w:val="17"/>
              </w:rPr>
              <w:t>smíšené obytné venkovské</w:t>
            </w:r>
          </w:p>
        </w:tc>
        <w:tc>
          <w:tcPr>
            <w:tcW w:w="4110" w:type="dxa"/>
            <w:tcBorders>
              <w:top w:val="nil"/>
              <w:left w:val="nil"/>
              <w:bottom w:val="dotted" w:sz="4" w:space="0" w:color="auto"/>
              <w:right w:val="nil"/>
            </w:tcBorders>
          </w:tcPr>
          <w:p w14:paraId="43BD3CEB" w14:textId="580896B2" w:rsidR="002606CB" w:rsidRPr="002606CB" w:rsidRDefault="002606CB" w:rsidP="002606CB">
            <w:pPr>
              <w:pStyle w:val="Odstavecseseznamem"/>
              <w:numPr>
                <w:ilvl w:val="0"/>
                <w:numId w:val="18"/>
              </w:numPr>
              <w:spacing w:before="0" w:after="0"/>
              <w:ind w:left="208" w:hanging="208"/>
              <w:rPr>
                <w:rFonts w:cs="Calibri"/>
                <w:sz w:val="17"/>
                <w:szCs w:val="17"/>
              </w:rPr>
            </w:pPr>
            <w:r w:rsidRPr="002606CB">
              <w:rPr>
                <w:rFonts w:cs="Calibri"/>
                <w:sz w:val="17"/>
                <w:szCs w:val="17"/>
              </w:rPr>
              <w:t>plocha je součástí zastavěného území obce,</w:t>
            </w:r>
          </w:p>
          <w:p w14:paraId="4DD6E467" w14:textId="75471205" w:rsidR="002606CB" w:rsidRPr="002606CB" w:rsidRDefault="002606CB" w:rsidP="002606CB">
            <w:pPr>
              <w:pStyle w:val="Odstavecseseznamem"/>
              <w:numPr>
                <w:ilvl w:val="0"/>
                <w:numId w:val="18"/>
              </w:numPr>
              <w:spacing w:before="0" w:after="0"/>
              <w:ind w:left="208" w:hanging="208"/>
              <w:rPr>
                <w:rFonts w:cs="Calibri"/>
                <w:sz w:val="17"/>
                <w:szCs w:val="17"/>
              </w:rPr>
            </w:pPr>
            <w:r w:rsidRPr="002606CB">
              <w:rPr>
                <w:rFonts w:cs="Calibri"/>
                <w:sz w:val="17"/>
                <w:szCs w:val="17"/>
              </w:rPr>
              <w:t>plocha je vymezena jako transformační plocha stávající rekreační zástavby (rekreační a zahradní chaty) na</w:t>
            </w:r>
            <w:r w:rsidR="006825BB">
              <w:rPr>
                <w:rFonts w:cs="Calibri"/>
                <w:sz w:val="17"/>
                <w:szCs w:val="17"/>
              </w:rPr>
              <w:t> </w:t>
            </w:r>
            <w:r w:rsidRPr="002606CB">
              <w:rPr>
                <w:rFonts w:cs="Calibri"/>
                <w:sz w:val="17"/>
                <w:szCs w:val="17"/>
              </w:rPr>
              <w:t>bydlení předchozím ÚP Hlubočky (B24),</w:t>
            </w:r>
          </w:p>
          <w:p w14:paraId="644FCE39" w14:textId="77777777" w:rsidR="001D1E04" w:rsidRDefault="002606CB" w:rsidP="00366828">
            <w:pPr>
              <w:pStyle w:val="Odstavecseseznamem"/>
              <w:numPr>
                <w:ilvl w:val="0"/>
                <w:numId w:val="18"/>
              </w:numPr>
              <w:spacing w:before="0" w:after="0"/>
              <w:ind w:left="208" w:hanging="208"/>
              <w:rPr>
                <w:rFonts w:cs="Calibri"/>
                <w:sz w:val="17"/>
                <w:szCs w:val="17"/>
              </w:rPr>
            </w:pPr>
            <w:r w:rsidRPr="002606CB">
              <w:rPr>
                <w:rFonts w:cs="Calibri"/>
                <w:sz w:val="17"/>
                <w:szCs w:val="17"/>
              </w:rPr>
              <w:t>změna využití plochy je stanovena z důvodu využití východní části plochy pro bydlení a z důvodu zajištění optimálních podmínek pro rozvoj smíšeného obytného venkovského území</w:t>
            </w:r>
            <w:r w:rsidR="00255D10">
              <w:rPr>
                <w:rFonts w:cs="Calibri"/>
                <w:sz w:val="17"/>
                <w:szCs w:val="17"/>
              </w:rPr>
              <w:t>.</w:t>
            </w:r>
          </w:p>
          <w:p w14:paraId="50B49903" w14:textId="0D67018A" w:rsidR="00255D10" w:rsidRPr="00366828" w:rsidRDefault="00255D10" w:rsidP="00255D10">
            <w:pPr>
              <w:pStyle w:val="Odstavecseseznamem"/>
              <w:spacing w:before="0" w:after="0"/>
              <w:ind w:left="208"/>
              <w:rPr>
                <w:rFonts w:cs="Calibri"/>
                <w:sz w:val="17"/>
                <w:szCs w:val="17"/>
              </w:rPr>
            </w:pPr>
          </w:p>
        </w:tc>
      </w:tr>
      <w:tr w:rsidR="001D1E04" w:rsidRPr="00BC2BB5" w14:paraId="118FBEBE" w14:textId="77777777" w:rsidTr="00BC2BB5">
        <w:trPr>
          <w:trHeight w:val="284"/>
        </w:trPr>
        <w:tc>
          <w:tcPr>
            <w:tcW w:w="709" w:type="dxa"/>
            <w:tcBorders>
              <w:top w:val="nil"/>
              <w:left w:val="nil"/>
              <w:bottom w:val="dotted" w:sz="4" w:space="0" w:color="auto"/>
              <w:right w:val="nil"/>
            </w:tcBorders>
            <w:hideMark/>
          </w:tcPr>
          <w:p w14:paraId="41C0409D" w14:textId="77777777" w:rsidR="001D1E04" w:rsidRPr="00BC2BB5" w:rsidRDefault="001D1E04" w:rsidP="0013788E">
            <w:pPr>
              <w:spacing w:before="0" w:after="0"/>
              <w:ind w:left="0"/>
              <w:jc w:val="left"/>
              <w:rPr>
                <w:rFonts w:asciiTheme="minorHAnsi" w:hAnsiTheme="minorHAnsi" w:cstheme="minorHAnsi"/>
                <w:bCs/>
                <w:color w:val="000000"/>
                <w:sz w:val="17"/>
                <w:szCs w:val="17"/>
              </w:rPr>
            </w:pPr>
            <w:r w:rsidRPr="00BC2BB5">
              <w:rPr>
                <w:rFonts w:asciiTheme="minorHAnsi" w:hAnsiTheme="minorHAnsi" w:cstheme="minorHAnsi"/>
                <w:bCs/>
                <w:color w:val="000000"/>
                <w:sz w:val="17"/>
                <w:szCs w:val="17"/>
              </w:rPr>
              <w:lastRenderedPageBreak/>
              <w:t>T.02-4</w:t>
            </w:r>
          </w:p>
        </w:tc>
        <w:tc>
          <w:tcPr>
            <w:tcW w:w="659" w:type="dxa"/>
            <w:tcBorders>
              <w:top w:val="nil"/>
              <w:left w:val="nil"/>
              <w:bottom w:val="dotted" w:sz="4" w:space="0" w:color="auto"/>
              <w:right w:val="nil"/>
            </w:tcBorders>
            <w:hideMark/>
          </w:tcPr>
          <w:p w14:paraId="077B9A82" w14:textId="77777777" w:rsidR="001D1E04" w:rsidRPr="00BC2BB5" w:rsidRDefault="001D1E04" w:rsidP="0013788E">
            <w:pPr>
              <w:spacing w:before="0" w:after="0"/>
              <w:ind w:left="0"/>
              <w:jc w:val="left"/>
              <w:rPr>
                <w:rFonts w:asciiTheme="minorHAnsi" w:hAnsiTheme="minorHAnsi" w:cstheme="minorHAnsi"/>
                <w:bCs/>
                <w:color w:val="000000"/>
                <w:sz w:val="17"/>
                <w:szCs w:val="17"/>
              </w:rPr>
            </w:pPr>
            <w:r w:rsidRPr="00BC2BB5">
              <w:rPr>
                <w:rFonts w:asciiTheme="minorHAnsi" w:hAnsiTheme="minorHAnsi" w:cstheme="minorHAnsi"/>
                <w:bCs/>
                <w:color w:val="000000"/>
                <w:sz w:val="17"/>
                <w:szCs w:val="17"/>
              </w:rPr>
              <w:t>SV</w:t>
            </w:r>
          </w:p>
        </w:tc>
        <w:tc>
          <w:tcPr>
            <w:tcW w:w="2318" w:type="dxa"/>
            <w:tcBorders>
              <w:top w:val="nil"/>
              <w:left w:val="nil"/>
              <w:bottom w:val="dotted" w:sz="4" w:space="0" w:color="auto"/>
              <w:right w:val="nil"/>
            </w:tcBorders>
            <w:hideMark/>
          </w:tcPr>
          <w:p w14:paraId="2BE32E0B" w14:textId="77777777" w:rsidR="001D1E04" w:rsidRPr="00BC2BB5" w:rsidRDefault="001D1E04" w:rsidP="0013788E">
            <w:pPr>
              <w:spacing w:before="0" w:after="0"/>
              <w:ind w:left="0"/>
              <w:jc w:val="left"/>
              <w:rPr>
                <w:rFonts w:asciiTheme="minorHAnsi" w:hAnsiTheme="minorHAnsi" w:cstheme="minorHAnsi"/>
                <w:bCs/>
                <w:color w:val="000000"/>
                <w:sz w:val="17"/>
                <w:szCs w:val="17"/>
              </w:rPr>
            </w:pPr>
            <w:r w:rsidRPr="00BC2BB5">
              <w:rPr>
                <w:rFonts w:asciiTheme="minorHAnsi" w:hAnsiTheme="minorHAnsi" w:cstheme="minorHAnsi"/>
                <w:bCs/>
                <w:color w:val="000000"/>
                <w:sz w:val="17"/>
                <w:szCs w:val="17"/>
              </w:rPr>
              <w:t>smíšené obytné venkovské</w:t>
            </w:r>
          </w:p>
        </w:tc>
        <w:tc>
          <w:tcPr>
            <w:tcW w:w="4110" w:type="dxa"/>
            <w:tcBorders>
              <w:top w:val="nil"/>
              <w:left w:val="nil"/>
              <w:bottom w:val="dotted" w:sz="4" w:space="0" w:color="auto"/>
              <w:right w:val="nil"/>
            </w:tcBorders>
          </w:tcPr>
          <w:p w14:paraId="4C5C28FC" w14:textId="2BDF5DF6" w:rsidR="00366828" w:rsidRPr="00366828" w:rsidRDefault="00366828" w:rsidP="00366828">
            <w:pPr>
              <w:pStyle w:val="Odstavecseseznamem"/>
              <w:numPr>
                <w:ilvl w:val="0"/>
                <w:numId w:val="18"/>
              </w:numPr>
              <w:spacing w:before="0" w:after="0"/>
              <w:ind w:left="208" w:hanging="208"/>
              <w:rPr>
                <w:rFonts w:cs="Calibri"/>
                <w:sz w:val="17"/>
                <w:szCs w:val="17"/>
              </w:rPr>
            </w:pPr>
            <w:r w:rsidRPr="00366828">
              <w:rPr>
                <w:rFonts w:cs="Calibri"/>
                <w:sz w:val="17"/>
                <w:szCs w:val="17"/>
              </w:rPr>
              <w:t>plocha je součástí zastavěného území obce,</w:t>
            </w:r>
          </w:p>
          <w:p w14:paraId="069D22FE" w14:textId="6CAA89B9" w:rsidR="00366828" w:rsidRPr="00366828" w:rsidRDefault="00366828" w:rsidP="00366828">
            <w:pPr>
              <w:pStyle w:val="Odstavecseseznamem"/>
              <w:numPr>
                <w:ilvl w:val="0"/>
                <w:numId w:val="18"/>
              </w:numPr>
              <w:spacing w:before="0" w:after="0"/>
              <w:ind w:left="208" w:hanging="208"/>
              <w:rPr>
                <w:rFonts w:cs="Calibri"/>
                <w:sz w:val="17"/>
                <w:szCs w:val="17"/>
              </w:rPr>
            </w:pPr>
            <w:r w:rsidRPr="00366828">
              <w:rPr>
                <w:rFonts w:cs="Calibri"/>
                <w:sz w:val="17"/>
                <w:szCs w:val="17"/>
              </w:rPr>
              <w:t>plocha je vymezena jako transformační plocha stávající rekreační zástavby (rekreační a zahradní chaty) na</w:t>
            </w:r>
            <w:r w:rsidR="00417952">
              <w:rPr>
                <w:rFonts w:cs="Calibri"/>
                <w:sz w:val="17"/>
                <w:szCs w:val="17"/>
              </w:rPr>
              <w:t> </w:t>
            </w:r>
            <w:r w:rsidRPr="00366828">
              <w:rPr>
                <w:rFonts w:cs="Calibri"/>
                <w:sz w:val="17"/>
                <w:szCs w:val="17"/>
              </w:rPr>
              <w:t>bydlení předchozím ÚP Hlubočky (B23),</w:t>
            </w:r>
          </w:p>
          <w:p w14:paraId="456A140B" w14:textId="286434E1" w:rsidR="001D1E04" w:rsidRPr="00BC2BB5" w:rsidRDefault="00366828" w:rsidP="00366828">
            <w:pPr>
              <w:pStyle w:val="Odstavecseseznamem"/>
              <w:numPr>
                <w:ilvl w:val="0"/>
                <w:numId w:val="18"/>
              </w:numPr>
              <w:spacing w:before="0" w:after="0"/>
              <w:ind w:left="208" w:hanging="208"/>
              <w:rPr>
                <w:rFonts w:asciiTheme="minorHAnsi" w:hAnsiTheme="minorHAnsi" w:cstheme="minorHAnsi"/>
                <w:bCs/>
                <w:color w:val="000000"/>
                <w:sz w:val="17"/>
                <w:szCs w:val="17"/>
              </w:rPr>
            </w:pPr>
            <w:r w:rsidRPr="00366828">
              <w:rPr>
                <w:rFonts w:cs="Calibri"/>
                <w:sz w:val="17"/>
                <w:szCs w:val="17"/>
              </w:rPr>
              <w:t>změna využití plochy je stanovena z důvodu využití jižní části plochy pro bydlení a z důvodu zajištění optimálních podmínek pro rozvoj smíšeného obytného venkovského území.</w:t>
            </w:r>
          </w:p>
        </w:tc>
      </w:tr>
      <w:tr w:rsidR="00EB365F" w:rsidRPr="00BC2BB5" w14:paraId="4070159B" w14:textId="77777777" w:rsidTr="00460D37">
        <w:trPr>
          <w:trHeight w:val="284"/>
        </w:trPr>
        <w:tc>
          <w:tcPr>
            <w:tcW w:w="7796" w:type="dxa"/>
            <w:gridSpan w:val="4"/>
            <w:tcBorders>
              <w:top w:val="nil"/>
              <w:left w:val="nil"/>
              <w:bottom w:val="dotted" w:sz="4" w:space="0" w:color="auto"/>
              <w:right w:val="nil"/>
            </w:tcBorders>
          </w:tcPr>
          <w:p w14:paraId="69A029CA" w14:textId="5515D5ED" w:rsidR="00EB365F" w:rsidRPr="00BC2BB5" w:rsidRDefault="00EB365F" w:rsidP="0013788E">
            <w:pPr>
              <w:spacing w:before="0" w:after="0"/>
              <w:ind w:left="0"/>
              <w:jc w:val="left"/>
              <w:rPr>
                <w:rFonts w:asciiTheme="minorHAnsi" w:hAnsiTheme="minorHAnsi" w:cstheme="minorHAnsi"/>
                <w:bCs/>
                <w:color w:val="000000"/>
                <w:sz w:val="17"/>
                <w:szCs w:val="17"/>
              </w:rPr>
            </w:pPr>
            <w:r w:rsidRPr="00AE233A">
              <w:rPr>
                <w:rFonts w:asciiTheme="minorHAnsi" w:hAnsiTheme="minorHAnsi" w:cstheme="minorHAnsi"/>
                <w:b/>
                <w:color w:val="000000"/>
                <w:sz w:val="17"/>
                <w:szCs w:val="17"/>
              </w:rPr>
              <w:t>L.03 K Posluchovu</w:t>
            </w:r>
          </w:p>
        </w:tc>
      </w:tr>
      <w:tr w:rsidR="001D1E04" w:rsidRPr="00BC2BB5" w14:paraId="46A5FDA4" w14:textId="77777777" w:rsidTr="00BC2BB5">
        <w:trPr>
          <w:trHeight w:val="284"/>
        </w:trPr>
        <w:tc>
          <w:tcPr>
            <w:tcW w:w="709" w:type="dxa"/>
            <w:tcBorders>
              <w:top w:val="nil"/>
              <w:left w:val="nil"/>
              <w:bottom w:val="dotted" w:sz="4" w:space="0" w:color="auto"/>
              <w:right w:val="nil"/>
            </w:tcBorders>
          </w:tcPr>
          <w:p w14:paraId="52954335" w14:textId="77777777" w:rsidR="001D1E04" w:rsidRPr="00BC2BB5" w:rsidRDefault="001D1E04" w:rsidP="0013788E">
            <w:pPr>
              <w:spacing w:before="0" w:after="0"/>
              <w:ind w:left="0"/>
              <w:jc w:val="left"/>
              <w:rPr>
                <w:rFonts w:asciiTheme="minorHAnsi" w:hAnsiTheme="minorHAnsi" w:cstheme="minorHAnsi"/>
                <w:bCs/>
                <w:color w:val="000000"/>
                <w:sz w:val="17"/>
                <w:szCs w:val="17"/>
              </w:rPr>
            </w:pPr>
            <w:r w:rsidRPr="00BC2BB5">
              <w:rPr>
                <w:rFonts w:asciiTheme="minorHAnsi" w:hAnsiTheme="minorHAnsi" w:cstheme="minorHAnsi"/>
                <w:bCs/>
                <w:color w:val="000000"/>
                <w:sz w:val="17"/>
                <w:szCs w:val="17"/>
              </w:rPr>
              <w:t>T.03-1</w:t>
            </w:r>
          </w:p>
        </w:tc>
        <w:tc>
          <w:tcPr>
            <w:tcW w:w="659" w:type="dxa"/>
            <w:tcBorders>
              <w:top w:val="nil"/>
              <w:left w:val="nil"/>
              <w:bottom w:val="dotted" w:sz="4" w:space="0" w:color="auto"/>
              <w:right w:val="nil"/>
            </w:tcBorders>
          </w:tcPr>
          <w:p w14:paraId="43402D55" w14:textId="77777777" w:rsidR="001D1E04" w:rsidRPr="00BC2BB5" w:rsidRDefault="001D1E04" w:rsidP="0013788E">
            <w:pPr>
              <w:spacing w:before="0" w:after="0"/>
              <w:ind w:left="0"/>
              <w:jc w:val="left"/>
              <w:rPr>
                <w:rFonts w:asciiTheme="minorHAnsi" w:hAnsiTheme="minorHAnsi" w:cstheme="minorHAnsi"/>
                <w:bCs/>
                <w:color w:val="000000"/>
                <w:sz w:val="17"/>
                <w:szCs w:val="17"/>
              </w:rPr>
            </w:pPr>
            <w:r w:rsidRPr="00BC2BB5">
              <w:rPr>
                <w:rFonts w:asciiTheme="minorHAnsi" w:hAnsiTheme="minorHAnsi" w:cstheme="minorHAnsi"/>
                <w:bCs/>
                <w:color w:val="000000"/>
                <w:sz w:val="17"/>
                <w:szCs w:val="17"/>
              </w:rPr>
              <w:t>SV¸PU</w:t>
            </w:r>
          </w:p>
        </w:tc>
        <w:tc>
          <w:tcPr>
            <w:tcW w:w="2318" w:type="dxa"/>
            <w:tcBorders>
              <w:top w:val="nil"/>
              <w:left w:val="nil"/>
              <w:bottom w:val="dotted" w:sz="4" w:space="0" w:color="auto"/>
              <w:right w:val="nil"/>
            </w:tcBorders>
          </w:tcPr>
          <w:p w14:paraId="1017F0FF" w14:textId="77777777" w:rsidR="001D1E04" w:rsidRPr="00BC2BB5" w:rsidRDefault="001D1E04" w:rsidP="0013788E">
            <w:pPr>
              <w:spacing w:before="0" w:after="0"/>
              <w:ind w:left="0"/>
              <w:jc w:val="left"/>
              <w:rPr>
                <w:rFonts w:asciiTheme="minorHAnsi" w:hAnsiTheme="minorHAnsi" w:cstheme="minorHAnsi"/>
                <w:bCs/>
                <w:color w:val="000000"/>
                <w:sz w:val="17"/>
                <w:szCs w:val="17"/>
              </w:rPr>
            </w:pPr>
            <w:r w:rsidRPr="00BC2BB5">
              <w:rPr>
                <w:rFonts w:asciiTheme="minorHAnsi" w:hAnsiTheme="minorHAnsi" w:cstheme="minorHAnsi"/>
                <w:bCs/>
                <w:color w:val="000000"/>
                <w:sz w:val="17"/>
                <w:szCs w:val="17"/>
              </w:rPr>
              <w:t>smíšené obytné venkovské</w:t>
            </w:r>
          </w:p>
          <w:p w14:paraId="01851552" w14:textId="77777777" w:rsidR="001D1E04" w:rsidRPr="00BC2BB5" w:rsidRDefault="001D1E04" w:rsidP="0013788E">
            <w:pPr>
              <w:spacing w:before="0" w:after="0"/>
              <w:ind w:left="0"/>
              <w:jc w:val="left"/>
              <w:rPr>
                <w:rFonts w:asciiTheme="minorHAnsi" w:hAnsiTheme="minorHAnsi" w:cstheme="minorHAnsi"/>
                <w:bCs/>
                <w:color w:val="000000"/>
                <w:sz w:val="17"/>
                <w:szCs w:val="17"/>
              </w:rPr>
            </w:pPr>
            <w:r w:rsidRPr="00BC2BB5">
              <w:rPr>
                <w:rFonts w:asciiTheme="minorHAnsi" w:hAnsiTheme="minorHAnsi" w:cstheme="minorHAnsi"/>
                <w:bCs/>
                <w:color w:val="000000"/>
                <w:sz w:val="17"/>
                <w:szCs w:val="17"/>
              </w:rPr>
              <w:t>veřejné prostranství všeobecné</w:t>
            </w:r>
          </w:p>
        </w:tc>
        <w:tc>
          <w:tcPr>
            <w:tcW w:w="4110" w:type="dxa"/>
            <w:tcBorders>
              <w:top w:val="nil"/>
              <w:left w:val="nil"/>
              <w:bottom w:val="dotted" w:sz="4" w:space="0" w:color="auto"/>
              <w:right w:val="nil"/>
            </w:tcBorders>
          </w:tcPr>
          <w:p w14:paraId="0D7D1974" w14:textId="1C6EFA21" w:rsidR="00AA7526" w:rsidRPr="003F65DA" w:rsidRDefault="00AA7526" w:rsidP="003F65DA">
            <w:pPr>
              <w:pStyle w:val="Odstavecseseznamem"/>
              <w:numPr>
                <w:ilvl w:val="0"/>
                <w:numId w:val="18"/>
              </w:numPr>
              <w:spacing w:before="0" w:after="0"/>
              <w:ind w:left="208" w:hanging="208"/>
              <w:rPr>
                <w:rFonts w:cs="Calibri"/>
                <w:sz w:val="17"/>
                <w:szCs w:val="17"/>
              </w:rPr>
            </w:pPr>
            <w:r w:rsidRPr="003F65DA">
              <w:rPr>
                <w:rFonts w:cs="Calibri"/>
                <w:sz w:val="17"/>
                <w:szCs w:val="17"/>
              </w:rPr>
              <w:t>plocha je součástí zastavěného území obce,</w:t>
            </w:r>
          </w:p>
          <w:p w14:paraId="13464166" w14:textId="2E381266" w:rsidR="00AA7526" w:rsidRPr="003F65DA" w:rsidRDefault="00AA7526" w:rsidP="003F65DA">
            <w:pPr>
              <w:pStyle w:val="Odstavecseseznamem"/>
              <w:numPr>
                <w:ilvl w:val="0"/>
                <w:numId w:val="18"/>
              </w:numPr>
              <w:spacing w:before="0" w:after="0"/>
              <w:ind w:left="208" w:hanging="208"/>
              <w:rPr>
                <w:rFonts w:cs="Calibri"/>
                <w:sz w:val="17"/>
                <w:szCs w:val="17"/>
              </w:rPr>
            </w:pPr>
            <w:r w:rsidRPr="003F65DA">
              <w:rPr>
                <w:rFonts w:cs="Calibri"/>
                <w:sz w:val="17"/>
                <w:szCs w:val="17"/>
              </w:rPr>
              <w:t>plocha je vymezena jako transformační plocha stávající rekreační zástavby (rekreační a zahradní chaty) na</w:t>
            </w:r>
            <w:r w:rsidR="00025391">
              <w:rPr>
                <w:rFonts w:cs="Calibri"/>
                <w:sz w:val="17"/>
                <w:szCs w:val="17"/>
              </w:rPr>
              <w:t> </w:t>
            </w:r>
            <w:r w:rsidRPr="003F65DA">
              <w:rPr>
                <w:rFonts w:cs="Calibri"/>
                <w:sz w:val="17"/>
                <w:szCs w:val="17"/>
              </w:rPr>
              <w:t>bydlení předchozím ÚP Hlubočky (B28),</w:t>
            </w:r>
          </w:p>
          <w:p w14:paraId="698FA47B" w14:textId="018965D8" w:rsidR="001D1E04" w:rsidRPr="00BC2BB5" w:rsidRDefault="00AA7526" w:rsidP="003F65DA">
            <w:pPr>
              <w:pStyle w:val="Odstavecseseznamem"/>
              <w:numPr>
                <w:ilvl w:val="0"/>
                <w:numId w:val="18"/>
              </w:numPr>
              <w:spacing w:before="0" w:after="0"/>
              <w:ind w:left="208" w:hanging="208"/>
              <w:rPr>
                <w:rFonts w:asciiTheme="minorHAnsi" w:hAnsiTheme="minorHAnsi" w:cstheme="minorHAnsi"/>
                <w:bCs/>
                <w:color w:val="000000"/>
                <w:sz w:val="17"/>
                <w:szCs w:val="17"/>
              </w:rPr>
            </w:pPr>
            <w:r w:rsidRPr="003F65DA">
              <w:rPr>
                <w:rFonts w:cs="Calibri"/>
                <w:sz w:val="17"/>
                <w:szCs w:val="17"/>
              </w:rPr>
              <w:t>změna využití plochy je stanovena z důvodu současného využití části plochy pro bydlení (stavby rodinných domů) a z důvodu zajištění optimálních podmínek pro rozvoj smíšeného obytného venkovského území, včetně zajištění dostatečné šířky plochy veřejného prostranství pro obslužnou komunikaci.</w:t>
            </w:r>
          </w:p>
        </w:tc>
      </w:tr>
      <w:tr w:rsidR="00EB365F" w:rsidRPr="00BC2BB5" w14:paraId="30B68AE1" w14:textId="77777777" w:rsidTr="002D48D4">
        <w:trPr>
          <w:trHeight w:val="284"/>
        </w:trPr>
        <w:tc>
          <w:tcPr>
            <w:tcW w:w="7796" w:type="dxa"/>
            <w:gridSpan w:val="4"/>
            <w:tcBorders>
              <w:top w:val="nil"/>
              <w:left w:val="nil"/>
              <w:bottom w:val="dotted" w:sz="4" w:space="0" w:color="auto"/>
              <w:right w:val="nil"/>
            </w:tcBorders>
          </w:tcPr>
          <w:p w14:paraId="6B0EC55E" w14:textId="30E17500" w:rsidR="00EB365F" w:rsidRPr="00BC2BB5" w:rsidRDefault="00EB365F" w:rsidP="0013788E">
            <w:pPr>
              <w:spacing w:before="0" w:after="0"/>
              <w:ind w:left="0"/>
              <w:jc w:val="left"/>
              <w:rPr>
                <w:rFonts w:asciiTheme="minorHAnsi" w:hAnsiTheme="minorHAnsi" w:cstheme="minorHAnsi"/>
                <w:bCs/>
                <w:color w:val="000000"/>
                <w:sz w:val="17"/>
                <w:szCs w:val="17"/>
              </w:rPr>
            </w:pPr>
            <w:r w:rsidRPr="00AE233A">
              <w:rPr>
                <w:rFonts w:asciiTheme="minorHAnsi" w:hAnsiTheme="minorHAnsi" w:cstheme="minorHAnsi"/>
                <w:b/>
                <w:color w:val="000000"/>
                <w:sz w:val="17"/>
                <w:szCs w:val="17"/>
              </w:rPr>
              <w:t>L.09 Dukla</w:t>
            </w:r>
          </w:p>
        </w:tc>
      </w:tr>
      <w:tr w:rsidR="001D1E04" w:rsidRPr="00BC2BB5" w14:paraId="75C7F206" w14:textId="77777777" w:rsidTr="00BC2BB5">
        <w:trPr>
          <w:trHeight w:val="284"/>
        </w:trPr>
        <w:tc>
          <w:tcPr>
            <w:tcW w:w="709" w:type="dxa"/>
            <w:tcBorders>
              <w:top w:val="nil"/>
              <w:left w:val="nil"/>
              <w:bottom w:val="dotted" w:sz="4" w:space="0" w:color="auto"/>
              <w:right w:val="nil"/>
            </w:tcBorders>
          </w:tcPr>
          <w:p w14:paraId="690064A7" w14:textId="77777777" w:rsidR="001D1E04" w:rsidRPr="00BC2BB5" w:rsidRDefault="001D1E04" w:rsidP="0013788E">
            <w:pPr>
              <w:spacing w:before="0" w:after="0"/>
              <w:ind w:left="0"/>
              <w:jc w:val="left"/>
              <w:rPr>
                <w:rFonts w:asciiTheme="minorHAnsi" w:hAnsiTheme="minorHAnsi" w:cstheme="minorHAnsi"/>
                <w:bCs/>
                <w:color w:val="000000"/>
                <w:sz w:val="17"/>
                <w:szCs w:val="17"/>
              </w:rPr>
            </w:pPr>
            <w:r w:rsidRPr="00BC2BB5">
              <w:rPr>
                <w:rFonts w:asciiTheme="minorHAnsi" w:hAnsiTheme="minorHAnsi" w:cstheme="minorHAnsi"/>
                <w:bCs/>
                <w:color w:val="000000"/>
                <w:sz w:val="17"/>
                <w:szCs w:val="17"/>
              </w:rPr>
              <w:t>T.09-1</w:t>
            </w:r>
          </w:p>
        </w:tc>
        <w:tc>
          <w:tcPr>
            <w:tcW w:w="659" w:type="dxa"/>
            <w:tcBorders>
              <w:top w:val="nil"/>
              <w:left w:val="nil"/>
              <w:bottom w:val="dotted" w:sz="4" w:space="0" w:color="auto"/>
              <w:right w:val="nil"/>
            </w:tcBorders>
          </w:tcPr>
          <w:p w14:paraId="4F223FF8" w14:textId="77777777" w:rsidR="001D1E04" w:rsidRPr="00BC2BB5" w:rsidRDefault="001D1E04" w:rsidP="0013788E">
            <w:pPr>
              <w:spacing w:before="0" w:after="0"/>
              <w:ind w:left="0"/>
              <w:jc w:val="left"/>
              <w:rPr>
                <w:rFonts w:asciiTheme="minorHAnsi" w:hAnsiTheme="minorHAnsi" w:cstheme="minorHAnsi"/>
                <w:bCs/>
                <w:color w:val="000000"/>
                <w:sz w:val="17"/>
                <w:szCs w:val="17"/>
              </w:rPr>
            </w:pPr>
            <w:r w:rsidRPr="00BC2BB5">
              <w:rPr>
                <w:rFonts w:asciiTheme="minorHAnsi" w:hAnsiTheme="minorHAnsi" w:cstheme="minorHAnsi"/>
                <w:bCs/>
                <w:color w:val="000000"/>
                <w:sz w:val="17"/>
                <w:szCs w:val="17"/>
              </w:rPr>
              <w:t>SU, PU</w:t>
            </w:r>
          </w:p>
        </w:tc>
        <w:tc>
          <w:tcPr>
            <w:tcW w:w="2318" w:type="dxa"/>
            <w:tcBorders>
              <w:top w:val="nil"/>
              <w:left w:val="nil"/>
              <w:bottom w:val="dotted" w:sz="4" w:space="0" w:color="auto"/>
              <w:right w:val="nil"/>
            </w:tcBorders>
          </w:tcPr>
          <w:p w14:paraId="6FFCFD1C" w14:textId="77777777" w:rsidR="001D1E04" w:rsidRPr="00BC2BB5" w:rsidRDefault="001D1E04" w:rsidP="0013788E">
            <w:pPr>
              <w:spacing w:before="0" w:after="0"/>
              <w:ind w:left="0"/>
              <w:jc w:val="left"/>
              <w:rPr>
                <w:rFonts w:asciiTheme="minorHAnsi" w:hAnsiTheme="minorHAnsi" w:cstheme="minorHAnsi"/>
                <w:bCs/>
                <w:color w:val="000000"/>
                <w:sz w:val="17"/>
                <w:szCs w:val="17"/>
              </w:rPr>
            </w:pPr>
            <w:r w:rsidRPr="00BC2BB5">
              <w:rPr>
                <w:rFonts w:asciiTheme="minorHAnsi" w:hAnsiTheme="minorHAnsi" w:cstheme="minorHAnsi"/>
                <w:bCs/>
                <w:color w:val="000000"/>
                <w:sz w:val="17"/>
                <w:szCs w:val="17"/>
              </w:rPr>
              <w:t>smíšené obytné venkovské</w:t>
            </w:r>
          </w:p>
          <w:p w14:paraId="57870A37" w14:textId="77777777" w:rsidR="001D1E04" w:rsidRPr="00BC2BB5" w:rsidRDefault="001D1E04" w:rsidP="0013788E">
            <w:pPr>
              <w:spacing w:before="0" w:after="0"/>
              <w:ind w:left="0"/>
              <w:jc w:val="left"/>
              <w:rPr>
                <w:rFonts w:asciiTheme="minorHAnsi" w:hAnsiTheme="minorHAnsi" w:cstheme="minorHAnsi"/>
                <w:bCs/>
                <w:color w:val="000000"/>
                <w:sz w:val="17"/>
                <w:szCs w:val="17"/>
              </w:rPr>
            </w:pPr>
            <w:r w:rsidRPr="00BC2BB5">
              <w:rPr>
                <w:rFonts w:asciiTheme="minorHAnsi" w:hAnsiTheme="minorHAnsi" w:cstheme="minorHAnsi"/>
                <w:bCs/>
                <w:color w:val="000000"/>
                <w:sz w:val="17"/>
                <w:szCs w:val="17"/>
              </w:rPr>
              <w:t>veřejné prostranství všeobecné</w:t>
            </w:r>
          </w:p>
        </w:tc>
        <w:tc>
          <w:tcPr>
            <w:tcW w:w="4110" w:type="dxa"/>
            <w:tcBorders>
              <w:top w:val="nil"/>
              <w:left w:val="nil"/>
              <w:bottom w:val="dotted" w:sz="4" w:space="0" w:color="auto"/>
              <w:right w:val="nil"/>
            </w:tcBorders>
          </w:tcPr>
          <w:p w14:paraId="034DC95A" w14:textId="405E4A56" w:rsidR="00025391" w:rsidRPr="00025391" w:rsidRDefault="00025391" w:rsidP="00025391">
            <w:pPr>
              <w:pStyle w:val="Odstavecseseznamem"/>
              <w:numPr>
                <w:ilvl w:val="0"/>
                <w:numId w:val="18"/>
              </w:numPr>
              <w:spacing w:before="0" w:after="0"/>
              <w:ind w:left="208" w:hanging="208"/>
              <w:rPr>
                <w:rFonts w:cs="Calibri"/>
                <w:sz w:val="17"/>
                <w:szCs w:val="17"/>
              </w:rPr>
            </w:pPr>
            <w:r w:rsidRPr="00025391">
              <w:rPr>
                <w:rFonts w:cs="Calibri"/>
                <w:sz w:val="17"/>
                <w:szCs w:val="17"/>
              </w:rPr>
              <w:t xml:space="preserve">plocha je součástí zastavěného území obce, </w:t>
            </w:r>
          </w:p>
          <w:p w14:paraId="5A322822" w14:textId="23F92518" w:rsidR="00025391" w:rsidRPr="00025391" w:rsidRDefault="00025391" w:rsidP="00025391">
            <w:pPr>
              <w:pStyle w:val="Odstavecseseznamem"/>
              <w:numPr>
                <w:ilvl w:val="0"/>
                <w:numId w:val="18"/>
              </w:numPr>
              <w:spacing w:before="0" w:after="0"/>
              <w:ind w:left="208" w:hanging="208"/>
              <w:rPr>
                <w:rFonts w:cs="Calibri"/>
                <w:sz w:val="17"/>
                <w:szCs w:val="17"/>
              </w:rPr>
            </w:pPr>
            <w:r w:rsidRPr="00025391">
              <w:rPr>
                <w:rFonts w:cs="Calibri"/>
                <w:sz w:val="17"/>
                <w:szCs w:val="17"/>
              </w:rPr>
              <w:t>plocha neslouží k zemědělskému využití,</w:t>
            </w:r>
          </w:p>
          <w:p w14:paraId="513A8129" w14:textId="275EE002" w:rsidR="00025391" w:rsidRPr="00025391" w:rsidRDefault="00025391" w:rsidP="00025391">
            <w:pPr>
              <w:pStyle w:val="Odstavecseseznamem"/>
              <w:numPr>
                <w:ilvl w:val="0"/>
                <w:numId w:val="18"/>
              </w:numPr>
              <w:spacing w:before="0" w:after="0"/>
              <w:ind w:left="208" w:hanging="208"/>
              <w:rPr>
                <w:rFonts w:cs="Calibri"/>
                <w:sz w:val="17"/>
                <w:szCs w:val="17"/>
              </w:rPr>
            </w:pPr>
            <w:r w:rsidRPr="00025391">
              <w:rPr>
                <w:rFonts w:cs="Calibri"/>
                <w:sz w:val="17"/>
                <w:szCs w:val="17"/>
              </w:rPr>
              <w:t>plocha tvoří proluku v zástavbě sídliště Na Orátě, je vymezena v souladu s urbanistickou koncepcí a vhodně doplňuje celek zástavby sídliště Na Orátě a rozvíjí systém veřejných prostranství lokality,</w:t>
            </w:r>
          </w:p>
          <w:p w14:paraId="4C79E673" w14:textId="73C22481" w:rsidR="00025391" w:rsidRPr="00025391" w:rsidRDefault="00025391" w:rsidP="00025391">
            <w:pPr>
              <w:pStyle w:val="Odstavecseseznamem"/>
              <w:numPr>
                <w:ilvl w:val="0"/>
                <w:numId w:val="18"/>
              </w:numPr>
              <w:spacing w:before="0" w:after="0"/>
              <w:ind w:left="208" w:hanging="208"/>
              <w:rPr>
                <w:rFonts w:cs="Calibri"/>
                <w:sz w:val="17"/>
                <w:szCs w:val="17"/>
              </w:rPr>
            </w:pPr>
            <w:r w:rsidRPr="00025391">
              <w:rPr>
                <w:rFonts w:cs="Calibri"/>
                <w:sz w:val="17"/>
                <w:szCs w:val="17"/>
              </w:rPr>
              <w:t>plocha je vymezena částečně na pozemcích obce a ČR tak, aby bylo možné v plochách veřejných prostranství zajistit obsluhu a napojení ploch smíšených obytných na systém veřejné infrastruktury obce,</w:t>
            </w:r>
          </w:p>
          <w:p w14:paraId="729FC14F" w14:textId="460CE8F1" w:rsidR="001D1E04" w:rsidRPr="00BC2BB5" w:rsidRDefault="00025391" w:rsidP="00025391">
            <w:pPr>
              <w:pStyle w:val="Odstavecseseznamem"/>
              <w:numPr>
                <w:ilvl w:val="0"/>
                <w:numId w:val="18"/>
              </w:numPr>
              <w:spacing w:before="0" w:after="0"/>
              <w:ind w:left="208" w:hanging="208"/>
              <w:rPr>
                <w:rFonts w:asciiTheme="minorHAnsi" w:hAnsiTheme="minorHAnsi" w:cstheme="minorHAnsi"/>
                <w:bCs/>
                <w:color w:val="000000"/>
                <w:sz w:val="17"/>
                <w:szCs w:val="17"/>
              </w:rPr>
            </w:pPr>
            <w:r w:rsidRPr="00025391">
              <w:rPr>
                <w:rFonts w:cs="Calibri"/>
                <w:sz w:val="17"/>
                <w:szCs w:val="17"/>
              </w:rPr>
              <w:t>využití plochy je podmíněnou zpracováním územní studie.</w:t>
            </w:r>
          </w:p>
        </w:tc>
      </w:tr>
      <w:tr w:rsidR="001D1E04" w:rsidRPr="00BC2BB5" w14:paraId="2B29DC24" w14:textId="77777777" w:rsidTr="00BC2BB5">
        <w:trPr>
          <w:trHeight w:val="284"/>
        </w:trPr>
        <w:tc>
          <w:tcPr>
            <w:tcW w:w="709" w:type="dxa"/>
            <w:tcBorders>
              <w:top w:val="nil"/>
              <w:left w:val="nil"/>
              <w:bottom w:val="dotted" w:sz="4" w:space="0" w:color="auto"/>
              <w:right w:val="nil"/>
            </w:tcBorders>
          </w:tcPr>
          <w:p w14:paraId="129CD9FA" w14:textId="77777777" w:rsidR="001D1E04" w:rsidRPr="00BC2BB5" w:rsidRDefault="001D1E04" w:rsidP="0013788E">
            <w:pPr>
              <w:spacing w:before="0" w:after="0"/>
              <w:ind w:left="0"/>
              <w:jc w:val="left"/>
              <w:rPr>
                <w:rFonts w:asciiTheme="minorHAnsi" w:hAnsiTheme="minorHAnsi" w:cstheme="minorHAnsi"/>
                <w:bCs/>
                <w:color w:val="000000"/>
                <w:sz w:val="17"/>
                <w:szCs w:val="17"/>
              </w:rPr>
            </w:pPr>
            <w:r w:rsidRPr="00BC2BB5">
              <w:rPr>
                <w:rFonts w:asciiTheme="minorHAnsi" w:hAnsiTheme="minorHAnsi" w:cstheme="minorHAnsi"/>
                <w:bCs/>
                <w:color w:val="000000"/>
                <w:sz w:val="17"/>
                <w:szCs w:val="17"/>
              </w:rPr>
              <w:t>T.09-2</w:t>
            </w:r>
          </w:p>
        </w:tc>
        <w:tc>
          <w:tcPr>
            <w:tcW w:w="659" w:type="dxa"/>
            <w:tcBorders>
              <w:top w:val="nil"/>
              <w:left w:val="nil"/>
              <w:bottom w:val="dotted" w:sz="4" w:space="0" w:color="auto"/>
              <w:right w:val="nil"/>
            </w:tcBorders>
          </w:tcPr>
          <w:p w14:paraId="266300CC" w14:textId="77777777" w:rsidR="001D1E04" w:rsidRPr="00BC2BB5" w:rsidRDefault="001D1E04" w:rsidP="0013788E">
            <w:pPr>
              <w:spacing w:before="0" w:after="0"/>
              <w:ind w:left="0"/>
              <w:jc w:val="left"/>
              <w:rPr>
                <w:rFonts w:asciiTheme="minorHAnsi" w:hAnsiTheme="minorHAnsi" w:cstheme="minorHAnsi"/>
                <w:bCs/>
                <w:color w:val="000000"/>
                <w:sz w:val="17"/>
                <w:szCs w:val="17"/>
              </w:rPr>
            </w:pPr>
            <w:r w:rsidRPr="00BC2BB5">
              <w:rPr>
                <w:rFonts w:asciiTheme="minorHAnsi" w:hAnsiTheme="minorHAnsi" w:cstheme="minorHAnsi"/>
                <w:bCs/>
                <w:color w:val="000000"/>
                <w:sz w:val="17"/>
                <w:szCs w:val="17"/>
              </w:rPr>
              <w:t>SU</w:t>
            </w:r>
          </w:p>
        </w:tc>
        <w:tc>
          <w:tcPr>
            <w:tcW w:w="2318" w:type="dxa"/>
            <w:tcBorders>
              <w:top w:val="nil"/>
              <w:left w:val="nil"/>
              <w:bottom w:val="dotted" w:sz="4" w:space="0" w:color="auto"/>
              <w:right w:val="nil"/>
            </w:tcBorders>
          </w:tcPr>
          <w:p w14:paraId="3F2255B2" w14:textId="77777777" w:rsidR="001D1E04" w:rsidRPr="00BC2BB5" w:rsidRDefault="001D1E04" w:rsidP="0013788E">
            <w:pPr>
              <w:spacing w:before="0" w:after="0"/>
              <w:ind w:left="0"/>
              <w:jc w:val="left"/>
              <w:rPr>
                <w:rFonts w:asciiTheme="minorHAnsi" w:hAnsiTheme="minorHAnsi" w:cstheme="minorHAnsi"/>
                <w:bCs/>
                <w:color w:val="000000"/>
                <w:sz w:val="17"/>
                <w:szCs w:val="17"/>
              </w:rPr>
            </w:pPr>
            <w:r w:rsidRPr="00BC2BB5">
              <w:rPr>
                <w:rFonts w:asciiTheme="minorHAnsi" w:hAnsiTheme="minorHAnsi" w:cstheme="minorHAnsi"/>
                <w:bCs/>
                <w:color w:val="000000"/>
                <w:sz w:val="17"/>
                <w:szCs w:val="17"/>
              </w:rPr>
              <w:t>smíšené obytné všeobecné</w:t>
            </w:r>
          </w:p>
        </w:tc>
        <w:tc>
          <w:tcPr>
            <w:tcW w:w="4110" w:type="dxa"/>
            <w:tcBorders>
              <w:top w:val="nil"/>
              <w:left w:val="nil"/>
              <w:bottom w:val="dotted" w:sz="4" w:space="0" w:color="auto"/>
              <w:right w:val="nil"/>
            </w:tcBorders>
          </w:tcPr>
          <w:p w14:paraId="4803FFD6" w14:textId="4B78018B" w:rsidR="00991252" w:rsidRPr="00991252" w:rsidRDefault="00991252" w:rsidP="00991252">
            <w:pPr>
              <w:pStyle w:val="Odstavecseseznamem"/>
              <w:numPr>
                <w:ilvl w:val="0"/>
                <w:numId w:val="18"/>
              </w:numPr>
              <w:spacing w:before="0" w:after="0"/>
              <w:ind w:left="208" w:hanging="208"/>
              <w:rPr>
                <w:rFonts w:cs="Calibri"/>
                <w:sz w:val="17"/>
                <w:szCs w:val="17"/>
              </w:rPr>
            </w:pPr>
            <w:r w:rsidRPr="00991252">
              <w:rPr>
                <w:rFonts w:cs="Calibri"/>
                <w:sz w:val="17"/>
                <w:szCs w:val="17"/>
              </w:rPr>
              <w:t xml:space="preserve">plocha je součástí zastavěného území obce, </w:t>
            </w:r>
          </w:p>
          <w:p w14:paraId="5C7A9D7E" w14:textId="127E0D1F" w:rsidR="00991252" w:rsidRPr="00991252" w:rsidRDefault="00991252" w:rsidP="00991252">
            <w:pPr>
              <w:pStyle w:val="Odstavecseseznamem"/>
              <w:numPr>
                <w:ilvl w:val="0"/>
                <w:numId w:val="18"/>
              </w:numPr>
              <w:spacing w:before="0" w:after="0"/>
              <w:ind w:left="208" w:hanging="208"/>
              <w:rPr>
                <w:rFonts w:cs="Calibri"/>
                <w:sz w:val="17"/>
                <w:szCs w:val="17"/>
              </w:rPr>
            </w:pPr>
            <w:r w:rsidRPr="00991252">
              <w:rPr>
                <w:rFonts w:cs="Calibri"/>
                <w:sz w:val="17"/>
                <w:szCs w:val="17"/>
              </w:rPr>
              <w:t>plocha neslouží k zemědělskému využití,</w:t>
            </w:r>
          </w:p>
          <w:p w14:paraId="66F8C210" w14:textId="5BFFCEE0" w:rsidR="00991252" w:rsidRPr="00991252" w:rsidRDefault="00991252" w:rsidP="00991252">
            <w:pPr>
              <w:pStyle w:val="Odstavecseseznamem"/>
              <w:numPr>
                <w:ilvl w:val="0"/>
                <w:numId w:val="18"/>
              </w:numPr>
              <w:spacing w:before="0" w:after="0"/>
              <w:ind w:left="208" w:hanging="208"/>
              <w:rPr>
                <w:rFonts w:cs="Calibri"/>
                <w:sz w:val="17"/>
                <w:szCs w:val="17"/>
              </w:rPr>
            </w:pPr>
            <w:r w:rsidRPr="00991252">
              <w:rPr>
                <w:rFonts w:cs="Calibri"/>
                <w:sz w:val="17"/>
                <w:szCs w:val="17"/>
              </w:rPr>
              <w:t>plocha je vymezena jako transformační plocha pro</w:t>
            </w:r>
            <w:r>
              <w:rPr>
                <w:rFonts w:cs="Calibri"/>
                <w:sz w:val="17"/>
                <w:szCs w:val="17"/>
              </w:rPr>
              <w:t> </w:t>
            </w:r>
            <w:r w:rsidRPr="00991252">
              <w:rPr>
                <w:rFonts w:cs="Calibri"/>
                <w:sz w:val="17"/>
                <w:szCs w:val="17"/>
              </w:rPr>
              <w:t>dopravní infrastrukturu předchozím ÚP Hlubočky (B25),</w:t>
            </w:r>
          </w:p>
          <w:p w14:paraId="233E615C" w14:textId="4864038E" w:rsidR="001D1E04" w:rsidRPr="00BC2BB5" w:rsidRDefault="00991252" w:rsidP="00991252">
            <w:pPr>
              <w:pStyle w:val="Odstavecseseznamem"/>
              <w:numPr>
                <w:ilvl w:val="0"/>
                <w:numId w:val="18"/>
              </w:numPr>
              <w:spacing w:before="0" w:after="0"/>
              <w:ind w:left="208" w:hanging="208"/>
              <w:rPr>
                <w:rFonts w:asciiTheme="minorHAnsi" w:hAnsiTheme="minorHAnsi" w:cstheme="minorHAnsi"/>
                <w:bCs/>
                <w:color w:val="000000"/>
                <w:sz w:val="17"/>
                <w:szCs w:val="17"/>
              </w:rPr>
            </w:pPr>
            <w:r w:rsidRPr="00991252">
              <w:rPr>
                <w:rFonts w:cs="Calibri"/>
                <w:sz w:val="17"/>
                <w:szCs w:val="17"/>
              </w:rPr>
              <w:t>změna využiti plochy je stanovena z důvodu možnosti rozvoje smíšené obytné zástavby ulice Dukelských hrdinů a posílení místního jádra obce s podmínkou zajištění parkovacích stání pro potřeby lokality, tedy rozvoje veřejné infrastruktury.</w:t>
            </w:r>
          </w:p>
        </w:tc>
      </w:tr>
      <w:tr w:rsidR="001D1E04" w:rsidRPr="00BC2BB5" w14:paraId="52F03AF5" w14:textId="77777777" w:rsidTr="00BC2BB5">
        <w:trPr>
          <w:trHeight w:val="284"/>
        </w:trPr>
        <w:tc>
          <w:tcPr>
            <w:tcW w:w="709" w:type="dxa"/>
            <w:tcBorders>
              <w:top w:val="nil"/>
              <w:left w:val="nil"/>
              <w:bottom w:val="dotted" w:sz="4" w:space="0" w:color="auto"/>
              <w:right w:val="nil"/>
            </w:tcBorders>
            <w:hideMark/>
          </w:tcPr>
          <w:p w14:paraId="7FEF231F" w14:textId="77777777" w:rsidR="001D1E04" w:rsidRPr="00BC2BB5" w:rsidRDefault="001D1E04" w:rsidP="0013788E">
            <w:pPr>
              <w:spacing w:before="0" w:after="0"/>
              <w:ind w:left="0"/>
              <w:jc w:val="left"/>
              <w:rPr>
                <w:rFonts w:asciiTheme="minorHAnsi" w:hAnsiTheme="minorHAnsi" w:cstheme="minorHAnsi"/>
                <w:bCs/>
                <w:color w:val="000000"/>
                <w:sz w:val="17"/>
                <w:szCs w:val="17"/>
              </w:rPr>
            </w:pPr>
            <w:r w:rsidRPr="00BC2BB5">
              <w:rPr>
                <w:rFonts w:asciiTheme="minorHAnsi" w:hAnsiTheme="minorHAnsi" w:cstheme="minorHAnsi"/>
                <w:bCs/>
                <w:color w:val="000000"/>
                <w:sz w:val="17"/>
                <w:szCs w:val="17"/>
              </w:rPr>
              <w:t>T.09-3</w:t>
            </w:r>
          </w:p>
        </w:tc>
        <w:tc>
          <w:tcPr>
            <w:tcW w:w="659" w:type="dxa"/>
            <w:tcBorders>
              <w:top w:val="nil"/>
              <w:left w:val="nil"/>
              <w:bottom w:val="dotted" w:sz="4" w:space="0" w:color="auto"/>
              <w:right w:val="nil"/>
            </w:tcBorders>
            <w:hideMark/>
          </w:tcPr>
          <w:p w14:paraId="1423587F" w14:textId="77777777" w:rsidR="001D1E04" w:rsidRPr="00BC2BB5" w:rsidRDefault="001D1E04" w:rsidP="0013788E">
            <w:pPr>
              <w:spacing w:before="0" w:after="0"/>
              <w:ind w:left="0"/>
              <w:jc w:val="left"/>
              <w:rPr>
                <w:rFonts w:asciiTheme="minorHAnsi" w:hAnsiTheme="minorHAnsi" w:cstheme="minorHAnsi"/>
                <w:bCs/>
                <w:color w:val="000000"/>
                <w:sz w:val="17"/>
                <w:szCs w:val="17"/>
              </w:rPr>
            </w:pPr>
            <w:r w:rsidRPr="00BC2BB5">
              <w:rPr>
                <w:rFonts w:asciiTheme="minorHAnsi" w:hAnsiTheme="minorHAnsi" w:cstheme="minorHAnsi"/>
                <w:bCs/>
                <w:color w:val="000000"/>
                <w:sz w:val="17"/>
                <w:szCs w:val="17"/>
              </w:rPr>
              <w:t>SU</w:t>
            </w:r>
          </w:p>
        </w:tc>
        <w:tc>
          <w:tcPr>
            <w:tcW w:w="2318" w:type="dxa"/>
            <w:tcBorders>
              <w:top w:val="nil"/>
              <w:left w:val="nil"/>
              <w:bottom w:val="dotted" w:sz="4" w:space="0" w:color="auto"/>
              <w:right w:val="nil"/>
            </w:tcBorders>
            <w:hideMark/>
          </w:tcPr>
          <w:p w14:paraId="2B06B9E8" w14:textId="77777777" w:rsidR="001D1E04" w:rsidRPr="00BC2BB5" w:rsidRDefault="001D1E04" w:rsidP="0013788E">
            <w:pPr>
              <w:spacing w:before="0" w:after="0"/>
              <w:ind w:left="0"/>
              <w:jc w:val="left"/>
              <w:rPr>
                <w:rFonts w:asciiTheme="minorHAnsi" w:hAnsiTheme="minorHAnsi" w:cstheme="minorHAnsi"/>
                <w:bCs/>
                <w:color w:val="000000"/>
                <w:sz w:val="17"/>
                <w:szCs w:val="17"/>
              </w:rPr>
            </w:pPr>
            <w:r w:rsidRPr="00BC2BB5">
              <w:rPr>
                <w:rFonts w:asciiTheme="minorHAnsi" w:hAnsiTheme="minorHAnsi" w:cstheme="minorHAnsi"/>
                <w:bCs/>
                <w:color w:val="000000"/>
                <w:sz w:val="17"/>
                <w:szCs w:val="17"/>
              </w:rPr>
              <w:t>smíšené obytné všeobecné</w:t>
            </w:r>
          </w:p>
        </w:tc>
        <w:tc>
          <w:tcPr>
            <w:tcW w:w="4110" w:type="dxa"/>
            <w:tcBorders>
              <w:top w:val="nil"/>
              <w:left w:val="nil"/>
              <w:bottom w:val="dotted" w:sz="4" w:space="0" w:color="auto"/>
              <w:right w:val="nil"/>
            </w:tcBorders>
          </w:tcPr>
          <w:p w14:paraId="2D2E4F6B" w14:textId="77777777" w:rsidR="00561E38" w:rsidRPr="00991252" w:rsidRDefault="00561E38" w:rsidP="00561E38">
            <w:pPr>
              <w:pStyle w:val="Odstavecseseznamem"/>
              <w:numPr>
                <w:ilvl w:val="0"/>
                <w:numId w:val="18"/>
              </w:numPr>
              <w:spacing w:before="0" w:after="0"/>
              <w:ind w:left="208" w:hanging="208"/>
              <w:rPr>
                <w:rFonts w:cs="Calibri"/>
                <w:sz w:val="17"/>
                <w:szCs w:val="17"/>
              </w:rPr>
            </w:pPr>
            <w:r w:rsidRPr="00991252">
              <w:rPr>
                <w:rFonts w:cs="Calibri"/>
                <w:sz w:val="17"/>
                <w:szCs w:val="17"/>
              </w:rPr>
              <w:t xml:space="preserve">plocha je součástí zastavěného území obce, </w:t>
            </w:r>
          </w:p>
          <w:p w14:paraId="64A97CFB" w14:textId="77777777" w:rsidR="00561E38" w:rsidRPr="00991252" w:rsidRDefault="00561E38" w:rsidP="00561E38">
            <w:pPr>
              <w:pStyle w:val="Odstavecseseznamem"/>
              <w:numPr>
                <w:ilvl w:val="0"/>
                <w:numId w:val="18"/>
              </w:numPr>
              <w:spacing w:before="0" w:after="0"/>
              <w:ind w:left="208" w:hanging="208"/>
              <w:rPr>
                <w:rFonts w:cs="Calibri"/>
                <w:sz w:val="17"/>
                <w:szCs w:val="17"/>
              </w:rPr>
            </w:pPr>
            <w:r w:rsidRPr="00991252">
              <w:rPr>
                <w:rFonts w:cs="Calibri"/>
                <w:sz w:val="17"/>
                <w:szCs w:val="17"/>
              </w:rPr>
              <w:t>plocha neslouží k zemědělskému využití,</w:t>
            </w:r>
          </w:p>
          <w:p w14:paraId="552CA377" w14:textId="198AB607" w:rsidR="00561E38" w:rsidRPr="00991252" w:rsidRDefault="00561E38" w:rsidP="00561E38">
            <w:pPr>
              <w:pStyle w:val="Odstavecseseznamem"/>
              <w:numPr>
                <w:ilvl w:val="0"/>
                <w:numId w:val="18"/>
              </w:numPr>
              <w:spacing w:before="0" w:after="0"/>
              <w:ind w:left="208" w:hanging="208"/>
              <w:rPr>
                <w:rFonts w:cs="Calibri"/>
                <w:sz w:val="17"/>
                <w:szCs w:val="17"/>
              </w:rPr>
            </w:pPr>
            <w:r w:rsidRPr="00991252">
              <w:rPr>
                <w:rFonts w:cs="Calibri"/>
                <w:sz w:val="17"/>
                <w:szCs w:val="17"/>
              </w:rPr>
              <w:t>plocha je vymezena jako transformační plocha pro</w:t>
            </w:r>
            <w:r>
              <w:rPr>
                <w:rFonts w:cs="Calibri"/>
                <w:sz w:val="17"/>
                <w:szCs w:val="17"/>
              </w:rPr>
              <w:t> výrobu drobnou</w:t>
            </w:r>
            <w:r w:rsidRPr="00991252">
              <w:rPr>
                <w:rFonts w:cs="Calibri"/>
                <w:sz w:val="17"/>
                <w:szCs w:val="17"/>
              </w:rPr>
              <w:t xml:space="preserve"> předchozím ÚP Hlubočky (</w:t>
            </w:r>
            <w:r>
              <w:rPr>
                <w:rFonts w:cs="Calibri"/>
                <w:sz w:val="17"/>
                <w:szCs w:val="17"/>
              </w:rPr>
              <w:t>V3</w:t>
            </w:r>
            <w:r w:rsidRPr="00991252">
              <w:rPr>
                <w:rFonts w:cs="Calibri"/>
                <w:sz w:val="17"/>
                <w:szCs w:val="17"/>
              </w:rPr>
              <w:t>),</w:t>
            </w:r>
          </w:p>
          <w:p w14:paraId="3C16D4D8" w14:textId="3C6C6E09" w:rsidR="001D1E04" w:rsidRPr="00561E38" w:rsidRDefault="00561E38" w:rsidP="00561E38">
            <w:pPr>
              <w:pStyle w:val="Odstavecseseznamem"/>
              <w:numPr>
                <w:ilvl w:val="0"/>
                <w:numId w:val="18"/>
              </w:numPr>
              <w:spacing w:before="0" w:after="0"/>
              <w:ind w:left="208" w:hanging="208"/>
              <w:rPr>
                <w:rFonts w:cs="Calibri"/>
                <w:sz w:val="17"/>
                <w:szCs w:val="17"/>
              </w:rPr>
            </w:pPr>
            <w:r w:rsidRPr="00991252">
              <w:rPr>
                <w:rFonts w:cs="Calibri"/>
                <w:sz w:val="17"/>
                <w:szCs w:val="17"/>
              </w:rPr>
              <w:t xml:space="preserve">změna využiti plochy je stanovena z důvodu možnosti rozvoje smíšené obytné zástavby </w:t>
            </w:r>
            <w:r>
              <w:rPr>
                <w:rFonts w:cs="Calibri"/>
                <w:sz w:val="17"/>
                <w:szCs w:val="17"/>
              </w:rPr>
              <w:t>areálu bývalé elektrárny a lokality</w:t>
            </w:r>
            <w:r w:rsidRPr="00991252">
              <w:rPr>
                <w:rFonts w:cs="Calibri"/>
                <w:sz w:val="17"/>
                <w:szCs w:val="17"/>
              </w:rPr>
              <w:t xml:space="preserve"> </w:t>
            </w:r>
            <w:r>
              <w:rPr>
                <w:rFonts w:cs="Calibri"/>
                <w:sz w:val="17"/>
                <w:szCs w:val="17"/>
              </w:rPr>
              <w:t>Dukla</w:t>
            </w:r>
            <w:r w:rsidRPr="00991252">
              <w:rPr>
                <w:rFonts w:cs="Calibri"/>
                <w:sz w:val="17"/>
                <w:szCs w:val="17"/>
              </w:rPr>
              <w:t xml:space="preserve"> a posílení místního jádra obce s podmínkou </w:t>
            </w:r>
            <w:r>
              <w:rPr>
                <w:rFonts w:cs="Calibri"/>
                <w:sz w:val="17"/>
                <w:szCs w:val="17"/>
              </w:rPr>
              <w:t xml:space="preserve">zachování </w:t>
            </w:r>
            <w:r w:rsidR="007851FF">
              <w:rPr>
                <w:rFonts w:cs="Calibri"/>
                <w:sz w:val="17"/>
                <w:szCs w:val="17"/>
              </w:rPr>
              <w:t xml:space="preserve">prostorové </w:t>
            </w:r>
            <w:r>
              <w:rPr>
                <w:rFonts w:cs="Calibri"/>
                <w:sz w:val="17"/>
                <w:szCs w:val="17"/>
              </w:rPr>
              <w:t>dominanty komína bývalé elektrárny</w:t>
            </w:r>
            <w:r w:rsidRPr="00991252">
              <w:rPr>
                <w:rFonts w:cs="Calibri"/>
                <w:sz w:val="17"/>
                <w:szCs w:val="17"/>
              </w:rPr>
              <w:t>.</w:t>
            </w:r>
          </w:p>
        </w:tc>
      </w:tr>
      <w:tr w:rsidR="00EB365F" w:rsidRPr="00BC2BB5" w14:paraId="0722DCC4" w14:textId="77777777" w:rsidTr="00257167">
        <w:trPr>
          <w:trHeight w:val="284"/>
        </w:trPr>
        <w:tc>
          <w:tcPr>
            <w:tcW w:w="7796" w:type="dxa"/>
            <w:gridSpan w:val="4"/>
            <w:tcBorders>
              <w:top w:val="nil"/>
              <w:left w:val="nil"/>
              <w:bottom w:val="dotted" w:sz="4" w:space="0" w:color="auto"/>
              <w:right w:val="nil"/>
            </w:tcBorders>
          </w:tcPr>
          <w:p w14:paraId="639285C6" w14:textId="79A928A9" w:rsidR="00EB365F" w:rsidRPr="00BC2BB5" w:rsidRDefault="00EB365F" w:rsidP="0013788E">
            <w:pPr>
              <w:spacing w:before="0" w:after="0"/>
              <w:ind w:left="0"/>
              <w:jc w:val="left"/>
              <w:rPr>
                <w:rFonts w:asciiTheme="minorHAnsi" w:hAnsiTheme="minorHAnsi" w:cstheme="minorHAnsi"/>
                <w:bCs/>
                <w:color w:val="000000"/>
                <w:sz w:val="17"/>
                <w:szCs w:val="17"/>
              </w:rPr>
            </w:pPr>
            <w:r w:rsidRPr="00AE233A">
              <w:rPr>
                <w:rFonts w:asciiTheme="minorHAnsi" w:hAnsiTheme="minorHAnsi" w:cstheme="minorHAnsi"/>
                <w:b/>
                <w:color w:val="000000"/>
                <w:sz w:val="17"/>
                <w:szCs w:val="17"/>
              </w:rPr>
              <w:t>L.10 Hrubá Voda</w:t>
            </w:r>
          </w:p>
        </w:tc>
      </w:tr>
      <w:tr w:rsidR="001D1E04" w:rsidRPr="00BC2BB5" w14:paraId="078F19D4" w14:textId="77777777" w:rsidTr="00255D10">
        <w:trPr>
          <w:trHeight w:val="1832"/>
        </w:trPr>
        <w:tc>
          <w:tcPr>
            <w:tcW w:w="709" w:type="dxa"/>
            <w:tcBorders>
              <w:top w:val="nil"/>
              <w:left w:val="nil"/>
              <w:bottom w:val="dotted" w:sz="4" w:space="0" w:color="auto"/>
              <w:right w:val="nil"/>
            </w:tcBorders>
            <w:hideMark/>
          </w:tcPr>
          <w:p w14:paraId="6512B6B2" w14:textId="77777777" w:rsidR="001D1E04" w:rsidRPr="00BC2BB5" w:rsidRDefault="001D1E04" w:rsidP="0013788E">
            <w:pPr>
              <w:spacing w:before="0" w:after="0"/>
              <w:ind w:left="0"/>
              <w:jc w:val="left"/>
              <w:rPr>
                <w:rFonts w:asciiTheme="minorHAnsi" w:hAnsiTheme="minorHAnsi" w:cstheme="minorHAnsi"/>
                <w:bCs/>
                <w:color w:val="000000"/>
                <w:sz w:val="17"/>
                <w:szCs w:val="17"/>
              </w:rPr>
            </w:pPr>
            <w:r w:rsidRPr="00BC2BB5">
              <w:rPr>
                <w:rFonts w:asciiTheme="minorHAnsi" w:hAnsiTheme="minorHAnsi" w:cstheme="minorHAnsi"/>
                <w:bCs/>
                <w:color w:val="000000"/>
                <w:sz w:val="17"/>
                <w:szCs w:val="17"/>
              </w:rPr>
              <w:t>T.10-1</w:t>
            </w:r>
          </w:p>
        </w:tc>
        <w:tc>
          <w:tcPr>
            <w:tcW w:w="659" w:type="dxa"/>
            <w:tcBorders>
              <w:top w:val="nil"/>
              <w:left w:val="nil"/>
              <w:bottom w:val="dotted" w:sz="4" w:space="0" w:color="auto"/>
              <w:right w:val="nil"/>
            </w:tcBorders>
            <w:hideMark/>
          </w:tcPr>
          <w:p w14:paraId="19F7C7DF" w14:textId="77777777" w:rsidR="001D1E04" w:rsidRPr="00BC2BB5" w:rsidRDefault="001D1E04" w:rsidP="0013788E">
            <w:pPr>
              <w:spacing w:before="0" w:after="0"/>
              <w:ind w:left="0"/>
              <w:jc w:val="left"/>
              <w:rPr>
                <w:rFonts w:asciiTheme="minorHAnsi" w:hAnsiTheme="minorHAnsi" w:cstheme="minorHAnsi"/>
                <w:bCs/>
                <w:color w:val="000000"/>
                <w:sz w:val="17"/>
                <w:szCs w:val="17"/>
              </w:rPr>
            </w:pPr>
            <w:r w:rsidRPr="00BC2BB5">
              <w:rPr>
                <w:rFonts w:asciiTheme="minorHAnsi" w:hAnsiTheme="minorHAnsi" w:cstheme="minorHAnsi"/>
                <w:bCs/>
                <w:color w:val="000000"/>
                <w:sz w:val="17"/>
                <w:szCs w:val="17"/>
              </w:rPr>
              <w:t>SV</w:t>
            </w:r>
          </w:p>
        </w:tc>
        <w:tc>
          <w:tcPr>
            <w:tcW w:w="2318" w:type="dxa"/>
            <w:tcBorders>
              <w:top w:val="nil"/>
              <w:left w:val="nil"/>
              <w:bottom w:val="dotted" w:sz="4" w:space="0" w:color="auto"/>
              <w:right w:val="nil"/>
            </w:tcBorders>
            <w:hideMark/>
          </w:tcPr>
          <w:p w14:paraId="51BB7D7E" w14:textId="77777777" w:rsidR="001D1E04" w:rsidRPr="00BC2BB5" w:rsidRDefault="001D1E04" w:rsidP="0013788E">
            <w:pPr>
              <w:spacing w:before="0" w:after="0"/>
              <w:ind w:left="0"/>
              <w:jc w:val="left"/>
              <w:rPr>
                <w:rFonts w:asciiTheme="minorHAnsi" w:hAnsiTheme="minorHAnsi" w:cstheme="minorHAnsi"/>
                <w:bCs/>
                <w:color w:val="000000"/>
                <w:sz w:val="17"/>
                <w:szCs w:val="17"/>
              </w:rPr>
            </w:pPr>
            <w:r w:rsidRPr="00BC2BB5">
              <w:rPr>
                <w:rFonts w:asciiTheme="minorHAnsi" w:hAnsiTheme="minorHAnsi" w:cstheme="minorHAnsi"/>
                <w:bCs/>
                <w:color w:val="000000"/>
                <w:sz w:val="17"/>
                <w:szCs w:val="17"/>
              </w:rPr>
              <w:t>smíšené obytné venkovské</w:t>
            </w:r>
          </w:p>
        </w:tc>
        <w:tc>
          <w:tcPr>
            <w:tcW w:w="4110" w:type="dxa"/>
            <w:tcBorders>
              <w:top w:val="nil"/>
              <w:left w:val="nil"/>
              <w:bottom w:val="dotted" w:sz="4" w:space="0" w:color="auto"/>
              <w:right w:val="nil"/>
            </w:tcBorders>
          </w:tcPr>
          <w:p w14:paraId="06A8F17F" w14:textId="2BE1C71B" w:rsidR="00F328E1" w:rsidRPr="00F328E1" w:rsidRDefault="00F328E1" w:rsidP="00F328E1">
            <w:pPr>
              <w:pStyle w:val="Odstavecseseznamem"/>
              <w:numPr>
                <w:ilvl w:val="0"/>
                <w:numId w:val="18"/>
              </w:numPr>
              <w:spacing w:before="0" w:after="0"/>
              <w:ind w:left="208" w:hanging="208"/>
              <w:rPr>
                <w:rFonts w:cs="Calibri"/>
                <w:sz w:val="17"/>
                <w:szCs w:val="17"/>
              </w:rPr>
            </w:pPr>
            <w:r w:rsidRPr="00F328E1">
              <w:rPr>
                <w:rFonts w:cs="Calibri"/>
                <w:sz w:val="17"/>
                <w:szCs w:val="17"/>
              </w:rPr>
              <w:t>plocha je součástí zastavěného území obce,</w:t>
            </w:r>
          </w:p>
          <w:p w14:paraId="1A453AFA" w14:textId="1A778CBE" w:rsidR="00F328E1" w:rsidRPr="00F328E1" w:rsidRDefault="00F328E1" w:rsidP="00F328E1">
            <w:pPr>
              <w:pStyle w:val="Odstavecseseznamem"/>
              <w:numPr>
                <w:ilvl w:val="0"/>
                <w:numId w:val="18"/>
              </w:numPr>
              <w:spacing w:before="0" w:after="0"/>
              <w:ind w:left="208" w:hanging="208"/>
              <w:rPr>
                <w:rFonts w:cs="Calibri"/>
                <w:sz w:val="17"/>
                <w:szCs w:val="17"/>
              </w:rPr>
            </w:pPr>
            <w:r w:rsidRPr="00F328E1">
              <w:rPr>
                <w:rFonts w:cs="Calibri"/>
                <w:sz w:val="17"/>
                <w:szCs w:val="17"/>
              </w:rPr>
              <w:t>plocha je vymezena jako transformační plocha stávající rekreační zástavby (rekreační a zahradní chaty) na</w:t>
            </w:r>
            <w:r w:rsidR="00A16821">
              <w:rPr>
                <w:rFonts w:cs="Calibri"/>
                <w:sz w:val="17"/>
                <w:szCs w:val="17"/>
              </w:rPr>
              <w:t> </w:t>
            </w:r>
            <w:r w:rsidRPr="00F328E1">
              <w:rPr>
                <w:rFonts w:cs="Calibri"/>
                <w:sz w:val="17"/>
                <w:szCs w:val="17"/>
              </w:rPr>
              <w:t>bydlení předchozím ÚP Hlubočky (B21),</w:t>
            </w:r>
          </w:p>
          <w:p w14:paraId="20CA2F8E" w14:textId="61F2C279" w:rsidR="001D1E04" w:rsidRPr="00F328E1" w:rsidRDefault="00F328E1" w:rsidP="00F328E1">
            <w:pPr>
              <w:pStyle w:val="Odstavecseseznamem"/>
              <w:numPr>
                <w:ilvl w:val="0"/>
                <w:numId w:val="18"/>
              </w:numPr>
              <w:spacing w:before="0" w:after="0"/>
              <w:ind w:left="208" w:hanging="208"/>
              <w:rPr>
                <w:rFonts w:cs="Calibri"/>
                <w:sz w:val="17"/>
                <w:szCs w:val="17"/>
              </w:rPr>
            </w:pPr>
            <w:r w:rsidRPr="00F328E1">
              <w:rPr>
                <w:rFonts w:cs="Calibri"/>
                <w:sz w:val="17"/>
                <w:szCs w:val="17"/>
              </w:rPr>
              <w:t>změna využití plochy je stanovena z důvodu návaznosti na stávající plochy smíšené obytné, včetně již realizované navazující plochy B23.</w:t>
            </w:r>
          </w:p>
        </w:tc>
      </w:tr>
      <w:tr w:rsidR="001D1E04" w:rsidRPr="00BC2BB5" w14:paraId="70B6C220" w14:textId="77777777" w:rsidTr="00BC2BB5">
        <w:trPr>
          <w:trHeight w:val="284"/>
        </w:trPr>
        <w:tc>
          <w:tcPr>
            <w:tcW w:w="709" w:type="dxa"/>
            <w:tcBorders>
              <w:top w:val="nil"/>
              <w:left w:val="nil"/>
              <w:bottom w:val="dotted" w:sz="4" w:space="0" w:color="auto"/>
              <w:right w:val="nil"/>
            </w:tcBorders>
            <w:hideMark/>
          </w:tcPr>
          <w:p w14:paraId="17DE992F" w14:textId="77777777" w:rsidR="001D1E04" w:rsidRPr="00BC2BB5" w:rsidRDefault="001D1E04" w:rsidP="0013788E">
            <w:pPr>
              <w:spacing w:before="0" w:after="0"/>
              <w:ind w:left="0"/>
              <w:jc w:val="left"/>
              <w:rPr>
                <w:rFonts w:asciiTheme="minorHAnsi" w:hAnsiTheme="minorHAnsi" w:cstheme="minorHAnsi"/>
                <w:bCs/>
                <w:color w:val="000000"/>
                <w:sz w:val="17"/>
                <w:szCs w:val="17"/>
              </w:rPr>
            </w:pPr>
            <w:r w:rsidRPr="00BC2BB5">
              <w:rPr>
                <w:rFonts w:asciiTheme="minorHAnsi" w:hAnsiTheme="minorHAnsi" w:cstheme="minorHAnsi"/>
                <w:bCs/>
                <w:color w:val="000000"/>
                <w:sz w:val="17"/>
                <w:szCs w:val="17"/>
              </w:rPr>
              <w:lastRenderedPageBreak/>
              <w:t>T.10-2</w:t>
            </w:r>
          </w:p>
        </w:tc>
        <w:tc>
          <w:tcPr>
            <w:tcW w:w="659" w:type="dxa"/>
            <w:tcBorders>
              <w:top w:val="nil"/>
              <w:left w:val="nil"/>
              <w:bottom w:val="dotted" w:sz="4" w:space="0" w:color="auto"/>
              <w:right w:val="nil"/>
            </w:tcBorders>
            <w:hideMark/>
          </w:tcPr>
          <w:p w14:paraId="51A75845" w14:textId="77777777" w:rsidR="001D1E04" w:rsidRPr="00BC2BB5" w:rsidRDefault="001D1E04" w:rsidP="0013788E">
            <w:pPr>
              <w:spacing w:before="0" w:after="0"/>
              <w:ind w:left="0"/>
              <w:jc w:val="left"/>
              <w:rPr>
                <w:rFonts w:asciiTheme="minorHAnsi" w:hAnsiTheme="minorHAnsi" w:cstheme="minorHAnsi"/>
                <w:bCs/>
                <w:color w:val="000000"/>
                <w:sz w:val="17"/>
                <w:szCs w:val="17"/>
              </w:rPr>
            </w:pPr>
            <w:r w:rsidRPr="00BC2BB5">
              <w:rPr>
                <w:rFonts w:asciiTheme="minorHAnsi" w:hAnsiTheme="minorHAnsi" w:cstheme="minorHAnsi"/>
                <w:bCs/>
                <w:color w:val="000000"/>
                <w:sz w:val="17"/>
                <w:szCs w:val="17"/>
              </w:rPr>
              <w:t>SV</w:t>
            </w:r>
          </w:p>
        </w:tc>
        <w:tc>
          <w:tcPr>
            <w:tcW w:w="2318" w:type="dxa"/>
            <w:tcBorders>
              <w:top w:val="nil"/>
              <w:left w:val="nil"/>
              <w:bottom w:val="dotted" w:sz="4" w:space="0" w:color="auto"/>
              <w:right w:val="nil"/>
            </w:tcBorders>
            <w:hideMark/>
          </w:tcPr>
          <w:p w14:paraId="1BF231C0" w14:textId="77777777" w:rsidR="001D1E04" w:rsidRPr="00BC2BB5" w:rsidRDefault="001D1E04" w:rsidP="0013788E">
            <w:pPr>
              <w:spacing w:before="0" w:after="0"/>
              <w:ind w:left="0"/>
              <w:jc w:val="left"/>
              <w:rPr>
                <w:rFonts w:asciiTheme="minorHAnsi" w:hAnsiTheme="minorHAnsi" w:cstheme="minorHAnsi"/>
                <w:bCs/>
                <w:color w:val="000000"/>
                <w:sz w:val="17"/>
                <w:szCs w:val="17"/>
              </w:rPr>
            </w:pPr>
            <w:r w:rsidRPr="00BC2BB5">
              <w:rPr>
                <w:rFonts w:asciiTheme="minorHAnsi" w:hAnsiTheme="minorHAnsi" w:cstheme="minorHAnsi"/>
                <w:bCs/>
                <w:color w:val="000000"/>
                <w:sz w:val="17"/>
                <w:szCs w:val="17"/>
              </w:rPr>
              <w:t>smíšené obytné venkovské</w:t>
            </w:r>
          </w:p>
        </w:tc>
        <w:tc>
          <w:tcPr>
            <w:tcW w:w="4110" w:type="dxa"/>
            <w:tcBorders>
              <w:top w:val="nil"/>
              <w:left w:val="nil"/>
              <w:bottom w:val="dotted" w:sz="4" w:space="0" w:color="auto"/>
              <w:right w:val="nil"/>
            </w:tcBorders>
          </w:tcPr>
          <w:p w14:paraId="780ABAB4" w14:textId="74EBEE4E" w:rsidR="00F328E1" w:rsidRPr="00F328E1" w:rsidRDefault="00F328E1" w:rsidP="00F328E1">
            <w:pPr>
              <w:pStyle w:val="Odstavecseseznamem"/>
              <w:numPr>
                <w:ilvl w:val="0"/>
                <w:numId w:val="18"/>
              </w:numPr>
              <w:spacing w:before="0" w:after="0"/>
              <w:ind w:left="208" w:hanging="208"/>
              <w:rPr>
                <w:rFonts w:cs="Calibri"/>
                <w:sz w:val="17"/>
                <w:szCs w:val="17"/>
              </w:rPr>
            </w:pPr>
            <w:r w:rsidRPr="00F328E1">
              <w:rPr>
                <w:rFonts w:cs="Calibri"/>
                <w:sz w:val="17"/>
                <w:szCs w:val="17"/>
              </w:rPr>
              <w:t>plocha je součástí zastavěného území obce,</w:t>
            </w:r>
          </w:p>
          <w:p w14:paraId="4EA985D3" w14:textId="31DBFBE4" w:rsidR="00F328E1" w:rsidRPr="00F328E1" w:rsidRDefault="00F328E1" w:rsidP="00F328E1">
            <w:pPr>
              <w:pStyle w:val="Odstavecseseznamem"/>
              <w:numPr>
                <w:ilvl w:val="0"/>
                <w:numId w:val="18"/>
              </w:numPr>
              <w:spacing w:before="0" w:after="0"/>
              <w:ind w:left="208" w:hanging="208"/>
              <w:rPr>
                <w:rFonts w:cs="Calibri"/>
                <w:sz w:val="17"/>
                <w:szCs w:val="17"/>
              </w:rPr>
            </w:pPr>
            <w:r w:rsidRPr="00F328E1">
              <w:rPr>
                <w:rFonts w:cs="Calibri"/>
                <w:sz w:val="17"/>
                <w:szCs w:val="17"/>
              </w:rPr>
              <w:t>plocha je vymezena jako transformační plocha stávající rekreační zástavby (rekreační a zahradní chaty) na</w:t>
            </w:r>
            <w:r w:rsidR="004B1D7B">
              <w:rPr>
                <w:rFonts w:cs="Calibri"/>
                <w:sz w:val="17"/>
                <w:szCs w:val="17"/>
              </w:rPr>
              <w:t> </w:t>
            </w:r>
            <w:r w:rsidRPr="00F328E1">
              <w:rPr>
                <w:rFonts w:cs="Calibri"/>
                <w:sz w:val="17"/>
                <w:szCs w:val="17"/>
              </w:rPr>
              <w:t>bydlení předchozím ÚP Hlubočky (B17),</w:t>
            </w:r>
          </w:p>
          <w:p w14:paraId="356B4EB2" w14:textId="6E630E06" w:rsidR="001D1E04" w:rsidRPr="00F328E1" w:rsidRDefault="00F328E1" w:rsidP="00F328E1">
            <w:pPr>
              <w:pStyle w:val="Odstavecseseznamem"/>
              <w:numPr>
                <w:ilvl w:val="0"/>
                <w:numId w:val="18"/>
              </w:numPr>
              <w:spacing w:before="0" w:after="0"/>
              <w:ind w:left="208" w:hanging="208"/>
              <w:rPr>
                <w:rFonts w:cs="Calibri"/>
                <w:sz w:val="17"/>
                <w:szCs w:val="17"/>
              </w:rPr>
            </w:pPr>
            <w:r w:rsidRPr="00F328E1">
              <w:rPr>
                <w:rFonts w:cs="Calibri"/>
                <w:sz w:val="17"/>
                <w:szCs w:val="17"/>
              </w:rPr>
              <w:t xml:space="preserve">změna využití plochy je stanovena z důvodu probíhající transformace rekreační zástavby na bydlení. </w:t>
            </w:r>
          </w:p>
        </w:tc>
      </w:tr>
      <w:tr w:rsidR="001D1E04" w:rsidRPr="00BC2BB5" w14:paraId="1B3F75C5" w14:textId="77777777" w:rsidTr="00BC2BB5">
        <w:trPr>
          <w:trHeight w:val="284"/>
        </w:trPr>
        <w:tc>
          <w:tcPr>
            <w:tcW w:w="709" w:type="dxa"/>
            <w:tcBorders>
              <w:top w:val="nil"/>
              <w:left w:val="nil"/>
              <w:bottom w:val="dotted" w:sz="4" w:space="0" w:color="auto"/>
              <w:right w:val="nil"/>
            </w:tcBorders>
            <w:hideMark/>
          </w:tcPr>
          <w:p w14:paraId="2E42400F" w14:textId="77777777" w:rsidR="001D1E04" w:rsidRPr="00BC2BB5" w:rsidRDefault="001D1E04" w:rsidP="0013788E">
            <w:pPr>
              <w:spacing w:before="0" w:after="0"/>
              <w:ind w:left="0"/>
              <w:jc w:val="left"/>
              <w:rPr>
                <w:rFonts w:asciiTheme="minorHAnsi" w:hAnsiTheme="minorHAnsi" w:cstheme="minorHAnsi"/>
                <w:bCs/>
                <w:color w:val="000000"/>
                <w:sz w:val="17"/>
                <w:szCs w:val="17"/>
              </w:rPr>
            </w:pPr>
            <w:r w:rsidRPr="00BC2BB5">
              <w:rPr>
                <w:rFonts w:asciiTheme="minorHAnsi" w:hAnsiTheme="minorHAnsi" w:cstheme="minorHAnsi"/>
                <w:bCs/>
                <w:color w:val="000000"/>
                <w:sz w:val="17"/>
                <w:szCs w:val="17"/>
              </w:rPr>
              <w:t>T.10-3</w:t>
            </w:r>
          </w:p>
        </w:tc>
        <w:tc>
          <w:tcPr>
            <w:tcW w:w="659" w:type="dxa"/>
            <w:tcBorders>
              <w:top w:val="nil"/>
              <w:left w:val="nil"/>
              <w:bottom w:val="dotted" w:sz="4" w:space="0" w:color="auto"/>
              <w:right w:val="nil"/>
            </w:tcBorders>
            <w:hideMark/>
          </w:tcPr>
          <w:p w14:paraId="3EA051CC" w14:textId="77777777" w:rsidR="001D1E04" w:rsidRPr="00BC2BB5" w:rsidRDefault="001D1E04" w:rsidP="0013788E">
            <w:pPr>
              <w:spacing w:before="0" w:after="0"/>
              <w:ind w:left="0"/>
              <w:jc w:val="left"/>
              <w:rPr>
                <w:rFonts w:asciiTheme="minorHAnsi" w:hAnsiTheme="minorHAnsi" w:cstheme="minorHAnsi"/>
                <w:bCs/>
                <w:color w:val="000000"/>
                <w:sz w:val="17"/>
                <w:szCs w:val="17"/>
              </w:rPr>
            </w:pPr>
            <w:r w:rsidRPr="00BC2BB5">
              <w:rPr>
                <w:rFonts w:asciiTheme="minorHAnsi" w:hAnsiTheme="minorHAnsi" w:cstheme="minorHAnsi"/>
                <w:bCs/>
                <w:color w:val="000000"/>
                <w:sz w:val="17"/>
                <w:szCs w:val="17"/>
              </w:rPr>
              <w:t>SV</w:t>
            </w:r>
          </w:p>
        </w:tc>
        <w:tc>
          <w:tcPr>
            <w:tcW w:w="2318" w:type="dxa"/>
            <w:tcBorders>
              <w:top w:val="nil"/>
              <w:left w:val="nil"/>
              <w:bottom w:val="dotted" w:sz="4" w:space="0" w:color="auto"/>
              <w:right w:val="nil"/>
            </w:tcBorders>
            <w:hideMark/>
          </w:tcPr>
          <w:p w14:paraId="276ECA7D" w14:textId="77777777" w:rsidR="001D1E04" w:rsidRPr="00BC2BB5" w:rsidRDefault="001D1E04" w:rsidP="0013788E">
            <w:pPr>
              <w:spacing w:before="0" w:after="0"/>
              <w:ind w:left="0"/>
              <w:jc w:val="left"/>
              <w:rPr>
                <w:rFonts w:asciiTheme="minorHAnsi" w:hAnsiTheme="minorHAnsi" w:cstheme="minorHAnsi"/>
                <w:bCs/>
                <w:color w:val="000000"/>
                <w:sz w:val="17"/>
                <w:szCs w:val="17"/>
              </w:rPr>
            </w:pPr>
            <w:r w:rsidRPr="00BC2BB5">
              <w:rPr>
                <w:rFonts w:asciiTheme="minorHAnsi" w:hAnsiTheme="minorHAnsi" w:cstheme="minorHAnsi"/>
                <w:bCs/>
                <w:color w:val="000000"/>
                <w:sz w:val="17"/>
                <w:szCs w:val="17"/>
              </w:rPr>
              <w:t>smíšené obytné venkovské</w:t>
            </w:r>
          </w:p>
        </w:tc>
        <w:tc>
          <w:tcPr>
            <w:tcW w:w="4110" w:type="dxa"/>
            <w:tcBorders>
              <w:top w:val="nil"/>
              <w:left w:val="nil"/>
              <w:bottom w:val="dotted" w:sz="4" w:space="0" w:color="auto"/>
              <w:right w:val="nil"/>
            </w:tcBorders>
          </w:tcPr>
          <w:p w14:paraId="1A3482AE" w14:textId="5D30B999" w:rsidR="00F328E1" w:rsidRPr="00F328E1" w:rsidRDefault="00F328E1" w:rsidP="00F328E1">
            <w:pPr>
              <w:pStyle w:val="Odstavecseseznamem"/>
              <w:numPr>
                <w:ilvl w:val="0"/>
                <w:numId w:val="18"/>
              </w:numPr>
              <w:spacing w:before="0" w:after="0"/>
              <w:ind w:left="208" w:hanging="208"/>
              <w:rPr>
                <w:rFonts w:cs="Calibri"/>
                <w:sz w:val="17"/>
                <w:szCs w:val="17"/>
              </w:rPr>
            </w:pPr>
            <w:r w:rsidRPr="00F328E1">
              <w:rPr>
                <w:rFonts w:cs="Calibri"/>
                <w:sz w:val="17"/>
                <w:szCs w:val="17"/>
              </w:rPr>
              <w:t>plocha je součástí zastavěného území obce,</w:t>
            </w:r>
          </w:p>
          <w:p w14:paraId="6B861477" w14:textId="5F6E0E1D" w:rsidR="00F328E1" w:rsidRPr="00F328E1" w:rsidRDefault="00F328E1" w:rsidP="00F328E1">
            <w:pPr>
              <w:pStyle w:val="Odstavecseseznamem"/>
              <w:numPr>
                <w:ilvl w:val="0"/>
                <w:numId w:val="18"/>
              </w:numPr>
              <w:spacing w:before="0" w:after="0"/>
              <w:ind w:left="208" w:hanging="208"/>
              <w:rPr>
                <w:rFonts w:cs="Calibri"/>
                <w:sz w:val="17"/>
                <w:szCs w:val="17"/>
              </w:rPr>
            </w:pPr>
            <w:r w:rsidRPr="00F328E1">
              <w:rPr>
                <w:rFonts w:cs="Calibri"/>
                <w:sz w:val="17"/>
                <w:szCs w:val="17"/>
              </w:rPr>
              <w:t>plocha je vymezena jako transformační plocha stávající rekreační zástavby (rekreační a zahradní chaty) na</w:t>
            </w:r>
            <w:r>
              <w:rPr>
                <w:rFonts w:cs="Calibri"/>
                <w:sz w:val="17"/>
                <w:szCs w:val="17"/>
              </w:rPr>
              <w:t> </w:t>
            </w:r>
            <w:r w:rsidRPr="00F328E1">
              <w:rPr>
                <w:rFonts w:cs="Calibri"/>
                <w:sz w:val="17"/>
                <w:szCs w:val="17"/>
              </w:rPr>
              <w:t>bydlení předchozím ÚP Hlubočky (B17),</w:t>
            </w:r>
          </w:p>
          <w:p w14:paraId="605AECE8" w14:textId="178B2987" w:rsidR="001D1E04" w:rsidRPr="00F328E1" w:rsidRDefault="00F328E1" w:rsidP="00F328E1">
            <w:pPr>
              <w:pStyle w:val="Odstavecseseznamem"/>
              <w:numPr>
                <w:ilvl w:val="0"/>
                <w:numId w:val="18"/>
              </w:numPr>
              <w:spacing w:before="0" w:after="0"/>
              <w:ind w:left="208" w:hanging="208"/>
              <w:rPr>
                <w:rFonts w:cs="Calibri"/>
                <w:sz w:val="17"/>
                <w:szCs w:val="17"/>
              </w:rPr>
            </w:pPr>
            <w:r w:rsidRPr="00F328E1">
              <w:rPr>
                <w:rFonts w:cs="Calibri"/>
                <w:sz w:val="17"/>
                <w:szCs w:val="17"/>
              </w:rPr>
              <w:t>změna využití plochy je stanovena z důvodu probíhající transformace rekreační zástavby na bydlení.</w:t>
            </w:r>
          </w:p>
        </w:tc>
      </w:tr>
      <w:tr w:rsidR="001D1E04" w:rsidRPr="00BC2BB5" w14:paraId="75366BF5" w14:textId="77777777" w:rsidTr="00BC2BB5">
        <w:trPr>
          <w:trHeight w:val="284"/>
        </w:trPr>
        <w:tc>
          <w:tcPr>
            <w:tcW w:w="709" w:type="dxa"/>
            <w:tcBorders>
              <w:top w:val="nil"/>
              <w:left w:val="nil"/>
              <w:bottom w:val="dotted" w:sz="4" w:space="0" w:color="auto"/>
              <w:right w:val="nil"/>
            </w:tcBorders>
            <w:hideMark/>
          </w:tcPr>
          <w:p w14:paraId="6C95D936" w14:textId="77777777" w:rsidR="001D1E04" w:rsidRPr="00BC2BB5" w:rsidRDefault="001D1E04" w:rsidP="0013788E">
            <w:pPr>
              <w:spacing w:before="0" w:after="0"/>
              <w:ind w:left="0"/>
              <w:jc w:val="left"/>
              <w:rPr>
                <w:rFonts w:asciiTheme="minorHAnsi" w:hAnsiTheme="minorHAnsi" w:cstheme="minorHAnsi"/>
                <w:bCs/>
                <w:color w:val="000000"/>
                <w:sz w:val="17"/>
                <w:szCs w:val="17"/>
              </w:rPr>
            </w:pPr>
            <w:r w:rsidRPr="00BC2BB5">
              <w:rPr>
                <w:rFonts w:asciiTheme="minorHAnsi" w:hAnsiTheme="minorHAnsi" w:cstheme="minorHAnsi"/>
                <w:bCs/>
                <w:color w:val="000000"/>
                <w:sz w:val="17"/>
                <w:szCs w:val="17"/>
              </w:rPr>
              <w:t>T.10-4</w:t>
            </w:r>
          </w:p>
        </w:tc>
        <w:tc>
          <w:tcPr>
            <w:tcW w:w="659" w:type="dxa"/>
            <w:tcBorders>
              <w:top w:val="nil"/>
              <w:left w:val="nil"/>
              <w:bottom w:val="dotted" w:sz="4" w:space="0" w:color="auto"/>
              <w:right w:val="nil"/>
            </w:tcBorders>
            <w:hideMark/>
          </w:tcPr>
          <w:p w14:paraId="4BBAD3DE" w14:textId="77777777" w:rsidR="001D1E04" w:rsidRPr="00BC2BB5" w:rsidRDefault="001D1E04" w:rsidP="0013788E">
            <w:pPr>
              <w:spacing w:before="0" w:after="0"/>
              <w:ind w:left="0"/>
              <w:jc w:val="left"/>
              <w:rPr>
                <w:rFonts w:asciiTheme="minorHAnsi" w:hAnsiTheme="minorHAnsi" w:cstheme="minorHAnsi"/>
                <w:bCs/>
                <w:color w:val="000000"/>
                <w:sz w:val="17"/>
                <w:szCs w:val="17"/>
              </w:rPr>
            </w:pPr>
            <w:r w:rsidRPr="00BC2BB5">
              <w:rPr>
                <w:rFonts w:asciiTheme="minorHAnsi" w:hAnsiTheme="minorHAnsi" w:cstheme="minorHAnsi"/>
                <w:bCs/>
                <w:color w:val="000000"/>
                <w:sz w:val="17"/>
                <w:szCs w:val="17"/>
              </w:rPr>
              <w:t>SV</w:t>
            </w:r>
          </w:p>
        </w:tc>
        <w:tc>
          <w:tcPr>
            <w:tcW w:w="2318" w:type="dxa"/>
            <w:tcBorders>
              <w:top w:val="nil"/>
              <w:left w:val="nil"/>
              <w:bottom w:val="dotted" w:sz="4" w:space="0" w:color="auto"/>
              <w:right w:val="nil"/>
            </w:tcBorders>
            <w:hideMark/>
          </w:tcPr>
          <w:p w14:paraId="595ED12D" w14:textId="77777777" w:rsidR="001D1E04" w:rsidRPr="00BC2BB5" w:rsidRDefault="001D1E04" w:rsidP="0013788E">
            <w:pPr>
              <w:spacing w:before="0" w:after="0"/>
              <w:ind w:left="0"/>
              <w:jc w:val="left"/>
              <w:rPr>
                <w:rFonts w:asciiTheme="minorHAnsi" w:hAnsiTheme="minorHAnsi" w:cstheme="minorHAnsi"/>
                <w:bCs/>
                <w:color w:val="000000"/>
                <w:sz w:val="17"/>
                <w:szCs w:val="17"/>
              </w:rPr>
            </w:pPr>
            <w:r w:rsidRPr="00BC2BB5">
              <w:rPr>
                <w:rFonts w:asciiTheme="minorHAnsi" w:hAnsiTheme="minorHAnsi" w:cstheme="minorHAnsi"/>
                <w:bCs/>
                <w:color w:val="000000"/>
                <w:sz w:val="17"/>
                <w:szCs w:val="17"/>
              </w:rPr>
              <w:t>smíšené obytné venkovské</w:t>
            </w:r>
          </w:p>
        </w:tc>
        <w:tc>
          <w:tcPr>
            <w:tcW w:w="4110" w:type="dxa"/>
            <w:tcBorders>
              <w:top w:val="nil"/>
              <w:left w:val="nil"/>
              <w:bottom w:val="dotted" w:sz="4" w:space="0" w:color="auto"/>
              <w:right w:val="nil"/>
            </w:tcBorders>
          </w:tcPr>
          <w:p w14:paraId="10F2C0E0" w14:textId="60AD63A0" w:rsidR="00F328E1" w:rsidRPr="00F328E1" w:rsidRDefault="00F328E1" w:rsidP="00F328E1">
            <w:pPr>
              <w:pStyle w:val="Odstavecseseznamem"/>
              <w:numPr>
                <w:ilvl w:val="0"/>
                <w:numId w:val="18"/>
              </w:numPr>
              <w:spacing w:before="0" w:after="0"/>
              <w:ind w:left="208" w:hanging="208"/>
              <w:rPr>
                <w:rFonts w:cs="Calibri"/>
                <w:sz w:val="17"/>
                <w:szCs w:val="17"/>
              </w:rPr>
            </w:pPr>
            <w:r w:rsidRPr="00F328E1">
              <w:rPr>
                <w:rFonts w:cs="Calibri"/>
                <w:sz w:val="17"/>
                <w:szCs w:val="17"/>
              </w:rPr>
              <w:t>plocha je součástí zastavěného území obce,</w:t>
            </w:r>
          </w:p>
          <w:p w14:paraId="4BDE1E67" w14:textId="202BBE07" w:rsidR="00F328E1" w:rsidRPr="00F328E1" w:rsidRDefault="00F328E1" w:rsidP="00F328E1">
            <w:pPr>
              <w:pStyle w:val="Odstavecseseznamem"/>
              <w:numPr>
                <w:ilvl w:val="0"/>
                <w:numId w:val="18"/>
              </w:numPr>
              <w:spacing w:before="0" w:after="0"/>
              <w:ind w:left="208" w:hanging="208"/>
              <w:rPr>
                <w:rFonts w:cs="Calibri"/>
                <w:sz w:val="17"/>
                <w:szCs w:val="17"/>
              </w:rPr>
            </w:pPr>
            <w:r w:rsidRPr="00F328E1">
              <w:rPr>
                <w:rFonts w:cs="Calibri"/>
                <w:sz w:val="17"/>
                <w:szCs w:val="17"/>
              </w:rPr>
              <w:t>plocha je vymezena jako transformační plocha stávající rekreační zástavby (rekreační a zahradní chaty) na</w:t>
            </w:r>
            <w:r>
              <w:rPr>
                <w:rFonts w:cs="Calibri"/>
                <w:sz w:val="17"/>
                <w:szCs w:val="17"/>
              </w:rPr>
              <w:t> </w:t>
            </w:r>
            <w:r w:rsidRPr="00F328E1">
              <w:rPr>
                <w:rFonts w:cs="Calibri"/>
                <w:sz w:val="17"/>
                <w:szCs w:val="17"/>
              </w:rPr>
              <w:t>bydlení předchozím ÚP Hlubočky (B16),</w:t>
            </w:r>
          </w:p>
          <w:p w14:paraId="258B89E9" w14:textId="1F65FB47" w:rsidR="001D1E04" w:rsidRPr="00F328E1" w:rsidRDefault="00F328E1" w:rsidP="00F328E1">
            <w:pPr>
              <w:pStyle w:val="Odstavecseseznamem"/>
              <w:numPr>
                <w:ilvl w:val="0"/>
                <w:numId w:val="18"/>
              </w:numPr>
              <w:spacing w:before="0" w:after="0"/>
              <w:ind w:left="208" w:hanging="208"/>
              <w:rPr>
                <w:rFonts w:cs="Calibri"/>
                <w:sz w:val="17"/>
                <w:szCs w:val="17"/>
              </w:rPr>
            </w:pPr>
            <w:r w:rsidRPr="00F328E1">
              <w:rPr>
                <w:rFonts w:cs="Calibri"/>
                <w:sz w:val="17"/>
                <w:szCs w:val="17"/>
              </w:rPr>
              <w:t>změna využití plochy je stanovena z důvodu probíhající transformace rekreační zástavby na bydlení a zajištění souladu s urbanistickou koncepcí oboustranného využití stávajících komunikací, resp. ulic.</w:t>
            </w:r>
          </w:p>
        </w:tc>
      </w:tr>
    </w:tbl>
    <w:p w14:paraId="276E17BA" w14:textId="2B8E160C" w:rsidR="00B34A2B" w:rsidRDefault="00B34A2B" w:rsidP="00B34A2B">
      <w:pPr>
        <w:pStyle w:val="Nadpis3"/>
      </w:pPr>
      <w:bookmarkStart w:id="95" w:name="_Toc232612628"/>
      <w:r>
        <w:t>Míra a charakter rozvoje</w:t>
      </w:r>
      <w:bookmarkEnd w:id="95"/>
    </w:p>
    <w:p w14:paraId="3DA83301" w14:textId="42D29B4B" w:rsidR="004507E7" w:rsidRDefault="003F2A98" w:rsidP="00255D10">
      <w:pPr>
        <w:pStyle w:val="Odstavecseseznamem"/>
        <w:numPr>
          <w:ilvl w:val="0"/>
          <w:numId w:val="137"/>
        </w:numPr>
        <w:ind w:left="709" w:hanging="357"/>
        <w:contextualSpacing w:val="0"/>
      </w:pPr>
      <w:r>
        <w:t>Možnosti rozvoje</w:t>
      </w:r>
      <w:r w:rsidR="003C1FA7">
        <w:t xml:space="preserve"> jednotlivých částí obce udává jejich poloha v prostor údolí Bystřice nebo návrší Radíkovské vrchoviny. Údolí Bystřice definuje lineární formu sídelní struktury Mariánského Údolí, Hluboček, Dukly a Hrubé Vody. Rozvoj lineární formy představuje zejména doplňování proluk v lineární struktuře sídla, případně doplňování dalších plánů struktury v nižších údolních polohách. Návrší Radíkovské vrchoviny definuje centrální formu Posluchova. Rozvoj centrální formy představuje doplňování radiálně uspořádaných vrstev struktury zástavby při zachování kompaktnosti hranice sídla.</w:t>
      </w:r>
    </w:p>
    <w:p w14:paraId="49081BB8" w14:textId="63E79EA3" w:rsidR="009A3C6E" w:rsidRDefault="009A3C6E" w:rsidP="00255D10">
      <w:pPr>
        <w:pStyle w:val="Odstavecseseznamem"/>
        <w:numPr>
          <w:ilvl w:val="0"/>
          <w:numId w:val="137"/>
        </w:numPr>
        <w:ind w:left="709" w:hanging="357"/>
        <w:contextualSpacing w:val="0"/>
      </w:pPr>
      <w:r>
        <w:t xml:space="preserve">Polycentrický charakter obce je její strukturální daností, vyvolanou lineární formou uspořádání v údolí Bystřice, resp. členěním obce mezi údolní a návrší polohy. Polycentričnost je podmínkou udržitelného rozvoje obce v dostupnosti občanského vybavení a služeb </w:t>
      </w:r>
      <w:r w:rsidR="0046359A">
        <w:t>a eliminaci zvýšených nároků na dopravní systém obce. Polyfunkční charakter ploch s rozdílným způsobem využití vytváří prostor pro posílení kvality těžišť</w:t>
      </w:r>
      <w:r w:rsidR="00155B7C">
        <w:t xml:space="preserve"> (místních jader)</w:t>
      </w:r>
      <w:r w:rsidR="0046359A">
        <w:t>, a tedy i stabilizaci jejího polycentrického uspořádání.</w:t>
      </w:r>
      <w:r w:rsidR="0029640B">
        <w:t xml:space="preserve"> Smíšení výrobní plochy jsou integrovány do smíšeného obytného prostoru obce a je nezbytné jejich rozhraní řešit tak, aby nebyla ohrožena kvalita a pohoda bydlení.</w:t>
      </w:r>
    </w:p>
    <w:p w14:paraId="37B4D5C0" w14:textId="4784B8D2" w:rsidR="00137BC6" w:rsidRDefault="005E3923" w:rsidP="00255D10">
      <w:pPr>
        <w:pStyle w:val="Odstavecseseznamem"/>
        <w:numPr>
          <w:ilvl w:val="0"/>
          <w:numId w:val="137"/>
        </w:numPr>
        <w:ind w:left="709" w:hanging="357"/>
        <w:contextualSpacing w:val="0"/>
      </w:pPr>
      <w:r>
        <w:t>Základním předpokladem udržitelného územního rozvoje obce je doplnění zástavby v místech, které jsou již napojeny stávajícími systémy veřejné dopravní a technické infrastruktury. Tento princip rozvoje</w:t>
      </w:r>
      <w:r w:rsidR="003518E8">
        <w:t xml:space="preserve"> je</w:t>
      </w:r>
      <w:r>
        <w:t xml:space="preserve"> efektivní vzhledem k vynaloženým prostředkům na budování a zejména správu veřejné dopravní a technické infrastruktury.</w:t>
      </w:r>
      <w:r w:rsidR="003A2DD6">
        <w:t xml:space="preserve"> Až po doplnění proluk v zástavbě a využití stávající infrastruktury se předpokládá rozvoj nových vrstev struktury obce.</w:t>
      </w:r>
    </w:p>
    <w:p w14:paraId="089AF937" w14:textId="7A1EEFF6" w:rsidR="00091846" w:rsidRDefault="00091846" w:rsidP="00255D10">
      <w:pPr>
        <w:pStyle w:val="Odstavecseseznamem"/>
        <w:numPr>
          <w:ilvl w:val="0"/>
          <w:numId w:val="137"/>
        </w:numPr>
        <w:ind w:left="709" w:hanging="357"/>
        <w:contextualSpacing w:val="0"/>
      </w:pPr>
      <w:r>
        <w:t>Smíšená obytná zástavba v prostoru údolí Bystřice je přednostně uspořádána</w:t>
      </w:r>
      <w:r w:rsidR="00F2429F">
        <w:t xml:space="preserve"> a rozvíjena</w:t>
      </w:r>
      <w:r>
        <w:t xml:space="preserve"> podél silnice </w:t>
      </w:r>
      <w:r w:rsidR="00F2429F">
        <w:t>III/44317 doplňováním proluk v zástavbě.</w:t>
      </w:r>
    </w:p>
    <w:p w14:paraId="2750E30A" w14:textId="1EAA78F0" w:rsidR="005C28E8" w:rsidRDefault="001A55A1" w:rsidP="00255D10">
      <w:pPr>
        <w:pStyle w:val="Odstavecseseznamem"/>
        <w:numPr>
          <w:ilvl w:val="0"/>
          <w:numId w:val="137"/>
        </w:numPr>
        <w:ind w:left="709" w:hanging="357"/>
        <w:contextualSpacing w:val="0"/>
      </w:pPr>
      <w:r>
        <w:t xml:space="preserve">Smíšená obytná zástavba </w:t>
      </w:r>
      <w:r w:rsidR="005C28E8">
        <w:t>Mariánské údolí je rozvíjen</w:t>
      </w:r>
      <w:r>
        <w:t>a</w:t>
      </w:r>
      <w:r w:rsidR="005C28E8">
        <w:t xml:space="preserve"> kvalitativně v rámci zastavěného území doplňováním proluk v zástavbě v rámci stabilizovaných ploch a přestavbou stávající zástavby. Lokalita K Posluchovu je územně stabilizována a</w:t>
      </w:r>
      <w:r w:rsidR="00D1793B">
        <w:t> </w:t>
      </w:r>
      <w:r w:rsidR="005C28E8">
        <w:t>infrastrukturně zajištěna a je rozvíjena doplňování</w:t>
      </w:r>
      <w:r w:rsidR="00F7189E">
        <w:t>m</w:t>
      </w:r>
      <w:r w:rsidR="005C28E8">
        <w:t xml:space="preserve"> proluk v zástavbě podél ulice K Posluchovu.</w:t>
      </w:r>
    </w:p>
    <w:p w14:paraId="3AA1FD17" w14:textId="0435F9C5" w:rsidR="001A55A1" w:rsidRDefault="003559AF" w:rsidP="00255D10">
      <w:pPr>
        <w:pStyle w:val="Odstavecseseznamem"/>
        <w:numPr>
          <w:ilvl w:val="0"/>
          <w:numId w:val="137"/>
        </w:numPr>
        <w:ind w:left="709" w:hanging="357"/>
        <w:contextualSpacing w:val="0"/>
      </w:pPr>
      <w:r>
        <w:t xml:space="preserve">Smíšená obytná zástavba </w:t>
      </w:r>
      <w:r w:rsidR="001A55A1">
        <w:t>Hluboč</w:t>
      </w:r>
      <w:r>
        <w:t>ek je rozvíjena doplňováním proluk podél ulice Olomoucká a Dukelských hrdinů a dále v návaznosti na místní jádro v prostoru mezi ulicemi Nám. družby a Československé armády. Návrhové plochy rozvíjí prostor místního jádra včetně rezervy pro rozvoj občanského vybavení. Je tak posilováno významové i funkční centrum obce.</w:t>
      </w:r>
      <w:r w:rsidR="00DE274B">
        <w:t xml:space="preserve"> Pro rozvoj přednostně občanského vybavení nebo případně dostupného bydlení obce je vymezena plocha za hřbitovem při ulici Na Mezích.</w:t>
      </w:r>
      <w:r w:rsidR="0078636A">
        <w:t xml:space="preserve"> Rozvoj smíšené obytné zástavby je tak orientován do přímé návaznosti na zastavěné území obce a nižších poloh svahů údolí Bystřice.</w:t>
      </w:r>
    </w:p>
    <w:p w14:paraId="7E94BD6C" w14:textId="05680714" w:rsidR="00BC7306" w:rsidRDefault="00BC7306" w:rsidP="00255D10">
      <w:pPr>
        <w:pStyle w:val="Odstavecseseznamem"/>
        <w:numPr>
          <w:ilvl w:val="0"/>
          <w:numId w:val="137"/>
        </w:numPr>
        <w:ind w:left="709" w:hanging="357"/>
        <w:contextualSpacing w:val="0"/>
      </w:pPr>
      <w:r>
        <w:t xml:space="preserve">Smíšená obytná zástavba Dukly je rozvíjena v návaznosti na propojení ulic Na Orátě a Luční s potenciálem rozvoje občanského vybavení lokality. </w:t>
      </w:r>
      <w:r w:rsidR="006C6618">
        <w:t>Venkovská zástavba v údolí Nepřívazského potoka je rozvíjena doplněním zástavby v ulici Mírová.</w:t>
      </w:r>
    </w:p>
    <w:p w14:paraId="4F970B72" w14:textId="3A1E3205" w:rsidR="00527838" w:rsidRDefault="00527838" w:rsidP="00255D10">
      <w:pPr>
        <w:pStyle w:val="Odstavecseseznamem"/>
        <w:numPr>
          <w:ilvl w:val="0"/>
          <w:numId w:val="137"/>
        </w:numPr>
        <w:ind w:left="709" w:hanging="357"/>
        <w:contextualSpacing w:val="0"/>
      </w:pPr>
      <w:r>
        <w:t>Smíšená obytná zástavba Hrubé Vody je rozvíjena v souladu s lineárním charakterem stávající struktury zástavby dané morfologickými limity údolí Bystřice doplněním místních proluk v návaznosti na stávající veřejnou dopravní a technickou infrastrukturu.</w:t>
      </w:r>
    </w:p>
    <w:p w14:paraId="5BEC6A91" w14:textId="245965F9" w:rsidR="00DE0A91" w:rsidRDefault="00DE0A91" w:rsidP="00255D10">
      <w:pPr>
        <w:pStyle w:val="Odstavecseseznamem"/>
        <w:numPr>
          <w:ilvl w:val="0"/>
          <w:numId w:val="137"/>
        </w:numPr>
        <w:ind w:left="709" w:hanging="357"/>
        <w:contextualSpacing w:val="0"/>
      </w:pPr>
      <w:r>
        <w:lastRenderedPageBreak/>
        <w:t>Smíšená obytná zástavba Posluchova je rozvíjena v návaznosti na zastavěné území v souladu s centrální uspořádáním sídla. Doplnění západního okraje sídla navazuje na stávající místní komunikaci. S ohledem na</w:t>
      </w:r>
      <w:r w:rsidR="00625BC3">
        <w:t> </w:t>
      </w:r>
      <w:r>
        <w:t>strukturální limity sídla a jeho kompozici nejsou vymezovány další rozvojové plochy narušující jeho kompaktní podobu.</w:t>
      </w:r>
    </w:p>
    <w:p w14:paraId="4EAE7990" w14:textId="6945CDF8" w:rsidR="00860C79" w:rsidRDefault="00860C79" w:rsidP="00255D10">
      <w:pPr>
        <w:pStyle w:val="Odstavecseseznamem"/>
        <w:numPr>
          <w:ilvl w:val="0"/>
          <w:numId w:val="137"/>
        </w:numPr>
        <w:ind w:left="709" w:hanging="357"/>
        <w:contextualSpacing w:val="0"/>
      </w:pPr>
      <w:r>
        <w:t>Zástavba Smilova je územně stabilizovaná a její rozvoj je kvalitativní v rámci zastavěného území. Areál smilovského mlýna je potenciálem pro rozvoj služeb a turistického zázemí přírodního parku Údolí Bystřice.</w:t>
      </w:r>
    </w:p>
    <w:p w14:paraId="4560E1B4" w14:textId="2B8D8939" w:rsidR="00D5761D" w:rsidRDefault="00D5761D" w:rsidP="00255D10">
      <w:pPr>
        <w:pStyle w:val="Odstavecseseznamem"/>
        <w:numPr>
          <w:ilvl w:val="0"/>
          <w:numId w:val="137"/>
        </w:numPr>
        <w:ind w:left="709" w:hanging="357"/>
        <w:contextualSpacing w:val="0"/>
      </w:pPr>
      <w:r>
        <w:t>Zahrádkářské a chatové osady a samoty v krajině jsou územně stabilizované a s ohledem na jejich rozsah v rámci správního území obce není uvažován jejich plošný rozvoj z důvodu infrastrukturních limitů (obsluhy území) i limitů ochrany přírody a krajiny údolí Bystřice.</w:t>
      </w:r>
    </w:p>
    <w:p w14:paraId="013C28A1" w14:textId="371F390E" w:rsidR="00D5761D" w:rsidRDefault="00D5761D" w:rsidP="00255D10">
      <w:pPr>
        <w:pStyle w:val="Odstavecseseznamem"/>
        <w:numPr>
          <w:ilvl w:val="0"/>
          <w:numId w:val="137"/>
        </w:numPr>
        <w:ind w:left="709" w:hanging="357"/>
        <w:contextualSpacing w:val="0"/>
      </w:pPr>
      <w:r>
        <w:t>Zástavba produkčních areálů je územně stabilizovaná a podmínkami využití a prostorového uspořádání je vymezen prostor pro jejich kvalitativní rozvoj. Smíšený charakter podmínek využití umožňuje i případnou místní transformaci na jiné než produkční využití</w:t>
      </w:r>
      <w:r w:rsidR="00EE433D">
        <w:t>, např. občanské vybavení a služby.</w:t>
      </w:r>
    </w:p>
    <w:p w14:paraId="6A42B351" w14:textId="6B7B2AD5" w:rsidR="006E2B79" w:rsidRDefault="006E2B79" w:rsidP="00255D10">
      <w:pPr>
        <w:pStyle w:val="Odstavecseseznamem"/>
        <w:numPr>
          <w:ilvl w:val="0"/>
          <w:numId w:val="137"/>
        </w:numPr>
        <w:ind w:left="709" w:hanging="357"/>
        <w:contextualSpacing w:val="0"/>
      </w:pPr>
      <w:r>
        <w:t>Vyšší polohy svahů údolí Bystřice a jejích přítoků jsou pohledově exponované v panoramatických pohledech na obec a jejích stavební využití by nevhodně narušovalo krajinný ráz přírodního parku Bystřice. Zároveň zajištění obsluhy těchto poloh systémy veřejné infrastruktury není pro obec hospodářsky udržitelné a</w:t>
      </w:r>
      <w:r w:rsidR="00635669">
        <w:t> </w:t>
      </w:r>
      <w:r>
        <w:t>realizovatelné.</w:t>
      </w:r>
    </w:p>
    <w:p w14:paraId="32C48BB5" w14:textId="39307BE4" w:rsidR="003F2A98" w:rsidRDefault="003F2A98" w:rsidP="00255D10">
      <w:pPr>
        <w:pStyle w:val="Odstavecseseznamem"/>
        <w:numPr>
          <w:ilvl w:val="0"/>
          <w:numId w:val="137"/>
        </w:numPr>
        <w:ind w:left="709" w:hanging="357"/>
        <w:contextualSpacing w:val="0"/>
      </w:pPr>
      <w:r w:rsidRPr="00FF1841">
        <w:t>K rozvoji obce jsou vymezeny následující zastavitelné plochy:</w:t>
      </w:r>
    </w:p>
    <w:tbl>
      <w:tblPr>
        <w:tblW w:w="7796" w:type="dxa"/>
        <w:tblInd w:w="709" w:type="dxa"/>
        <w:tblCellMar>
          <w:left w:w="70" w:type="dxa"/>
          <w:right w:w="70" w:type="dxa"/>
        </w:tblCellMar>
        <w:tblLook w:val="04A0" w:firstRow="1" w:lastRow="0" w:firstColumn="1" w:lastColumn="0" w:noHBand="0" w:noVBand="1"/>
      </w:tblPr>
      <w:tblGrid>
        <w:gridCol w:w="840"/>
        <w:gridCol w:w="657"/>
        <w:gridCol w:w="2330"/>
        <w:gridCol w:w="3969"/>
      </w:tblGrid>
      <w:tr w:rsidR="003F2A98" w:rsidRPr="00FF5FBE" w14:paraId="15DFC76B" w14:textId="77777777" w:rsidTr="00C10E85">
        <w:trPr>
          <w:trHeight w:val="675"/>
          <w:tblHeader/>
        </w:trPr>
        <w:tc>
          <w:tcPr>
            <w:tcW w:w="840" w:type="dxa"/>
            <w:tcBorders>
              <w:top w:val="dotted" w:sz="4" w:space="0" w:color="auto"/>
              <w:left w:val="nil"/>
              <w:bottom w:val="dotted" w:sz="4" w:space="0" w:color="auto"/>
              <w:right w:val="nil"/>
            </w:tcBorders>
            <w:hideMark/>
          </w:tcPr>
          <w:p w14:paraId="184FEA3B" w14:textId="77777777" w:rsidR="003F2A98" w:rsidRPr="00FF5FBE" w:rsidRDefault="003F2A98" w:rsidP="0013788E">
            <w:pPr>
              <w:spacing w:before="0" w:after="0"/>
              <w:ind w:left="0"/>
              <w:jc w:val="left"/>
              <w:rPr>
                <w:rFonts w:cs="Calibri"/>
                <w:b/>
                <w:bCs/>
                <w:color w:val="000000"/>
                <w:sz w:val="17"/>
                <w:szCs w:val="17"/>
              </w:rPr>
            </w:pPr>
            <w:r w:rsidRPr="00FF5FBE">
              <w:rPr>
                <w:rFonts w:cs="Calibri"/>
                <w:b/>
                <w:bCs/>
                <w:color w:val="000000"/>
                <w:sz w:val="17"/>
                <w:szCs w:val="17"/>
              </w:rPr>
              <w:t>číslo plochy</w:t>
            </w:r>
          </w:p>
        </w:tc>
        <w:tc>
          <w:tcPr>
            <w:tcW w:w="657" w:type="dxa"/>
            <w:tcBorders>
              <w:top w:val="dotted" w:sz="4" w:space="0" w:color="auto"/>
              <w:left w:val="nil"/>
              <w:bottom w:val="dotted" w:sz="4" w:space="0" w:color="auto"/>
              <w:right w:val="nil"/>
            </w:tcBorders>
            <w:hideMark/>
          </w:tcPr>
          <w:p w14:paraId="4CD99407" w14:textId="77777777" w:rsidR="003F2A98" w:rsidRPr="00FF5FBE" w:rsidRDefault="003F2A98" w:rsidP="0013788E">
            <w:pPr>
              <w:spacing w:before="0" w:after="0"/>
              <w:ind w:left="0"/>
              <w:jc w:val="left"/>
              <w:rPr>
                <w:rFonts w:cs="Calibri"/>
                <w:b/>
                <w:bCs/>
                <w:color w:val="000000"/>
                <w:sz w:val="17"/>
                <w:szCs w:val="17"/>
              </w:rPr>
            </w:pPr>
            <w:r w:rsidRPr="00FF5FBE">
              <w:rPr>
                <w:rFonts w:cs="Calibri"/>
                <w:b/>
                <w:bCs/>
                <w:color w:val="000000"/>
                <w:sz w:val="17"/>
                <w:szCs w:val="17"/>
              </w:rPr>
              <w:t>kód využití</w:t>
            </w:r>
          </w:p>
        </w:tc>
        <w:tc>
          <w:tcPr>
            <w:tcW w:w="2330" w:type="dxa"/>
            <w:tcBorders>
              <w:top w:val="dotted" w:sz="4" w:space="0" w:color="auto"/>
              <w:left w:val="nil"/>
              <w:bottom w:val="dotted" w:sz="4" w:space="0" w:color="auto"/>
              <w:right w:val="nil"/>
            </w:tcBorders>
            <w:hideMark/>
          </w:tcPr>
          <w:p w14:paraId="5210AC08" w14:textId="77777777" w:rsidR="003F2A98" w:rsidRPr="00FF5FBE" w:rsidRDefault="003F2A98" w:rsidP="0013788E">
            <w:pPr>
              <w:spacing w:before="0" w:after="0"/>
              <w:ind w:left="0"/>
              <w:jc w:val="left"/>
              <w:rPr>
                <w:rFonts w:cs="Calibri"/>
                <w:b/>
                <w:bCs/>
                <w:color w:val="000000"/>
                <w:sz w:val="17"/>
                <w:szCs w:val="17"/>
              </w:rPr>
            </w:pPr>
            <w:r>
              <w:rPr>
                <w:rFonts w:asciiTheme="minorHAnsi" w:hAnsiTheme="minorHAnsi" w:cstheme="minorHAnsi"/>
                <w:b/>
                <w:bCs/>
                <w:color w:val="000000"/>
                <w:sz w:val="17"/>
                <w:szCs w:val="17"/>
              </w:rPr>
              <w:t>způsob</w:t>
            </w:r>
            <w:r w:rsidRPr="00FF1841">
              <w:rPr>
                <w:rFonts w:asciiTheme="minorHAnsi" w:hAnsiTheme="minorHAnsi" w:cstheme="minorHAnsi"/>
                <w:b/>
                <w:bCs/>
                <w:color w:val="000000"/>
                <w:sz w:val="17"/>
                <w:szCs w:val="17"/>
              </w:rPr>
              <w:t xml:space="preserve"> využití</w:t>
            </w:r>
          </w:p>
        </w:tc>
        <w:tc>
          <w:tcPr>
            <w:tcW w:w="3969" w:type="dxa"/>
            <w:tcBorders>
              <w:top w:val="dotted" w:sz="4" w:space="0" w:color="auto"/>
              <w:left w:val="nil"/>
              <w:bottom w:val="dotted" w:sz="4" w:space="0" w:color="auto"/>
              <w:right w:val="nil"/>
            </w:tcBorders>
            <w:hideMark/>
          </w:tcPr>
          <w:p w14:paraId="64A4806D" w14:textId="364EA67A" w:rsidR="003F2A98" w:rsidRPr="00FF5FBE" w:rsidRDefault="003F2A98" w:rsidP="0013788E">
            <w:pPr>
              <w:spacing w:before="0" w:after="0"/>
              <w:ind w:left="0"/>
              <w:jc w:val="left"/>
              <w:rPr>
                <w:rFonts w:cs="Calibri"/>
                <w:b/>
                <w:bCs/>
                <w:color w:val="000000"/>
                <w:sz w:val="17"/>
                <w:szCs w:val="17"/>
              </w:rPr>
            </w:pPr>
            <w:r w:rsidRPr="00BC2BB5">
              <w:rPr>
                <w:rFonts w:asciiTheme="minorHAnsi" w:hAnsiTheme="minorHAnsi" w:cstheme="minorHAnsi"/>
                <w:b/>
                <w:bCs/>
                <w:color w:val="000000"/>
                <w:sz w:val="17"/>
                <w:szCs w:val="17"/>
              </w:rPr>
              <w:t>zdůvodnění vymezení</w:t>
            </w:r>
          </w:p>
        </w:tc>
      </w:tr>
      <w:tr w:rsidR="003F2A98" w:rsidRPr="00FF5FBE" w14:paraId="138F58D4" w14:textId="77777777" w:rsidTr="003F2A98">
        <w:trPr>
          <w:trHeight w:val="315"/>
        </w:trPr>
        <w:tc>
          <w:tcPr>
            <w:tcW w:w="7796" w:type="dxa"/>
            <w:gridSpan w:val="4"/>
            <w:tcBorders>
              <w:top w:val="dotted" w:sz="4" w:space="0" w:color="auto"/>
              <w:left w:val="nil"/>
              <w:bottom w:val="dotted" w:sz="4" w:space="0" w:color="auto"/>
              <w:right w:val="nil"/>
            </w:tcBorders>
          </w:tcPr>
          <w:p w14:paraId="44F203FA" w14:textId="77777777" w:rsidR="003F2A98" w:rsidRPr="00FF5FBE" w:rsidRDefault="003F2A98" w:rsidP="0013788E">
            <w:pPr>
              <w:spacing w:before="0" w:after="0"/>
              <w:ind w:left="0"/>
              <w:jc w:val="left"/>
              <w:rPr>
                <w:rFonts w:cs="Calibri"/>
                <w:b/>
                <w:bCs/>
                <w:color w:val="000000"/>
                <w:sz w:val="17"/>
                <w:szCs w:val="17"/>
              </w:rPr>
            </w:pPr>
            <w:r w:rsidRPr="00AE233A">
              <w:rPr>
                <w:rFonts w:asciiTheme="minorHAnsi" w:hAnsiTheme="minorHAnsi" w:cstheme="minorHAnsi"/>
                <w:b/>
                <w:color w:val="000000"/>
                <w:sz w:val="17"/>
                <w:szCs w:val="17"/>
              </w:rPr>
              <w:t>L.02 Hlubočky</w:t>
            </w:r>
          </w:p>
        </w:tc>
      </w:tr>
      <w:tr w:rsidR="003F2A98" w:rsidRPr="00FF5FBE" w14:paraId="711A295E" w14:textId="77777777" w:rsidTr="003F2A98">
        <w:trPr>
          <w:trHeight w:val="300"/>
        </w:trPr>
        <w:tc>
          <w:tcPr>
            <w:tcW w:w="840" w:type="dxa"/>
            <w:tcBorders>
              <w:top w:val="nil"/>
              <w:left w:val="nil"/>
              <w:bottom w:val="dotted" w:sz="4" w:space="0" w:color="auto"/>
              <w:right w:val="nil"/>
            </w:tcBorders>
            <w:hideMark/>
          </w:tcPr>
          <w:p w14:paraId="7D4F69AB" w14:textId="77777777" w:rsidR="003F2A98" w:rsidRPr="00FF5FBE" w:rsidRDefault="003F2A98" w:rsidP="0013788E">
            <w:pPr>
              <w:spacing w:before="0" w:after="0"/>
              <w:ind w:left="0"/>
              <w:jc w:val="left"/>
              <w:rPr>
                <w:rFonts w:cs="Calibri"/>
                <w:bCs/>
                <w:color w:val="000000"/>
                <w:sz w:val="17"/>
                <w:szCs w:val="17"/>
              </w:rPr>
            </w:pPr>
            <w:r w:rsidRPr="00FF5FBE">
              <w:rPr>
                <w:rFonts w:cs="Calibri"/>
                <w:bCs/>
                <w:color w:val="000000"/>
                <w:sz w:val="17"/>
                <w:szCs w:val="17"/>
              </w:rPr>
              <w:t>Z.</w:t>
            </w:r>
            <w:r>
              <w:rPr>
                <w:rFonts w:cs="Calibri"/>
                <w:bCs/>
                <w:color w:val="000000"/>
                <w:sz w:val="17"/>
                <w:szCs w:val="17"/>
              </w:rPr>
              <w:t>02-1</w:t>
            </w:r>
          </w:p>
        </w:tc>
        <w:tc>
          <w:tcPr>
            <w:tcW w:w="657" w:type="dxa"/>
            <w:tcBorders>
              <w:top w:val="nil"/>
              <w:left w:val="nil"/>
              <w:bottom w:val="dotted" w:sz="4" w:space="0" w:color="auto"/>
              <w:right w:val="nil"/>
            </w:tcBorders>
            <w:hideMark/>
          </w:tcPr>
          <w:p w14:paraId="6A95CF36" w14:textId="77777777" w:rsidR="003F2A98" w:rsidRPr="00FF5FBE" w:rsidRDefault="003F2A98" w:rsidP="0013788E">
            <w:pPr>
              <w:spacing w:before="0" w:after="0"/>
              <w:ind w:left="0"/>
              <w:jc w:val="left"/>
              <w:rPr>
                <w:rFonts w:cs="Calibri"/>
                <w:bCs/>
                <w:color w:val="000000"/>
                <w:sz w:val="17"/>
                <w:szCs w:val="17"/>
              </w:rPr>
            </w:pPr>
            <w:r w:rsidRPr="00FF5FBE">
              <w:rPr>
                <w:rFonts w:cs="Calibri"/>
                <w:bCs/>
                <w:color w:val="000000"/>
                <w:sz w:val="17"/>
                <w:szCs w:val="17"/>
              </w:rPr>
              <w:t>SV, PU</w:t>
            </w:r>
          </w:p>
        </w:tc>
        <w:tc>
          <w:tcPr>
            <w:tcW w:w="2330" w:type="dxa"/>
            <w:tcBorders>
              <w:top w:val="nil"/>
              <w:left w:val="nil"/>
              <w:bottom w:val="dotted" w:sz="4" w:space="0" w:color="auto"/>
              <w:right w:val="nil"/>
            </w:tcBorders>
            <w:hideMark/>
          </w:tcPr>
          <w:p w14:paraId="103B41D5" w14:textId="77777777" w:rsidR="003F2A98" w:rsidRPr="00FF5FBE" w:rsidRDefault="003F2A98" w:rsidP="0013788E">
            <w:pPr>
              <w:spacing w:before="0" w:after="0"/>
              <w:ind w:left="0"/>
              <w:jc w:val="left"/>
              <w:rPr>
                <w:rFonts w:cs="Calibri"/>
                <w:bCs/>
                <w:color w:val="000000"/>
                <w:sz w:val="17"/>
                <w:szCs w:val="17"/>
              </w:rPr>
            </w:pPr>
            <w:r w:rsidRPr="00FF5FBE">
              <w:rPr>
                <w:rFonts w:cs="Calibri"/>
                <w:bCs/>
                <w:color w:val="000000"/>
                <w:sz w:val="17"/>
                <w:szCs w:val="17"/>
              </w:rPr>
              <w:t>smíšené obytné venkovské</w:t>
            </w:r>
          </w:p>
          <w:p w14:paraId="4C593B7B" w14:textId="77777777" w:rsidR="003F2A98" w:rsidRPr="00FF5FBE" w:rsidRDefault="003F2A98" w:rsidP="0013788E">
            <w:pPr>
              <w:spacing w:before="0" w:after="0"/>
              <w:ind w:left="0"/>
              <w:jc w:val="left"/>
              <w:rPr>
                <w:rFonts w:cs="Calibri"/>
                <w:bCs/>
                <w:color w:val="000000"/>
                <w:sz w:val="17"/>
                <w:szCs w:val="17"/>
              </w:rPr>
            </w:pPr>
            <w:r w:rsidRPr="00FF5FBE">
              <w:rPr>
                <w:rFonts w:cs="Calibri"/>
                <w:bCs/>
                <w:color w:val="000000"/>
                <w:sz w:val="17"/>
                <w:szCs w:val="17"/>
              </w:rPr>
              <w:t>veřejné prostranství všeobecné</w:t>
            </w:r>
          </w:p>
        </w:tc>
        <w:tc>
          <w:tcPr>
            <w:tcW w:w="3969" w:type="dxa"/>
            <w:tcBorders>
              <w:top w:val="nil"/>
              <w:left w:val="nil"/>
              <w:bottom w:val="dotted" w:sz="4" w:space="0" w:color="auto"/>
              <w:right w:val="nil"/>
            </w:tcBorders>
          </w:tcPr>
          <w:p w14:paraId="70844B21" w14:textId="0E58231E" w:rsidR="003F2A98" w:rsidRPr="003F2A98" w:rsidRDefault="003F2A98" w:rsidP="003F2A98">
            <w:pPr>
              <w:pStyle w:val="Odstavecseseznamem"/>
              <w:numPr>
                <w:ilvl w:val="0"/>
                <w:numId w:val="18"/>
              </w:numPr>
              <w:spacing w:before="0" w:after="0"/>
              <w:ind w:left="208" w:hanging="208"/>
              <w:rPr>
                <w:rFonts w:cs="Calibri"/>
                <w:sz w:val="17"/>
                <w:szCs w:val="17"/>
              </w:rPr>
            </w:pPr>
            <w:r w:rsidRPr="003F2A98">
              <w:rPr>
                <w:rFonts w:cs="Calibri"/>
                <w:sz w:val="17"/>
                <w:szCs w:val="17"/>
              </w:rPr>
              <w:t xml:space="preserve">plocha je dlouhodobě vymezena jako hlavní rozvojová rezerva obce (plochy B3 a O1 v přechozím ÚP Hlubočky), </w:t>
            </w:r>
          </w:p>
          <w:p w14:paraId="1E431745" w14:textId="75764ED0" w:rsidR="003F2A98" w:rsidRPr="003F2A98" w:rsidRDefault="003F2A98" w:rsidP="003F2A98">
            <w:pPr>
              <w:pStyle w:val="Odstavecseseznamem"/>
              <w:numPr>
                <w:ilvl w:val="0"/>
                <w:numId w:val="18"/>
              </w:numPr>
              <w:spacing w:before="0" w:after="0"/>
              <w:ind w:left="208" w:hanging="208"/>
              <w:rPr>
                <w:rFonts w:cs="Calibri"/>
                <w:sz w:val="17"/>
                <w:szCs w:val="17"/>
              </w:rPr>
            </w:pPr>
            <w:r w:rsidRPr="003F2A98">
              <w:rPr>
                <w:rFonts w:cs="Calibri"/>
                <w:sz w:val="17"/>
                <w:szCs w:val="17"/>
              </w:rPr>
              <w:t>plocha bezprostředně navazuje na zastavěné území obce</w:t>
            </w:r>
            <w:r w:rsidR="00AD5497">
              <w:rPr>
                <w:rFonts w:cs="Calibri"/>
                <w:sz w:val="17"/>
                <w:szCs w:val="17"/>
              </w:rPr>
              <w:t xml:space="preserve"> a těžiště místní části Hlubočky,</w:t>
            </w:r>
          </w:p>
          <w:p w14:paraId="0EE0634C" w14:textId="6C0C7EBA" w:rsidR="003F2A98" w:rsidRPr="003F2A98" w:rsidRDefault="003F2A98" w:rsidP="003F2A98">
            <w:pPr>
              <w:pStyle w:val="Odstavecseseznamem"/>
              <w:numPr>
                <w:ilvl w:val="0"/>
                <w:numId w:val="18"/>
              </w:numPr>
              <w:spacing w:before="0" w:after="0"/>
              <w:ind w:left="208" w:hanging="208"/>
              <w:rPr>
                <w:rFonts w:cs="Calibri"/>
                <w:sz w:val="17"/>
                <w:szCs w:val="17"/>
              </w:rPr>
            </w:pPr>
            <w:r w:rsidRPr="003F2A98">
              <w:rPr>
                <w:rFonts w:cs="Calibri"/>
                <w:sz w:val="17"/>
                <w:szCs w:val="17"/>
              </w:rPr>
              <w:t>plocha je v souladu s urbanistickou koncepcí obce,</w:t>
            </w:r>
            <w:r w:rsidR="00AD5497">
              <w:rPr>
                <w:rFonts w:cs="Calibri"/>
                <w:sz w:val="17"/>
                <w:szCs w:val="17"/>
              </w:rPr>
              <w:t xml:space="preserve"> a</w:t>
            </w:r>
            <w:r w:rsidR="00A24088">
              <w:rPr>
                <w:rFonts w:cs="Calibri"/>
                <w:sz w:val="17"/>
                <w:szCs w:val="17"/>
              </w:rPr>
              <w:t> </w:t>
            </w:r>
            <w:r w:rsidR="00AD5497">
              <w:rPr>
                <w:rFonts w:cs="Calibri"/>
                <w:sz w:val="17"/>
                <w:szCs w:val="17"/>
              </w:rPr>
              <w:t>to orientovat rozvoj přednostně do prostoru údolí Bystřice a nižších poloh svahů údolí, v návaznosti na zastavěné území,</w:t>
            </w:r>
          </w:p>
          <w:p w14:paraId="514E1B0C" w14:textId="785114E0" w:rsidR="003F2A98" w:rsidRPr="003F2A98" w:rsidRDefault="003F2A98" w:rsidP="003F2A98">
            <w:pPr>
              <w:pStyle w:val="Odstavecseseznamem"/>
              <w:numPr>
                <w:ilvl w:val="0"/>
                <w:numId w:val="18"/>
              </w:numPr>
              <w:spacing w:before="0" w:after="0"/>
              <w:ind w:left="208" w:hanging="208"/>
              <w:rPr>
                <w:rFonts w:cs="Calibri"/>
                <w:sz w:val="17"/>
                <w:szCs w:val="17"/>
              </w:rPr>
            </w:pPr>
            <w:r w:rsidRPr="003F2A98">
              <w:rPr>
                <w:rFonts w:cs="Calibri"/>
                <w:sz w:val="17"/>
                <w:szCs w:val="17"/>
              </w:rPr>
              <w:t>plocha je přímo napojena na veřejnou infrastrukturu obce,</w:t>
            </w:r>
          </w:p>
          <w:p w14:paraId="3C707D4B" w14:textId="21D2B99B" w:rsidR="003F2A98" w:rsidRPr="003F2A98" w:rsidRDefault="003F2A98" w:rsidP="003F2A98">
            <w:pPr>
              <w:pStyle w:val="Odstavecseseznamem"/>
              <w:numPr>
                <w:ilvl w:val="0"/>
                <w:numId w:val="18"/>
              </w:numPr>
              <w:spacing w:before="0" w:after="0"/>
              <w:ind w:left="208" w:hanging="208"/>
              <w:rPr>
                <w:rFonts w:cs="Calibri"/>
                <w:sz w:val="17"/>
                <w:szCs w:val="17"/>
              </w:rPr>
            </w:pPr>
            <w:r w:rsidRPr="003F2A98">
              <w:rPr>
                <w:rFonts w:cs="Calibri"/>
                <w:sz w:val="17"/>
                <w:szCs w:val="17"/>
              </w:rPr>
              <w:t>jižní část plochy je vymezena pro občanské vybavení veřejné pro potřeby obce,</w:t>
            </w:r>
          </w:p>
          <w:p w14:paraId="4283693B" w14:textId="3AC224B1" w:rsidR="003F2A98" w:rsidRPr="003F2A98" w:rsidRDefault="003F2A98" w:rsidP="003F2A98">
            <w:pPr>
              <w:pStyle w:val="Odstavecseseznamem"/>
              <w:numPr>
                <w:ilvl w:val="0"/>
                <w:numId w:val="18"/>
              </w:numPr>
              <w:spacing w:before="0" w:after="0"/>
              <w:ind w:left="208" w:hanging="208"/>
              <w:rPr>
                <w:rFonts w:cs="Calibri"/>
                <w:sz w:val="17"/>
                <w:szCs w:val="17"/>
              </w:rPr>
            </w:pPr>
            <w:r w:rsidRPr="003F2A98">
              <w:rPr>
                <w:rFonts w:cs="Calibri"/>
                <w:sz w:val="17"/>
                <w:szCs w:val="17"/>
              </w:rPr>
              <w:t>využití plochy je podmíněnou zpracováním územní studie,</w:t>
            </w:r>
          </w:p>
          <w:p w14:paraId="164BB2E1" w14:textId="6E901976" w:rsidR="003F2A98" w:rsidRPr="003F2A98" w:rsidRDefault="003F2A98" w:rsidP="003F2A98">
            <w:pPr>
              <w:pStyle w:val="Odstavecseseznamem"/>
              <w:numPr>
                <w:ilvl w:val="0"/>
                <w:numId w:val="18"/>
              </w:numPr>
              <w:spacing w:before="0" w:after="0"/>
              <w:ind w:left="208" w:hanging="208"/>
              <w:rPr>
                <w:rFonts w:cs="Calibri"/>
                <w:sz w:val="17"/>
                <w:szCs w:val="17"/>
              </w:rPr>
            </w:pPr>
            <w:r w:rsidRPr="003F2A98">
              <w:rPr>
                <w:rFonts w:cs="Calibri"/>
                <w:sz w:val="17"/>
                <w:szCs w:val="17"/>
              </w:rPr>
              <w:t>plocha je v současné době prověřována územní studií v koordinaci s požadavky obce</w:t>
            </w:r>
            <w:r>
              <w:rPr>
                <w:rFonts w:cs="Calibri"/>
                <w:sz w:val="17"/>
                <w:szCs w:val="17"/>
              </w:rPr>
              <w:t>.</w:t>
            </w:r>
          </w:p>
        </w:tc>
      </w:tr>
      <w:tr w:rsidR="003F2A98" w:rsidRPr="00FF5FBE" w14:paraId="33389B09" w14:textId="77777777" w:rsidTr="003F2A98">
        <w:trPr>
          <w:trHeight w:val="300"/>
        </w:trPr>
        <w:tc>
          <w:tcPr>
            <w:tcW w:w="840" w:type="dxa"/>
            <w:tcBorders>
              <w:top w:val="nil"/>
              <w:left w:val="nil"/>
              <w:bottom w:val="dotted" w:sz="4" w:space="0" w:color="auto"/>
              <w:right w:val="nil"/>
            </w:tcBorders>
          </w:tcPr>
          <w:p w14:paraId="13B1EDDE" w14:textId="77777777" w:rsidR="003F2A98" w:rsidRPr="00FF5FBE" w:rsidRDefault="003F2A98" w:rsidP="0013788E">
            <w:pPr>
              <w:spacing w:before="0" w:after="0"/>
              <w:ind w:left="0"/>
              <w:jc w:val="left"/>
              <w:rPr>
                <w:rFonts w:cs="Calibri"/>
                <w:bCs/>
                <w:color w:val="000000"/>
                <w:sz w:val="17"/>
                <w:szCs w:val="17"/>
              </w:rPr>
            </w:pPr>
            <w:r w:rsidRPr="00FF5FBE">
              <w:rPr>
                <w:rFonts w:cs="Calibri"/>
                <w:bCs/>
                <w:color w:val="000000"/>
                <w:sz w:val="17"/>
                <w:szCs w:val="17"/>
              </w:rPr>
              <w:t>Z.</w:t>
            </w:r>
            <w:r>
              <w:rPr>
                <w:rFonts w:cs="Calibri"/>
                <w:bCs/>
                <w:color w:val="000000"/>
                <w:sz w:val="17"/>
                <w:szCs w:val="17"/>
              </w:rPr>
              <w:t>02-2</w:t>
            </w:r>
          </w:p>
        </w:tc>
        <w:tc>
          <w:tcPr>
            <w:tcW w:w="657" w:type="dxa"/>
            <w:tcBorders>
              <w:top w:val="nil"/>
              <w:left w:val="nil"/>
              <w:bottom w:val="dotted" w:sz="4" w:space="0" w:color="auto"/>
              <w:right w:val="nil"/>
            </w:tcBorders>
          </w:tcPr>
          <w:p w14:paraId="2BFF14B9" w14:textId="77777777" w:rsidR="003F2A98" w:rsidRPr="00FF5FBE" w:rsidRDefault="003F2A98" w:rsidP="0013788E">
            <w:pPr>
              <w:spacing w:before="0" w:after="0"/>
              <w:ind w:left="0"/>
              <w:jc w:val="left"/>
              <w:rPr>
                <w:rFonts w:cs="Calibri"/>
                <w:bCs/>
                <w:color w:val="000000"/>
                <w:sz w:val="17"/>
                <w:szCs w:val="17"/>
              </w:rPr>
            </w:pPr>
            <w:r w:rsidRPr="00FF5FBE">
              <w:rPr>
                <w:rFonts w:cs="Calibri"/>
                <w:bCs/>
                <w:color w:val="000000"/>
                <w:sz w:val="17"/>
                <w:szCs w:val="17"/>
              </w:rPr>
              <w:t>SV</w:t>
            </w:r>
          </w:p>
        </w:tc>
        <w:tc>
          <w:tcPr>
            <w:tcW w:w="2330" w:type="dxa"/>
            <w:tcBorders>
              <w:top w:val="nil"/>
              <w:left w:val="nil"/>
              <w:bottom w:val="dotted" w:sz="4" w:space="0" w:color="auto"/>
              <w:right w:val="nil"/>
            </w:tcBorders>
          </w:tcPr>
          <w:p w14:paraId="73CAC416" w14:textId="77777777" w:rsidR="003F2A98" w:rsidRPr="00FF5FBE" w:rsidRDefault="003F2A98" w:rsidP="0013788E">
            <w:pPr>
              <w:spacing w:before="0" w:after="0"/>
              <w:ind w:left="0"/>
              <w:jc w:val="left"/>
              <w:rPr>
                <w:rFonts w:cs="Calibri"/>
                <w:bCs/>
                <w:color w:val="000000"/>
                <w:sz w:val="17"/>
                <w:szCs w:val="17"/>
              </w:rPr>
            </w:pPr>
            <w:r w:rsidRPr="00FF5FBE">
              <w:rPr>
                <w:rFonts w:cs="Calibri"/>
                <w:bCs/>
                <w:color w:val="000000"/>
                <w:sz w:val="17"/>
                <w:szCs w:val="17"/>
              </w:rPr>
              <w:t>smíšené obytné venkovské</w:t>
            </w:r>
          </w:p>
        </w:tc>
        <w:tc>
          <w:tcPr>
            <w:tcW w:w="3969" w:type="dxa"/>
            <w:tcBorders>
              <w:top w:val="nil"/>
              <w:left w:val="nil"/>
              <w:bottom w:val="dotted" w:sz="4" w:space="0" w:color="auto"/>
              <w:right w:val="nil"/>
            </w:tcBorders>
          </w:tcPr>
          <w:p w14:paraId="5F34727B" w14:textId="77777777" w:rsidR="00CB57B3" w:rsidRPr="00CB57B3" w:rsidRDefault="00CB57B3" w:rsidP="00CB57B3">
            <w:pPr>
              <w:pStyle w:val="Odstavecseseznamem"/>
              <w:numPr>
                <w:ilvl w:val="0"/>
                <w:numId w:val="18"/>
              </w:numPr>
              <w:spacing w:before="0" w:after="0"/>
              <w:ind w:left="208" w:hanging="208"/>
              <w:rPr>
                <w:rFonts w:cs="Calibri"/>
                <w:sz w:val="17"/>
                <w:szCs w:val="17"/>
              </w:rPr>
            </w:pPr>
            <w:r w:rsidRPr="00CB57B3">
              <w:rPr>
                <w:rFonts w:cs="Calibri"/>
                <w:sz w:val="17"/>
                <w:szCs w:val="17"/>
              </w:rPr>
              <w:t>plocha bezprostředně navazuje na zastavěné území obce,</w:t>
            </w:r>
          </w:p>
          <w:p w14:paraId="7A18B4C4" w14:textId="77777777" w:rsidR="00CB57B3" w:rsidRPr="00CB57B3" w:rsidRDefault="00CB57B3" w:rsidP="00CB57B3">
            <w:pPr>
              <w:pStyle w:val="Odstavecseseznamem"/>
              <w:numPr>
                <w:ilvl w:val="0"/>
                <w:numId w:val="18"/>
              </w:numPr>
              <w:spacing w:before="0" w:after="0"/>
              <w:ind w:left="208" w:hanging="208"/>
              <w:rPr>
                <w:rFonts w:cs="Calibri"/>
                <w:sz w:val="17"/>
                <w:szCs w:val="17"/>
              </w:rPr>
            </w:pPr>
            <w:r w:rsidRPr="00CB57B3">
              <w:rPr>
                <w:rFonts w:cs="Calibri"/>
                <w:sz w:val="17"/>
                <w:szCs w:val="17"/>
              </w:rPr>
              <w:t>plocha je v souladu s urbanistickou koncepcí obce,</w:t>
            </w:r>
          </w:p>
          <w:p w14:paraId="20DBCC79" w14:textId="77777777" w:rsidR="00CB57B3" w:rsidRPr="00CB57B3" w:rsidRDefault="00CB57B3" w:rsidP="00CB57B3">
            <w:pPr>
              <w:pStyle w:val="Odstavecseseznamem"/>
              <w:numPr>
                <w:ilvl w:val="0"/>
                <w:numId w:val="18"/>
              </w:numPr>
              <w:spacing w:before="0" w:after="0"/>
              <w:ind w:left="208" w:hanging="208"/>
              <w:rPr>
                <w:rFonts w:cs="Calibri"/>
                <w:sz w:val="17"/>
                <w:szCs w:val="17"/>
              </w:rPr>
            </w:pPr>
            <w:r w:rsidRPr="00CB57B3">
              <w:rPr>
                <w:rFonts w:cs="Calibri"/>
                <w:sz w:val="17"/>
                <w:szCs w:val="17"/>
              </w:rPr>
              <w:t>plocha je přímo napojena na veřejnou infrastrukturu obce,</w:t>
            </w:r>
          </w:p>
          <w:p w14:paraId="44D179C0" w14:textId="4785B4EA" w:rsidR="003F2A98" w:rsidRPr="00FF5FBE" w:rsidRDefault="00CB57B3" w:rsidP="006F2B8F">
            <w:pPr>
              <w:pStyle w:val="Odstavecseseznamem"/>
              <w:numPr>
                <w:ilvl w:val="0"/>
                <w:numId w:val="18"/>
              </w:numPr>
              <w:spacing w:before="0" w:after="0"/>
              <w:ind w:left="208" w:hanging="208"/>
              <w:rPr>
                <w:rFonts w:cs="Calibri"/>
                <w:bCs/>
                <w:color w:val="000000"/>
                <w:sz w:val="17"/>
                <w:szCs w:val="17"/>
              </w:rPr>
            </w:pPr>
            <w:r w:rsidRPr="00CB57B3">
              <w:rPr>
                <w:rFonts w:cs="Calibri"/>
                <w:sz w:val="17"/>
                <w:szCs w:val="17"/>
              </w:rPr>
              <w:t>plocha je vymezena na pozemcích ve vlastnictví ČR a</w:t>
            </w:r>
            <w:r>
              <w:rPr>
                <w:rFonts w:cs="Calibri"/>
                <w:sz w:val="17"/>
                <w:szCs w:val="17"/>
              </w:rPr>
              <w:t> </w:t>
            </w:r>
            <w:r w:rsidRPr="00CB57B3">
              <w:rPr>
                <w:rFonts w:cs="Calibri"/>
                <w:sz w:val="17"/>
                <w:szCs w:val="17"/>
              </w:rPr>
              <w:t>je vymezena pro rozvoj občanského vybavení, případně jiných obecních priorit (např. dostupné bydlení) ve vazbě na plochu T.02-2.</w:t>
            </w:r>
          </w:p>
        </w:tc>
      </w:tr>
      <w:tr w:rsidR="003F2A98" w:rsidRPr="00FF5FBE" w14:paraId="7DD8E2C0" w14:textId="77777777" w:rsidTr="003F2A98">
        <w:trPr>
          <w:trHeight w:val="300"/>
        </w:trPr>
        <w:tc>
          <w:tcPr>
            <w:tcW w:w="840" w:type="dxa"/>
            <w:tcBorders>
              <w:top w:val="nil"/>
              <w:left w:val="nil"/>
              <w:bottom w:val="dotted" w:sz="4" w:space="0" w:color="auto"/>
              <w:right w:val="nil"/>
            </w:tcBorders>
            <w:hideMark/>
          </w:tcPr>
          <w:p w14:paraId="1DA06B68" w14:textId="77777777" w:rsidR="003F2A98" w:rsidRPr="00FF5FBE" w:rsidRDefault="003F2A98" w:rsidP="0013788E">
            <w:pPr>
              <w:spacing w:before="0" w:after="0"/>
              <w:ind w:left="0"/>
              <w:jc w:val="left"/>
              <w:rPr>
                <w:rFonts w:cs="Calibri"/>
                <w:bCs/>
                <w:color w:val="000000"/>
                <w:sz w:val="17"/>
                <w:szCs w:val="17"/>
              </w:rPr>
            </w:pPr>
            <w:r w:rsidRPr="00FF5FBE">
              <w:rPr>
                <w:rFonts w:cs="Calibri"/>
                <w:bCs/>
                <w:color w:val="000000"/>
                <w:sz w:val="17"/>
                <w:szCs w:val="17"/>
              </w:rPr>
              <w:t>Z.</w:t>
            </w:r>
            <w:r>
              <w:rPr>
                <w:rFonts w:cs="Calibri"/>
                <w:bCs/>
                <w:color w:val="000000"/>
                <w:sz w:val="17"/>
                <w:szCs w:val="17"/>
              </w:rPr>
              <w:t>02-3</w:t>
            </w:r>
          </w:p>
        </w:tc>
        <w:tc>
          <w:tcPr>
            <w:tcW w:w="657" w:type="dxa"/>
            <w:tcBorders>
              <w:top w:val="nil"/>
              <w:left w:val="nil"/>
              <w:bottom w:val="dotted" w:sz="4" w:space="0" w:color="auto"/>
              <w:right w:val="nil"/>
            </w:tcBorders>
            <w:hideMark/>
          </w:tcPr>
          <w:p w14:paraId="2E454508" w14:textId="77777777" w:rsidR="003F2A98" w:rsidRPr="00FF5FBE" w:rsidRDefault="003F2A98" w:rsidP="0013788E">
            <w:pPr>
              <w:spacing w:before="0" w:after="0"/>
              <w:ind w:left="0"/>
              <w:jc w:val="left"/>
              <w:rPr>
                <w:rFonts w:cs="Calibri"/>
                <w:bCs/>
                <w:color w:val="000000"/>
                <w:sz w:val="17"/>
                <w:szCs w:val="17"/>
              </w:rPr>
            </w:pPr>
            <w:r w:rsidRPr="00FF5FBE">
              <w:rPr>
                <w:rFonts w:cs="Calibri"/>
                <w:bCs/>
                <w:color w:val="000000"/>
                <w:sz w:val="17"/>
                <w:szCs w:val="17"/>
              </w:rPr>
              <w:t>RX</w:t>
            </w:r>
          </w:p>
        </w:tc>
        <w:tc>
          <w:tcPr>
            <w:tcW w:w="2330" w:type="dxa"/>
            <w:tcBorders>
              <w:top w:val="nil"/>
              <w:left w:val="nil"/>
              <w:bottom w:val="dotted" w:sz="4" w:space="0" w:color="auto"/>
              <w:right w:val="nil"/>
            </w:tcBorders>
            <w:hideMark/>
          </w:tcPr>
          <w:p w14:paraId="32760BFD" w14:textId="77777777" w:rsidR="003F2A98" w:rsidRPr="00FF5FBE" w:rsidRDefault="003F2A98" w:rsidP="0013788E">
            <w:pPr>
              <w:spacing w:before="0" w:after="0"/>
              <w:ind w:left="0"/>
              <w:jc w:val="left"/>
              <w:rPr>
                <w:rFonts w:cs="Calibri"/>
                <w:bCs/>
                <w:color w:val="000000"/>
                <w:sz w:val="17"/>
                <w:szCs w:val="17"/>
              </w:rPr>
            </w:pPr>
            <w:r w:rsidRPr="00381B8F">
              <w:rPr>
                <w:rFonts w:asciiTheme="minorHAnsi" w:hAnsiTheme="minorHAnsi" w:cstheme="minorHAnsi"/>
                <w:bCs/>
                <w:color w:val="000000"/>
                <w:sz w:val="17"/>
                <w:szCs w:val="17"/>
              </w:rPr>
              <w:t>rekreace jiná – rekreační areály</w:t>
            </w:r>
          </w:p>
        </w:tc>
        <w:tc>
          <w:tcPr>
            <w:tcW w:w="3969" w:type="dxa"/>
            <w:tcBorders>
              <w:top w:val="nil"/>
              <w:left w:val="nil"/>
              <w:bottom w:val="dotted" w:sz="4" w:space="0" w:color="auto"/>
              <w:right w:val="nil"/>
            </w:tcBorders>
            <w:hideMark/>
          </w:tcPr>
          <w:p w14:paraId="322AD5DA" w14:textId="2455076B" w:rsidR="00066D90" w:rsidRPr="00066D90" w:rsidRDefault="00066D90" w:rsidP="00066D90">
            <w:pPr>
              <w:pStyle w:val="Odstavecseseznamem"/>
              <w:numPr>
                <w:ilvl w:val="0"/>
                <w:numId w:val="18"/>
              </w:numPr>
              <w:spacing w:before="0" w:after="0"/>
              <w:ind w:left="208" w:hanging="208"/>
              <w:rPr>
                <w:rFonts w:cs="Calibri"/>
                <w:sz w:val="17"/>
                <w:szCs w:val="17"/>
              </w:rPr>
            </w:pPr>
            <w:r w:rsidRPr="00066D90">
              <w:rPr>
                <w:rFonts w:cs="Calibri"/>
                <w:sz w:val="17"/>
                <w:szCs w:val="17"/>
              </w:rPr>
              <w:t>plocha je dlouhodobě vymezena pro rozvoj nadmístního rekreačního areálu Hlubočky (plocha R7 předchozího ÚP Hlubočky),</w:t>
            </w:r>
          </w:p>
          <w:p w14:paraId="3F0E9256" w14:textId="77777777" w:rsidR="003F2A98" w:rsidRPr="00E13362" w:rsidRDefault="00066D90" w:rsidP="00066D90">
            <w:pPr>
              <w:pStyle w:val="Odstavecseseznamem"/>
              <w:numPr>
                <w:ilvl w:val="0"/>
                <w:numId w:val="18"/>
              </w:numPr>
              <w:spacing w:before="0" w:after="0"/>
              <w:ind w:left="208" w:hanging="208"/>
              <w:rPr>
                <w:rFonts w:cs="Calibri"/>
                <w:bCs/>
                <w:color w:val="000000"/>
                <w:sz w:val="17"/>
                <w:szCs w:val="17"/>
              </w:rPr>
            </w:pPr>
            <w:r w:rsidRPr="00066D90">
              <w:rPr>
                <w:rFonts w:cs="Calibri"/>
                <w:sz w:val="17"/>
                <w:szCs w:val="17"/>
              </w:rPr>
              <w:t>plocha je v souladu s urbanistickou koncepcí vymezena pro rozvoj nadmístního rekreačního areálu Hlubočky pro zimní sporty</w:t>
            </w:r>
            <w:r w:rsidR="00DE177E">
              <w:rPr>
                <w:rFonts w:cs="Calibri"/>
                <w:sz w:val="17"/>
                <w:szCs w:val="17"/>
              </w:rPr>
              <w:t>, zajišťuje</w:t>
            </w:r>
            <w:r w:rsidR="00DE177E" w:rsidRPr="00DE177E">
              <w:rPr>
                <w:rFonts w:cs="Calibri"/>
                <w:sz w:val="17"/>
                <w:szCs w:val="17"/>
              </w:rPr>
              <w:t xml:space="preserve"> prostorov</w:t>
            </w:r>
            <w:r w:rsidR="00DE177E">
              <w:rPr>
                <w:rFonts w:cs="Calibri"/>
                <w:sz w:val="17"/>
                <w:szCs w:val="17"/>
              </w:rPr>
              <w:t>ou</w:t>
            </w:r>
            <w:r w:rsidR="00DE177E" w:rsidRPr="00DE177E">
              <w:rPr>
                <w:rFonts w:cs="Calibri"/>
                <w:sz w:val="17"/>
                <w:szCs w:val="17"/>
              </w:rPr>
              <w:t xml:space="preserve"> rezerv</w:t>
            </w:r>
            <w:r w:rsidR="00DE177E">
              <w:rPr>
                <w:rFonts w:cs="Calibri"/>
                <w:sz w:val="17"/>
                <w:szCs w:val="17"/>
              </w:rPr>
              <w:t>u</w:t>
            </w:r>
            <w:r w:rsidR="00DE177E" w:rsidRPr="00DE177E">
              <w:rPr>
                <w:rFonts w:cs="Calibri"/>
                <w:sz w:val="17"/>
                <w:szCs w:val="17"/>
              </w:rPr>
              <w:t xml:space="preserve"> pro rozvoj ploch sjezdovek, jejich zázemí a souvisejícího vybavení nadmístního rekreačního areálu pro zimní sporty</w:t>
            </w:r>
            <w:r w:rsidR="00DE177E">
              <w:rPr>
                <w:rFonts w:cs="Calibri"/>
                <w:sz w:val="17"/>
                <w:szCs w:val="17"/>
              </w:rPr>
              <w:t>.</w:t>
            </w:r>
          </w:p>
          <w:p w14:paraId="5A0C22CD" w14:textId="77777777" w:rsidR="00E13362" w:rsidRDefault="00E13362" w:rsidP="00E13362">
            <w:pPr>
              <w:pStyle w:val="Odstavecseseznamem"/>
              <w:spacing w:before="0" w:after="0"/>
              <w:ind w:left="208"/>
              <w:rPr>
                <w:rFonts w:cs="Calibri"/>
                <w:bCs/>
                <w:color w:val="000000"/>
                <w:sz w:val="17"/>
                <w:szCs w:val="17"/>
              </w:rPr>
            </w:pPr>
          </w:p>
          <w:p w14:paraId="7A25149E" w14:textId="77777777" w:rsidR="00E13362" w:rsidRDefault="00E13362" w:rsidP="00E13362">
            <w:pPr>
              <w:pStyle w:val="Odstavecseseznamem"/>
              <w:spacing w:before="0" w:after="0"/>
              <w:ind w:left="208"/>
              <w:rPr>
                <w:rFonts w:cs="Calibri"/>
                <w:bCs/>
                <w:color w:val="000000"/>
                <w:sz w:val="17"/>
                <w:szCs w:val="17"/>
              </w:rPr>
            </w:pPr>
          </w:p>
          <w:p w14:paraId="19D4EBD7" w14:textId="77777777" w:rsidR="00E13362" w:rsidRDefault="00E13362" w:rsidP="00E13362">
            <w:pPr>
              <w:pStyle w:val="Odstavecseseznamem"/>
              <w:spacing w:before="0" w:after="0"/>
              <w:ind w:left="208"/>
              <w:rPr>
                <w:rFonts w:cs="Calibri"/>
                <w:bCs/>
                <w:color w:val="000000"/>
                <w:sz w:val="17"/>
                <w:szCs w:val="17"/>
              </w:rPr>
            </w:pPr>
          </w:p>
          <w:p w14:paraId="73A60BF0" w14:textId="77777777" w:rsidR="00E13362" w:rsidRDefault="00E13362" w:rsidP="00E13362">
            <w:pPr>
              <w:pStyle w:val="Odstavecseseznamem"/>
              <w:spacing w:before="0" w:after="0"/>
              <w:ind w:left="208"/>
              <w:rPr>
                <w:rFonts w:cs="Calibri"/>
                <w:bCs/>
                <w:color w:val="000000"/>
                <w:sz w:val="17"/>
                <w:szCs w:val="17"/>
              </w:rPr>
            </w:pPr>
          </w:p>
          <w:p w14:paraId="55C01218" w14:textId="77777777" w:rsidR="00E13362" w:rsidRDefault="00E13362" w:rsidP="00E13362">
            <w:pPr>
              <w:pStyle w:val="Odstavecseseznamem"/>
              <w:spacing w:before="0" w:after="0"/>
              <w:ind w:left="208"/>
              <w:rPr>
                <w:rFonts w:cs="Calibri"/>
                <w:bCs/>
                <w:color w:val="000000"/>
                <w:sz w:val="17"/>
                <w:szCs w:val="17"/>
              </w:rPr>
            </w:pPr>
          </w:p>
          <w:p w14:paraId="75B6B8B5" w14:textId="30889360" w:rsidR="00E13362" w:rsidRPr="00FF5FBE" w:rsidRDefault="00E13362" w:rsidP="00E13362">
            <w:pPr>
              <w:pStyle w:val="Odstavecseseznamem"/>
              <w:spacing w:before="0" w:after="0"/>
              <w:ind w:left="208"/>
              <w:rPr>
                <w:rFonts w:cs="Calibri"/>
                <w:bCs/>
                <w:color w:val="000000"/>
                <w:sz w:val="17"/>
                <w:szCs w:val="17"/>
              </w:rPr>
            </w:pPr>
          </w:p>
        </w:tc>
      </w:tr>
      <w:tr w:rsidR="003F2A98" w:rsidRPr="00FF5FBE" w14:paraId="6D17C880" w14:textId="77777777" w:rsidTr="003F2A98">
        <w:trPr>
          <w:trHeight w:val="300"/>
        </w:trPr>
        <w:tc>
          <w:tcPr>
            <w:tcW w:w="840" w:type="dxa"/>
            <w:tcBorders>
              <w:top w:val="nil"/>
              <w:left w:val="nil"/>
              <w:bottom w:val="dotted" w:sz="4" w:space="0" w:color="auto"/>
              <w:right w:val="nil"/>
            </w:tcBorders>
            <w:hideMark/>
          </w:tcPr>
          <w:p w14:paraId="047FC847" w14:textId="77777777" w:rsidR="003F2A98" w:rsidRPr="00FF5FBE" w:rsidRDefault="003F2A98" w:rsidP="0013788E">
            <w:pPr>
              <w:spacing w:before="0" w:after="0"/>
              <w:ind w:left="0"/>
              <w:jc w:val="left"/>
              <w:rPr>
                <w:rFonts w:cs="Calibri"/>
                <w:bCs/>
                <w:color w:val="000000"/>
                <w:sz w:val="17"/>
                <w:szCs w:val="17"/>
              </w:rPr>
            </w:pPr>
            <w:r w:rsidRPr="00FF5FBE">
              <w:rPr>
                <w:rFonts w:cs="Calibri"/>
                <w:bCs/>
                <w:color w:val="000000"/>
                <w:sz w:val="17"/>
                <w:szCs w:val="17"/>
              </w:rPr>
              <w:lastRenderedPageBreak/>
              <w:t>Z.</w:t>
            </w:r>
            <w:r>
              <w:rPr>
                <w:rFonts w:cs="Calibri"/>
                <w:bCs/>
                <w:color w:val="000000"/>
                <w:sz w:val="17"/>
                <w:szCs w:val="17"/>
              </w:rPr>
              <w:t>02-4</w:t>
            </w:r>
          </w:p>
        </w:tc>
        <w:tc>
          <w:tcPr>
            <w:tcW w:w="657" w:type="dxa"/>
            <w:tcBorders>
              <w:top w:val="nil"/>
              <w:left w:val="nil"/>
              <w:bottom w:val="dotted" w:sz="4" w:space="0" w:color="auto"/>
              <w:right w:val="nil"/>
            </w:tcBorders>
            <w:hideMark/>
          </w:tcPr>
          <w:p w14:paraId="35330E41" w14:textId="77777777" w:rsidR="003F2A98" w:rsidRPr="00FF5FBE" w:rsidRDefault="003F2A98" w:rsidP="0013788E">
            <w:pPr>
              <w:spacing w:before="0" w:after="0"/>
              <w:ind w:left="0"/>
              <w:jc w:val="left"/>
              <w:rPr>
                <w:rFonts w:cs="Calibri"/>
                <w:bCs/>
                <w:color w:val="000000"/>
                <w:sz w:val="17"/>
                <w:szCs w:val="17"/>
              </w:rPr>
            </w:pPr>
            <w:r w:rsidRPr="00FF5FBE">
              <w:rPr>
                <w:rFonts w:cs="Calibri"/>
                <w:bCs/>
                <w:color w:val="000000"/>
                <w:sz w:val="17"/>
                <w:szCs w:val="17"/>
              </w:rPr>
              <w:t>RX</w:t>
            </w:r>
          </w:p>
        </w:tc>
        <w:tc>
          <w:tcPr>
            <w:tcW w:w="2330" w:type="dxa"/>
            <w:tcBorders>
              <w:top w:val="nil"/>
              <w:left w:val="nil"/>
              <w:bottom w:val="dotted" w:sz="4" w:space="0" w:color="auto"/>
              <w:right w:val="nil"/>
            </w:tcBorders>
            <w:hideMark/>
          </w:tcPr>
          <w:p w14:paraId="02B6B1E1" w14:textId="77777777" w:rsidR="003F2A98" w:rsidRPr="00FF5FBE" w:rsidRDefault="003F2A98" w:rsidP="0013788E">
            <w:pPr>
              <w:spacing w:before="0" w:after="0"/>
              <w:ind w:left="0"/>
              <w:jc w:val="left"/>
              <w:rPr>
                <w:rFonts w:cs="Calibri"/>
                <w:bCs/>
                <w:color w:val="000000"/>
                <w:sz w:val="17"/>
                <w:szCs w:val="17"/>
              </w:rPr>
            </w:pPr>
            <w:r w:rsidRPr="00381B8F">
              <w:rPr>
                <w:rFonts w:asciiTheme="minorHAnsi" w:hAnsiTheme="minorHAnsi" w:cstheme="minorHAnsi"/>
                <w:bCs/>
                <w:color w:val="000000"/>
                <w:sz w:val="17"/>
                <w:szCs w:val="17"/>
              </w:rPr>
              <w:t>rekreace jiná – rekreační areály</w:t>
            </w:r>
          </w:p>
        </w:tc>
        <w:tc>
          <w:tcPr>
            <w:tcW w:w="3969" w:type="dxa"/>
            <w:tcBorders>
              <w:top w:val="nil"/>
              <w:left w:val="nil"/>
              <w:bottom w:val="dotted" w:sz="4" w:space="0" w:color="auto"/>
              <w:right w:val="nil"/>
            </w:tcBorders>
            <w:hideMark/>
          </w:tcPr>
          <w:p w14:paraId="7321C7A1" w14:textId="0E2A48E8" w:rsidR="00DE177E" w:rsidRPr="00DE177E" w:rsidRDefault="00DE177E" w:rsidP="00DE177E">
            <w:pPr>
              <w:pStyle w:val="Odstavecseseznamem"/>
              <w:numPr>
                <w:ilvl w:val="0"/>
                <w:numId w:val="18"/>
              </w:numPr>
              <w:spacing w:before="0" w:after="0"/>
              <w:ind w:left="208" w:hanging="208"/>
              <w:rPr>
                <w:rFonts w:cs="Calibri"/>
                <w:sz w:val="17"/>
                <w:szCs w:val="17"/>
              </w:rPr>
            </w:pPr>
            <w:r w:rsidRPr="00DE177E">
              <w:rPr>
                <w:rFonts w:cs="Calibri"/>
                <w:sz w:val="17"/>
                <w:szCs w:val="17"/>
              </w:rPr>
              <w:t>plocha je dlouhodobě vymezena pro rozvoj nadmístního rekreačního areálu Hlubočky (plocha R8 předchozího ÚP Hlubočky),</w:t>
            </w:r>
          </w:p>
          <w:p w14:paraId="35D2A52F" w14:textId="2146F2FF" w:rsidR="003F2A98" w:rsidRPr="00FF5FBE" w:rsidRDefault="00DE177E" w:rsidP="00DE177E">
            <w:pPr>
              <w:pStyle w:val="Odstavecseseznamem"/>
              <w:numPr>
                <w:ilvl w:val="0"/>
                <w:numId w:val="18"/>
              </w:numPr>
              <w:spacing w:before="0" w:after="0"/>
              <w:ind w:left="208" w:hanging="208"/>
              <w:rPr>
                <w:rFonts w:cs="Calibri"/>
                <w:bCs/>
                <w:color w:val="000000"/>
                <w:sz w:val="17"/>
                <w:szCs w:val="17"/>
              </w:rPr>
            </w:pPr>
            <w:r w:rsidRPr="00DE177E">
              <w:rPr>
                <w:rFonts w:cs="Calibri"/>
                <w:sz w:val="17"/>
                <w:szCs w:val="17"/>
              </w:rPr>
              <w:t>plocha je v souladu s urbanistickou koncepcí vymezena pro rozvoj nadmístního rekreačního areálu Hlubočky pro zimní sporty</w:t>
            </w:r>
            <w:r>
              <w:rPr>
                <w:rFonts w:cs="Calibri"/>
                <w:sz w:val="17"/>
                <w:szCs w:val="17"/>
              </w:rPr>
              <w:t>, zajišťuje</w:t>
            </w:r>
            <w:r w:rsidRPr="00DE177E">
              <w:rPr>
                <w:rFonts w:cs="Calibri"/>
                <w:sz w:val="17"/>
                <w:szCs w:val="17"/>
              </w:rPr>
              <w:t xml:space="preserve"> prostorov</w:t>
            </w:r>
            <w:r>
              <w:rPr>
                <w:rFonts w:cs="Calibri"/>
                <w:sz w:val="17"/>
                <w:szCs w:val="17"/>
              </w:rPr>
              <w:t>ou</w:t>
            </w:r>
            <w:r w:rsidRPr="00DE177E">
              <w:rPr>
                <w:rFonts w:cs="Calibri"/>
                <w:sz w:val="17"/>
                <w:szCs w:val="17"/>
              </w:rPr>
              <w:t xml:space="preserve"> rezerv</w:t>
            </w:r>
            <w:r>
              <w:rPr>
                <w:rFonts w:cs="Calibri"/>
                <w:sz w:val="17"/>
                <w:szCs w:val="17"/>
              </w:rPr>
              <w:t>u</w:t>
            </w:r>
            <w:r w:rsidRPr="00DE177E">
              <w:rPr>
                <w:rFonts w:cs="Calibri"/>
                <w:sz w:val="17"/>
                <w:szCs w:val="17"/>
              </w:rPr>
              <w:t xml:space="preserve"> pro rozvoj ploch sjezdovek, jejich zázemí a souvisejícího vybavení nadmístního rekreačního areálu pro zimní sporty</w:t>
            </w:r>
            <w:r>
              <w:rPr>
                <w:rFonts w:cs="Calibri"/>
                <w:sz w:val="17"/>
                <w:szCs w:val="17"/>
              </w:rPr>
              <w:t>.</w:t>
            </w:r>
          </w:p>
        </w:tc>
      </w:tr>
      <w:tr w:rsidR="003F2A98" w:rsidRPr="00FF5FBE" w14:paraId="2A45B19F" w14:textId="77777777" w:rsidTr="003F2A98">
        <w:trPr>
          <w:trHeight w:val="227"/>
        </w:trPr>
        <w:tc>
          <w:tcPr>
            <w:tcW w:w="7796" w:type="dxa"/>
            <w:gridSpan w:val="4"/>
            <w:tcBorders>
              <w:top w:val="nil"/>
              <w:left w:val="nil"/>
              <w:bottom w:val="dotted" w:sz="4" w:space="0" w:color="auto"/>
              <w:right w:val="nil"/>
            </w:tcBorders>
          </w:tcPr>
          <w:p w14:paraId="4473D1D5" w14:textId="77777777" w:rsidR="003F2A98" w:rsidRPr="00164090" w:rsidRDefault="003F2A98" w:rsidP="0013788E">
            <w:pPr>
              <w:spacing w:before="0" w:after="0"/>
              <w:ind w:left="0"/>
              <w:jc w:val="left"/>
              <w:rPr>
                <w:rFonts w:cs="Calibri"/>
                <w:b/>
                <w:color w:val="000000"/>
                <w:sz w:val="17"/>
                <w:szCs w:val="17"/>
              </w:rPr>
            </w:pPr>
            <w:r w:rsidRPr="00164090">
              <w:rPr>
                <w:rFonts w:cs="Calibri"/>
                <w:b/>
                <w:color w:val="000000"/>
                <w:sz w:val="17"/>
                <w:szCs w:val="17"/>
              </w:rPr>
              <w:t>L.04 Posluchov</w:t>
            </w:r>
          </w:p>
        </w:tc>
      </w:tr>
      <w:tr w:rsidR="00C10E85" w:rsidRPr="00FF5FBE" w14:paraId="2519F00E" w14:textId="77777777" w:rsidTr="0013788E">
        <w:trPr>
          <w:trHeight w:val="300"/>
        </w:trPr>
        <w:tc>
          <w:tcPr>
            <w:tcW w:w="840" w:type="dxa"/>
            <w:tcBorders>
              <w:top w:val="nil"/>
              <w:left w:val="nil"/>
              <w:bottom w:val="dotted" w:sz="4" w:space="0" w:color="auto"/>
              <w:right w:val="nil"/>
            </w:tcBorders>
            <w:hideMark/>
          </w:tcPr>
          <w:p w14:paraId="4814FA95" w14:textId="77777777" w:rsidR="00C10E85" w:rsidRPr="00FF5FBE" w:rsidRDefault="00C10E85" w:rsidP="0013788E">
            <w:pPr>
              <w:spacing w:before="0" w:after="0"/>
              <w:ind w:left="0"/>
              <w:jc w:val="left"/>
              <w:rPr>
                <w:rFonts w:cs="Calibri"/>
                <w:bCs/>
                <w:color w:val="000000"/>
                <w:sz w:val="17"/>
                <w:szCs w:val="17"/>
              </w:rPr>
            </w:pPr>
            <w:r w:rsidRPr="00FF5FBE">
              <w:rPr>
                <w:rFonts w:cs="Calibri"/>
                <w:bCs/>
                <w:color w:val="000000"/>
                <w:sz w:val="17"/>
                <w:szCs w:val="17"/>
              </w:rPr>
              <w:t>Z.</w:t>
            </w:r>
            <w:r>
              <w:rPr>
                <w:rFonts w:cs="Calibri"/>
                <w:bCs/>
                <w:color w:val="000000"/>
                <w:sz w:val="17"/>
                <w:szCs w:val="17"/>
              </w:rPr>
              <w:t>04-1</w:t>
            </w:r>
          </w:p>
        </w:tc>
        <w:tc>
          <w:tcPr>
            <w:tcW w:w="657" w:type="dxa"/>
            <w:tcBorders>
              <w:top w:val="nil"/>
              <w:left w:val="nil"/>
              <w:bottom w:val="dotted" w:sz="4" w:space="0" w:color="auto"/>
              <w:right w:val="nil"/>
            </w:tcBorders>
            <w:hideMark/>
          </w:tcPr>
          <w:p w14:paraId="67DDEFEE" w14:textId="77777777" w:rsidR="00C10E85" w:rsidRPr="00FF5FBE" w:rsidRDefault="00C10E85" w:rsidP="0013788E">
            <w:pPr>
              <w:spacing w:before="0" w:after="0"/>
              <w:ind w:left="0"/>
              <w:jc w:val="left"/>
              <w:rPr>
                <w:rFonts w:cs="Calibri"/>
                <w:bCs/>
                <w:color w:val="000000"/>
                <w:sz w:val="17"/>
                <w:szCs w:val="17"/>
              </w:rPr>
            </w:pPr>
            <w:r w:rsidRPr="00FF5FBE">
              <w:rPr>
                <w:rFonts w:cs="Calibri"/>
                <w:bCs/>
                <w:color w:val="000000"/>
                <w:sz w:val="17"/>
                <w:szCs w:val="17"/>
              </w:rPr>
              <w:t>SV</w:t>
            </w:r>
          </w:p>
        </w:tc>
        <w:tc>
          <w:tcPr>
            <w:tcW w:w="2330" w:type="dxa"/>
            <w:tcBorders>
              <w:top w:val="nil"/>
              <w:left w:val="nil"/>
              <w:bottom w:val="dotted" w:sz="4" w:space="0" w:color="auto"/>
              <w:right w:val="nil"/>
            </w:tcBorders>
            <w:hideMark/>
          </w:tcPr>
          <w:p w14:paraId="484A7A71" w14:textId="77777777" w:rsidR="00C10E85" w:rsidRPr="00FF5FBE" w:rsidRDefault="00C10E85" w:rsidP="0013788E">
            <w:pPr>
              <w:spacing w:before="0" w:after="0"/>
              <w:ind w:left="0"/>
              <w:jc w:val="left"/>
              <w:rPr>
                <w:rFonts w:cs="Calibri"/>
                <w:bCs/>
                <w:color w:val="000000"/>
                <w:sz w:val="17"/>
                <w:szCs w:val="17"/>
              </w:rPr>
            </w:pPr>
            <w:r w:rsidRPr="00FF5FBE">
              <w:rPr>
                <w:rFonts w:cs="Calibri"/>
                <w:bCs/>
                <w:color w:val="000000"/>
                <w:sz w:val="17"/>
                <w:szCs w:val="17"/>
              </w:rPr>
              <w:t>smíšené obytné venkovské</w:t>
            </w:r>
          </w:p>
        </w:tc>
        <w:tc>
          <w:tcPr>
            <w:tcW w:w="3969" w:type="dxa"/>
            <w:tcBorders>
              <w:top w:val="nil"/>
              <w:left w:val="nil"/>
              <w:bottom w:val="dotted" w:sz="4" w:space="0" w:color="auto"/>
              <w:right w:val="nil"/>
            </w:tcBorders>
          </w:tcPr>
          <w:p w14:paraId="50F9140F" w14:textId="75666A93" w:rsidR="00C10E85" w:rsidRPr="00C10E85" w:rsidRDefault="00C10E85" w:rsidP="00C10E85">
            <w:pPr>
              <w:pStyle w:val="Odstavecseseznamem"/>
              <w:numPr>
                <w:ilvl w:val="0"/>
                <w:numId w:val="18"/>
              </w:numPr>
              <w:spacing w:before="0" w:after="0"/>
              <w:ind w:left="208" w:hanging="208"/>
              <w:rPr>
                <w:rFonts w:cs="Calibri"/>
                <w:sz w:val="17"/>
                <w:szCs w:val="17"/>
              </w:rPr>
            </w:pPr>
            <w:r w:rsidRPr="00C10E85">
              <w:rPr>
                <w:rFonts w:cs="Calibri"/>
                <w:sz w:val="17"/>
                <w:szCs w:val="17"/>
              </w:rPr>
              <w:t>plocha bezprostředně navazuje na zastavěné území obce,</w:t>
            </w:r>
          </w:p>
          <w:p w14:paraId="7E8358CA" w14:textId="088A5CF5" w:rsidR="00C10E85" w:rsidRPr="00C10E85" w:rsidRDefault="00C10E85" w:rsidP="00C10E85">
            <w:pPr>
              <w:pStyle w:val="Odstavecseseznamem"/>
              <w:numPr>
                <w:ilvl w:val="0"/>
                <w:numId w:val="18"/>
              </w:numPr>
              <w:spacing w:before="0" w:after="0"/>
              <w:ind w:left="208" w:hanging="208"/>
              <w:rPr>
                <w:rFonts w:cs="Calibri"/>
                <w:sz w:val="17"/>
                <w:szCs w:val="17"/>
              </w:rPr>
            </w:pPr>
            <w:r w:rsidRPr="00C10E85">
              <w:rPr>
                <w:rFonts w:cs="Calibri"/>
                <w:sz w:val="17"/>
                <w:szCs w:val="17"/>
              </w:rPr>
              <w:t>plocha je v souladu s urbanistickou koncepcí obce, vhodně doplňuje a uzavírá centrální kompozici sídla Posluchov,</w:t>
            </w:r>
          </w:p>
          <w:p w14:paraId="0FF23951" w14:textId="50AD7ABC" w:rsidR="00C10E85" w:rsidRPr="00C10E85" w:rsidRDefault="00C10E85" w:rsidP="00C10E85">
            <w:pPr>
              <w:pStyle w:val="Odstavecseseznamem"/>
              <w:numPr>
                <w:ilvl w:val="0"/>
                <w:numId w:val="18"/>
              </w:numPr>
              <w:spacing w:before="0" w:after="0"/>
              <w:ind w:left="208" w:hanging="208"/>
              <w:rPr>
                <w:rFonts w:cs="Calibri"/>
                <w:sz w:val="17"/>
                <w:szCs w:val="17"/>
              </w:rPr>
            </w:pPr>
            <w:r w:rsidRPr="00C10E85">
              <w:rPr>
                <w:rFonts w:cs="Calibri"/>
                <w:sz w:val="17"/>
                <w:szCs w:val="17"/>
              </w:rPr>
              <w:t>plocha je přímo napojena na veřejnou infrastrukturu obce,</w:t>
            </w:r>
          </w:p>
          <w:p w14:paraId="6C4819FD" w14:textId="156DE088" w:rsidR="00C10E85" w:rsidRPr="00FF5FBE" w:rsidRDefault="00C10E85" w:rsidP="00C10E85">
            <w:pPr>
              <w:pStyle w:val="Odstavecseseznamem"/>
              <w:numPr>
                <w:ilvl w:val="0"/>
                <w:numId w:val="18"/>
              </w:numPr>
              <w:spacing w:before="0" w:after="0"/>
              <w:ind w:left="208" w:hanging="208"/>
              <w:rPr>
                <w:rFonts w:cs="Calibri"/>
                <w:bCs/>
                <w:color w:val="000000"/>
                <w:sz w:val="17"/>
                <w:szCs w:val="17"/>
              </w:rPr>
            </w:pPr>
            <w:r w:rsidRPr="00C10E85">
              <w:rPr>
                <w:rFonts w:cs="Calibri"/>
                <w:sz w:val="17"/>
                <w:szCs w:val="17"/>
              </w:rPr>
              <w:t>plocha je dlouhodobě vymezena jako prostorová rezerva rozvoje místní části Posluchov (plocha B8 v předchozím ÚP Hlubočky).</w:t>
            </w:r>
          </w:p>
        </w:tc>
      </w:tr>
      <w:tr w:rsidR="003F2A98" w:rsidRPr="00FF5FBE" w14:paraId="45A0FB99" w14:textId="77777777" w:rsidTr="003F2A98">
        <w:trPr>
          <w:trHeight w:val="300"/>
        </w:trPr>
        <w:tc>
          <w:tcPr>
            <w:tcW w:w="840" w:type="dxa"/>
            <w:tcBorders>
              <w:top w:val="nil"/>
              <w:left w:val="nil"/>
              <w:bottom w:val="dotted" w:sz="4" w:space="0" w:color="auto"/>
              <w:right w:val="nil"/>
            </w:tcBorders>
            <w:hideMark/>
          </w:tcPr>
          <w:p w14:paraId="4EBBE10D" w14:textId="77777777" w:rsidR="003F2A98" w:rsidRPr="00FF5FBE" w:rsidRDefault="003F2A98" w:rsidP="0013788E">
            <w:pPr>
              <w:spacing w:before="0" w:after="0"/>
              <w:ind w:left="0"/>
              <w:jc w:val="left"/>
              <w:rPr>
                <w:rFonts w:cs="Calibri"/>
                <w:bCs/>
                <w:color w:val="000000"/>
                <w:sz w:val="17"/>
                <w:szCs w:val="17"/>
              </w:rPr>
            </w:pPr>
            <w:r w:rsidRPr="00FF5FBE">
              <w:rPr>
                <w:rFonts w:cs="Calibri"/>
                <w:bCs/>
                <w:color w:val="000000"/>
                <w:sz w:val="17"/>
                <w:szCs w:val="17"/>
              </w:rPr>
              <w:t>Z.</w:t>
            </w:r>
            <w:r>
              <w:rPr>
                <w:rFonts w:cs="Calibri"/>
                <w:bCs/>
                <w:color w:val="000000"/>
                <w:sz w:val="17"/>
                <w:szCs w:val="17"/>
              </w:rPr>
              <w:t>04-10</w:t>
            </w:r>
          </w:p>
        </w:tc>
        <w:tc>
          <w:tcPr>
            <w:tcW w:w="657" w:type="dxa"/>
            <w:tcBorders>
              <w:top w:val="nil"/>
              <w:left w:val="nil"/>
              <w:bottom w:val="dotted" w:sz="4" w:space="0" w:color="auto"/>
              <w:right w:val="nil"/>
            </w:tcBorders>
            <w:hideMark/>
          </w:tcPr>
          <w:p w14:paraId="18B583B8" w14:textId="77777777" w:rsidR="003F2A98" w:rsidRPr="00FF5FBE" w:rsidRDefault="003F2A98" w:rsidP="0013788E">
            <w:pPr>
              <w:spacing w:before="0" w:after="0"/>
              <w:ind w:left="0"/>
              <w:jc w:val="left"/>
              <w:rPr>
                <w:rFonts w:cs="Calibri"/>
                <w:bCs/>
                <w:color w:val="000000"/>
                <w:sz w:val="17"/>
                <w:szCs w:val="17"/>
              </w:rPr>
            </w:pPr>
            <w:r w:rsidRPr="00FF5FBE">
              <w:rPr>
                <w:rFonts w:cs="Calibri"/>
                <w:bCs/>
                <w:color w:val="000000"/>
                <w:sz w:val="17"/>
                <w:szCs w:val="17"/>
              </w:rPr>
              <w:t>TU</w:t>
            </w:r>
          </w:p>
        </w:tc>
        <w:tc>
          <w:tcPr>
            <w:tcW w:w="2330" w:type="dxa"/>
            <w:tcBorders>
              <w:top w:val="nil"/>
              <w:left w:val="nil"/>
              <w:bottom w:val="dotted" w:sz="4" w:space="0" w:color="auto"/>
              <w:right w:val="nil"/>
            </w:tcBorders>
            <w:hideMark/>
          </w:tcPr>
          <w:p w14:paraId="068AF513" w14:textId="77777777" w:rsidR="003F2A98" w:rsidRPr="00FF5FBE" w:rsidRDefault="003F2A98" w:rsidP="0013788E">
            <w:pPr>
              <w:spacing w:before="0" w:after="0"/>
              <w:ind w:left="0"/>
              <w:jc w:val="left"/>
              <w:rPr>
                <w:rFonts w:cs="Calibri"/>
                <w:bCs/>
                <w:color w:val="000000"/>
                <w:sz w:val="17"/>
                <w:szCs w:val="17"/>
              </w:rPr>
            </w:pPr>
            <w:r w:rsidRPr="00FF5FBE">
              <w:rPr>
                <w:rFonts w:cs="Calibri"/>
                <w:bCs/>
                <w:color w:val="000000"/>
                <w:sz w:val="17"/>
                <w:szCs w:val="17"/>
              </w:rPr>
              <w:t>technická infrastruktura všeobecná</w:t>
            </w:r>
          </w:p>
        </w:tc>
        <w:tc>
          <w:tcPr>
            <w:tcW w:w="3969" w:type="dxa"/>
            <w:tcBorders>
              <w:top w:val="nil"/>
              <w:left w:val="nil"/>
              <w:bottom w:val="dotted" w:sz="4" w:space="0" w:color="auto"/>
              <w:right w:val="nil"/>
            </w:tcBorders>
          </w:tcPr>
          <w:p w14:paraId="0A13A79C" w14:textId="2C00A401" w:rsidR="00C10E85" w:rsidRPr="00C10E85" w:rsidRDefault="00C10E85" w:rsidP="00C10E85">
            <w:pPr>
              <w:pStyle w:val="Odstavecseseznamem"/>
              <w:numPr>
                <w:ilvl w:val="0"/>
                <w:numId w:val="18"/>
              </w:numPr>
              <w:spacing w:before="0" w:after="0"/>
              <w:ind w:left="208" w:hanging="208"/>
              <w:rPr>
                <w:rFonts w:cs="Calibri"/>
                <w:sz w:val="17"/>
                <w:szCs w:val="17"/>
              </w:rPr>
            </w:pPr>
            <w:r w:rsidRPr="00C10E85">
              <w:rPr>
                <w:rFonts w:cs="Calibri"/>
                <w:sz w:val="17"/>
                <w:szCs w:val="17"/>
              </w:rPr>
              <w:t>plocha je dlouhodobě vymezena pro rozvoj systému veřejné kanalizace místní části Posluchov (plocha T4 předchozího ÚP),</w:t>
            </w:r>
          </w:p>
          <w:p w14:paraId="1BE89B78" w14:textId="36876A77" w:rsidR="003F2A98" w:rsidRPr="00C10E85" w:rsidRDefault="00C10E85" w:rsidP="00C10E85">
            <w:pPr>
              <w:pStyle w:val="Odstavecseseznamem"/>
              <w:numPr>
                <w:ilvl w:val="0"/>
                <w:numId w:val="18"/>
              </w:numPr>
              <w:spacing w:before="0" w:after="0"/>
              <w:ind w:left="208" w:hanging="208"/>
              <w:rPr>
                <w:rFonts w:cs="Calibri"/>
                <w:sz w:val="17"/>
                <w:szCs w:val="17"/>
              </w:rPr>
            </w:pPr>
            <w:r w:rsidRPr="00C10E85">
              <w:rPr>
                <w:rFonts w:cs="Calibri"/>
                <w:sz w:val="17"/>
                <w:szCs w:val="17"/>
              </w:rPr>
              <w:t xml:space="preserve">plocha je vymezena pro vybudování místní ČOV Posluchov, </w:t>
            </w:r>
            <w:r w:rsidR="001B1745">
              <w:t>případně ČSOV s přečerpáváním do kanalizační sítě.</w:t>
            </w:r>
          </w:p>
        </w:tc>
      </w:tr>
      <w:tr w:rsidR="003F2A98" w:rsidRPr="00164090" w14:paraId="7C87486B" w14:textId="77777777" w:rsidTr="003F2A98">
        <w:trPr>
          <w:trHeight w:val="300"/>
        </w:trPr>
        <w:tc>
          <w:tcPr>
            <w:tcW w:w="7796" w:type="dxa"/>
            <w:gridSpan w:val="4"/>
            <w:tcBorders>
              <w:top w:val="nil"/>
              <w:left w:val="nil"/>
              <w:bottom w:val="dotted" w:sz="4" w:space="0" w:color="auto"/>
              <w:right w:val="nil"/>
            </w:tcBorders>
          </w:tcPr>
          <w:p w14:paraId="40A7B2E8" w14:textId="77777777" w:rsidR="003F2A98" w:rsidRPr="00164090" w:rsidRDefault="003F2A98" w:rsidP="0013788E">
            <w:pPr>
              <w:spacing w:before="0" w:after="0"/>
              <w:ind w:left="0"/>
              <w:jc w:val="left"/>
              <w:rPr>
                <w:rFonts w:cs="Calibri"/>
                <w:b/>
                <w:color w:val="000000"/>
                <w:sz w:val="17"/>
                <w:szCs w:val="17"/>
              </w:rPr>
            </w:pPr>
            <w:r w:rsidRPr="00164090">
              <w:rPr>
                <w:rFonts w:cs="Calibri"/>
                <w:b/>
                <w:color w:val="000000"/>
                <w:sz w:val="17"/>
                <w:szCs w:val="17"/>
              </w:rPr>
              <w:t>L.08 Údolí Nepřívazského potoka</w:t>
            </w:r>
          </w:p>
        </w:tc>
      </w:tr>
      <w:tr w:rsidR="003F2A98" w:rsidRPr="00FF5FBE" w14:paraId="7A1A939F" w14:textId="77777777" w:rsidTr="003F2A98">
        <w:trPr>
          <w:trHeight w:val="300"/>
        </w:trPr>
        <w:tc>
          <w:tcPr>
            <w:tcW w:w="840" w:type="dxa"/>
            <w:tcBorders>
              <w:top w:val="nil"/>
              <w:left w:val="nil"/>
              <w:bottom w:val="dotted" w:sz="4" w:space="0" w:color="auto"/>
              <w:right w:val="nil"/>
            </w:tcBorders>
            <w:hideMark/>
          </w:tcPr>
          <w:p w14:paraId="6CF21E6A" w14:textId="77777777" w:rsidR="003F2A98" w:rsidRPr="00FF5FBE" w:rsidRDefault="003F2A98" w:rsidP="0013788E">
            <w:pPr>
              <w:spacing w:before="0" w:after="0"/>
              <w:ind w:left="0"/>
              <w:jc w:val="left"/>
              <w:rPr>
                <w:rFonts w:cs="Calibri"/>
                <w:bCs/>
                <w:color w:val="000000"/>
                <w:sz w:val="17"/>
                <w:szCs w:val="17"/>
              </w:rPr>
            </w:pPr>
            <w:r w:rsidRPr="00FF5FBE">
              <w:rPr>
                <w:rFonts w:cs="Calibri"/>
                <w:bCs/>
                <w:color w:val="000000"/>
                <w:sz w:val="17"/>
                <w:szCs w:val="17"/>
              </w:rPr>
              <w:t>Z.</w:t>
            </w:r>
            <w:r>
              <w:rPr>
                <w:rFonts w:cs="Calibri"/>
                <w:bCs/>
                <w:color w:val="000000"/>
                <w:sz w:val="17"/>
                <w:szCs w:val="17"/>
              </w:rPr>
              <w:t>08-1</w:t>
            </w:r>
          </w:p>
        </w:tc>
        <w:tc>
          <w:tcPr>
            <w:tcW w:w="657" w:type="dxa"/>
            <w:tcBorders>
              <w:top w:val="nil"/>
              <w:left w:val="nil"/>
              <w:bottom w:val="dotted" w:sz="4" w:space="0" w:color="auto"/>
              <w:right w:val="nil"/>
            </w:tcBorders>
            <w:hideMark/>
          </w:tcPr>
          <w:p w14:paraId="1F85B7EE" w14:textId="77777777" w:rsidR="003F2A98" w:rsidRPr="00FF5FBE" w:rsidRDefault="003F2A98" w:rsidP="0013788E">
            <w:pPr>
              <w:spacing w:before="0" w:after="0"/>
              <w:ind w:left="0"/>
              <w:jc w:val="left"/>
              <w:rPr>
                <w:rFonts w:cs="Calibri"/>
                <w:bCs/>
                <w:color w:val="000000"/>
                <w:sz w:val="17"/>
                <w:szCs w:val="17"/>
              </w:rPr>
            </w:pPr>
            <w:r w:rsidRPr="00FF5FBE">
              <w:rPr>
                <w:rFonts w:cs="Calibri"/>
                <w:bCs/>
                <w:color w:val="000000"/>
                <w:sz w:val="17"/>
                <w:szCs w:val="17"/>
              </w:rPr>
              <w:t>SV</w:t>
            </w:r>
          </w:p>
        </w:tc>
        <w:tc>
          <w:tcPr>
            <w:tcW w:w="2330" w:type="dxa"/>
            <w:tcBorders>
              <w:top w:val="nil"/>
              <w:left w:val="nil"/>
              <w:bottom w:val="dotted" w:sz="4" w:space="0" w:color="auto"/>
              <w:right w:val="nil"/>
            </w:tcBorders>
            <w:hideMark/>
          </w:tcPr>
          <w:p w14:paraId="67EDDCD5" w14:textId="77777777" w:rsidR="003F2A98" w:rsidRPr="00FF5FBE" w:rsidRDefault="003F2A98" w:rsidP="0013788E">
            <w:pPr>
              <w:spacing w:before="0" w:after="0"/>
              <w:ind w:left="0"/>
              <w:jc w:val="left"/>
              <w:rPr>
                <w:rFonts w:cs="Calibri"/>
                <w:bCs/>
                <w:color w:val="000000"/>
                <w:sz w:val="17"/>
                <w:szCs w:val="17"/>
              </w:rPr>
            </w:pPr>
            <w:r w:rsidRPr="00FF5FBE">
              <w:rPr>
                <w:rFonts w:cs="Calibri"/>
                <w:bCs/>
                <w:color w:val="000000"/>
                <w:sz w:val="17"/>
                <w:szCs w:val="17"/>
              </w:rPr>
              <w:t>smíšené obytné venkovské</w:t>
            </w:r>
          </w:p>
        </w:tc>
        <w:tc>
          <w:tcPr>
            <w:tcW w:w="3969" w:type="dxa"/>
            <w:tcBorders>
              <w:top w:val="nil"/>
              <w:left w:val="nil"/>
              <w:bottom w:val="dotted" w:sz="4" w:space="0" w:color="auto"/>
              <w:right w:val="nil"/>
            </w:tcBorders>
            <w:hideMark/>
          </w:tcPr>
          <w:p w14:paraId="7A66A97B" w14:textId="04AAA2C9" w:rsidR="003A35CD" w:rsidRPr="003A35CD" w:rsidRDefault="003A35CD" w:rsidP="003A35CD">
            <w:pPr>
              <w:pStyle w:val="Odstavecseseznamem"/>
              <w:numPr>
                <w:ilvl w:val="0"/>
                <w:numId w:val="18"/>
              </w:numPr>
              <w:spacing w:before="0" w:after="0"/>
              <w:ind w:left="208" w:hanging="208"/>
              <w:rPr>
                <w:rFonts w:cs="Calibri"/>
                <w:sz w:val="17"/>
                <w:szCs w:val="17"/>
              </w:rPr>
            </w:pPr>
            <w:r w:rsidRPr="003A35CD">
              <w:rPr>
                <w:rFonts w:cs="Calibri"/>
                <w:sz w:val="17"/>
                <w:szCs w:val="17"/>
              </w:rPr>
              <w:t>plocha bezprostředně navazuje na zastavěné území obce,</w:t>
            </w:r>
          </w:p>
          <w:p w14:paraId="4F80CDE4" w14:textId="54AFC9DA" w:rsidR="003A35CD" w:rsidRPr="003A35CD" w:rsidRDefault="003A35CD" w:rsidP="003A35CD">
            <w:pPr>
              <w:pStyle w:val="Odstavecseseznamem"/>
              <w:numPr>
                <w:ilvl w:val="0"/>
                <w:numId w:val="18"/>
              </w:numPr>
              <w:spacing w:before="0" w:after="0"/>
              <w:ind w:left="208" w:hanging="208"/>
              <w:rPr>
                <w:rFonts w:cs="Calibri"/>
                <w:sz w:val="17"/>
                <w:szCs w:val="17"/>
              </w:rPr>
            </w:pPr>
            <w:r w:rsidRPr="003A35CD">
              <w:rPr>
                <w:rFonts w:cs="Calibri"/>
                <w:sz w:val="17"/>
                <w:szCs w:val="17"/>
              </w:rPr>
              <w:t>plocha je v souladu s urbanistickou koncepcí obce doplněním oboustranné zástavby ulice Mírová,</w:t>
            </w:r>
          </w:p>
          <w:p w14:paraId="2B3DBA23" w14:textId="1AFD8BD7" w:rsidR="003F2A98" w:rsidRPr="00FF5FBE" w:rsidRDefault="003A35CD" w:rsidP="003A35CD">
            <w:pPr>
              <w:pStyle w:val="Odstavecseseznamem"/>
              <w:numPr>
                <w:ilvl w:val="0"/>
                <w:numId w:val="18"/>
              </w:numPr>
              <w:spacing w:before="0" w:after="0"/>
              <w:ind w:left="208" w:hanging="208"/>
              <w:rPr>
                <w:rFonts w:cs="Calibri"/>
                <w:bCs/>
                <w:color w:val="000000"/>
                <w:sz w:val="17"/>
                <w:szCs w:val="17"/>
              </w:rPr>
            </w:pPr>
            <w:r w:rsidRPr="003A35CD">
              <w:rPr>
                <w:rFonts w:cs="Calibri"/>
                <w:sz w:val="17"/>
                <w:szCs w:val="17"/>
              </w:rPr>
              <w:t>plocha je dlouhodobě vymezena jako rozvojová rezerva (plocha B11 v předchozím ÚP Hlubočky).</w:t>
            </w:r>
          </w:p>
        </w:tc>
      </w:tr>
      <w:tr w:rsidR="003F2A98" w:rsidRPr="00FF5FBE" w14:paraId="1A76B9D3" w14:textId="77777777" w:rsidTr="003F2A98">
        <w:trPr>
          <w:trHeight w:val="300"/>
        </w:trPr>
        <w:tc>
          <w:tcPr>
            <w:tcW w:w="7796" w:type="dxa"/>
            <w:gridSpan w:val="4"/>
            <w:tcBorders>
              <w:top w:val="nil"/>
              <w:left w:val="nil"/>
              <w:bottom w:val="dotted" w:sz="4" w:space="0" w:color="auto"/>
              <w:right w:val="nil"/>
            </w:tcBorders>
          </w:tcPr>
          <w:p w14:paraId="689E42D4" w14:textId="77777777" w:rsidR="003F2A98" w:rsidRDefault="003F2A98" w:rsidP="0013788E">
            <w:pPr>
              <w:spacing w:before="0" w:after="0"/>
              <w:ind w:left="0"/>
              <w:jc w:val="left"/>
              <w:rPr>
                <w:rFonts w:cs="Calibri"/>
                <w:bCs/>
                <w:color w:val="000000"/>
                <w:sz w:val="17"/>
                <w:szCs w:val="17"/>
              </w:rPr>
            </w:pPr>
            <w:r w:rsidRPr="00AE233A">
              <w:rPr>
                <w:rFonts w:asciiTheme="minorHAnsi" w:hAnsiTheme="minorHAnsi" w:cstheme="minorHAnsi"/>
                <w:b/>
                <w:color w:val="000000"/>
                <w:sz w:val="17"/>
                <w:szCs w:val="17"/>
              </w:rPr>
              <w:t>L.09 Dukla</w:t>
            </w:r>
          </w:p>
        </w:tc>
      </w:tr>
      <w:tr w:rsidR="003F2A98" w:rsidRPr="00FF5FBE" w14:paraId="65054AA8" w14:textId="77777777" w:rsidTr="003F2A98">
        <w:trPr>
          <w:trHeight w:val="300"/>
        </w:trPr>
        <w:tc>
          <w:tcPr>
            <w:tcW w:w="840" w:type="dxa"/>
            <w:tcBorders>
              <w:top w:val="nil"/>
              <w:left w:val="nil"/>
              <w:bottom w:val="dotted" w:sz="4" w:space="0" w:color="auto"/>
              <w:right w:val="nil"/>
            </w:tcBorders>
            <w:hideMark/>
          </w:tcPr>
          <w:p w14:paraId="57C3A253" w14:textId="77777777" w:rsidR="003F2A98" w:rsidRPr="00FF5FBE" w:rsidRDefault="003F2A98" w:rsidP="0013788E">
            <w:pPr>
              <w:spacing w:before="0" w:after="0"/>
              <w:ind w:left="0"/>
              <w:jc w:val="left"/>
              <w:rPr>
                <w:rFonts w:cs="Calibri"/>
                <w:bCs/>
                <w:color w:val="000000"/>
                <w:sz w:val="17"/>
                <w:szCs w:val="17"/>
              </w:rPr>
            </w:pPr>
            <w:r w:rsidRPr="00FF5FBE">
              <w:rPr>
                <w:rFonts w:cs="Calibri"/>
                <w:bCs/>
                <w:color w:val="000000"/>
                <w:sz w:val="17"/>
                <w:szCs w:val="17"/>
              </w:rPr>
              <w:t>Z.</w:t>
            </w:r>
            <w:r>
              <w:rPr>
                <w:rFonts w:cs="Calibri"/>
                <w:bCs/>
                <w:color w:val="000000"/>
                <w:sz w:val="17"/>
                <w:szCs w:val="17"/>
              </w:rPr>
              <w:t>09-10</w:t>
            </w:r>
          </w:p>
        </w:tc>
        <w:tc>
          <w:tcPr>
            <w:tcW w:w="657" w:type="dxa"/>
            <w:tcBorders>
              <w:top w:val="nil"/>
              <w:left w:val="nil"/>
              <w:bottom w:val="dotted" w:sz="4" w:space="0" w:color="auto"/>
              <w:right w:val="nil"/>
            </w:tcBorders>
            <w:hideMark/>
          </w:tcPr>
          <w:p w14:paraId="07373FB8" w14:textId="77777777" w:rsidR="003F2A98" w:rsidRPr="00FF5FBE" w:rsidRDefault="003F2A98" w:rsidP="0013788E">
            <w:pPr>
              <w:spacing w:before="0" w:after="0"/>
              <w:ind w:left="0"/>
              <w:jc w:val="left"/>
              <w:rPr>
                <w:rFonts w:cs="Calibri"/>
                <w:bCs/>
                <w:color w:val="000000"/>
                <w:sz w:val="17"/>
                <w:szCs w:val="17"/>
              </w:rPr>
            </w:pPr>
            <w:r w:rsidRPr="00FF5FBE">
              <w:rPr>
                <w:rFonts w:cs="Calibri"/>
                <w:bCs/>
                <w:color w:val="000000"/>
                <w:sz w:val="17"/>
                <w:szCs w:val="17"/>
              </w:rPr>
              <w:t>TU</w:t>
            </w:r>
          </w:p>
        </w:tc>
        <w:tc>
          <w:tcPr>
            <w:tcW w:w="2330" w:type="dxa"/>
            <w:tcBorders>
              <w:top w:val="nil"/>
              <w:left w:val="nil"/>
              <w:bottom w:val="dotted" w:sz="4" w:space="0" w:color="auto"/>
              <w:right w:val="nil"/>
            </w:tcBorders>
            <w:hideMark/>
          </w:tcPr>
          <w:p w14:paraId="6D942918" w14:textId="77777777" w:rsidR="003F2A98" w:rsidRPr="00FF5FBE" w:rsidRDefault="003F2A98" w:rsidP="0013788E">
            <w:pPr>
              <w:spacing w:before="0" w:after="0"/>
              <w:ind w:left="0"/>
              <w:jc w:val="left"/>
              <w:rPr>
                <w:rFonts w:cs="Calibri"/>
                <w:bCs/>
                <w:color w:val="000000"/>
                <w:sz w:val="17"/>
                <w:szCs w:val="17"/>
              </w:rPr>
            </w:pPr>
            <w:r w:rsidRPr="00FF5FBE">
              <w:rPr>
                <w:rFonts w:cs="Calibri"/>
                <w:bCs/>
                <w:color w:val="000000"/>
                <w:sz w:val="17"/>
                <w:szCs w:val="17"/>
              </w:rPr>
              <w:t>technická infrastruktura všeobecná</w:t>
            </w:r>
          </w:p>
        </w:tc>
        <w:tc>
          <w:tcPr>
            <w:tcW w:w="3969" w:type="dxa"/>
            <w:tcBorders>
              <w:top w:val="nil"/>
              <w:left w:val="nil"/>
              <w:bottom w:val="dotted" w:sz="4" w:space="0" w:color="auto"/>
              <w:right w:val="nil"/>
            </w:tcBorders>
            <w:hideMark/>
          </w:tcPr>
          <w:p w14:paraId="369B300A" w14:textId="3700FCF8" w:rsidR="005D7BB6" w:rsidRPr="005D7BB6" w:rsidRDefault="005D7BB6" w:rsidP="005D7BB6">
            <w:pPr>
              <w:pStyle w:val="Odstavecseseznamem"/>
              <w:numPr>
                <w:ilvl w:val="0"/>
                <w:numId w:val="18"/>
              </w:numPr>
              <w:spacing w:before="0" w:after="0"/>
              <w:ind w:left="208" w:hanging="208"/>
              <w:rPr>
                <w:rFonts w:cs="Calibri"/>
                <w:sz w:val="17"/>
                <w:szCs w:val="17"/>
              </w:rPr>
            </w:pPr>
            <w:r w:rsidRPr="005D7BB6">
              <w:rPr>
                <w:rFonts w:cs="Calibri"/>
                <w:sz w:val="17"/>
                <w:szCs w:val="17"/>
              </w:rPr>
              <w:t>plocha je dlouhodobě vymezena pro technickou infrastrukturu obce (plocha T6 předchozího ÚP),</w:t>
            </w:r>
          </w:p>
          <w:p w14:paraId="67F960D9" w14:textId="52E26090" w:rsidR="003F2A98" w:rsidRPr="00FF5FBE" w:rsidRDefault="005D7BB6" w:rsidP="005D7BB6">
            <w:pPr>
              <w:pStyle w:val="Odstavecseseznamem"/>
              <w:numPr>
                <w:ilvl w:val="0"/>
                <w:numId w:val="18"/>
              </w:numPr>
              <w:spacing w:before="0" w:after="0"/>
              <w:ind w:left="208" w:hanging="208"/>
              <w:rPr>
                <w:rFonts w:cs="Calibri"/>
                <w:bCs/>
                <w:color w:val="000000"/>
                <w:sz w:val="17"/>
                <w:szCs w:val="17"/>
              </w:rPr>
            </w:pPr>
            <w:r w:rsidRPr="005D7BB6">
              <w:rPr>
                <w:rFonts w:cs="Calibri"/>
                <w:sz w:val="17"/>
                <w:szCs w:val="17"/>
              </w:rPr>
              <w:t>plocha je vymezena pro rozšíření sběrného dvora, část zastavitelné plochy dle přechozího ÚP již byla využita.</w:t>
            </w:r>
          </w:p>
        </w:tc>
      </w:tr>
      <w:tr w:rsidR="003F2A98" w:rsidRPr="00FF5FBE" w14:paraId="420F1B45" w14:textId="77777777" w:rsidTr="003F2A98">
        <w:trPr>
          <w:trHeight w:val="300"/>
        </w:trPr>
        <w:tc>
          <w:tcPr>
            <w:tcW w:w="840" w:type="dxa"/>
            <w:tcBorders>
              <w:top w:val="nil"/>
              <w:left w:val="nil"/>
              <w:bottom w:val="dotted" w:sz="4" w:space="0" w:color="auto"/>
              <w:right w:val="nil"/>
            </w:tcBorders>
            <w:hideMark/>
          </w:tcPr>
          <w:p w14:paraId="170E0978" w14:textId="77777777" w:rsidR="003F2A98" w:rsidRPr="00FF5FBE" w:rsidRDefault="003F2A98" w:rsidP="0013788E">
            <w:pPr>
              <w:spacing w:before="0" w:after="0"/>
              <w:ind w:left="0"/>
              <w:jc w:val="left"/>
              <w:rPr>
                <w:rFonts w:cs="Calibri"/>
                <w:bCs/>
                <w:color w:val="000000"/>
                <w:sz w:val="17"/>
                <w:szCs w:val="17"/>
              </w:rPr>
            </w:pPr>
            <w:r w:rsidRPr="00FF5FBE">
              <w:rPr>
                <w:rFonts w:cs="Calibri"/>
                <w:bCs/>
                <w:color w:val="000000"/>
                <w:sz w:val="17"/>
                <w:szCs w:val="17"/>
              </w:rPr>
              <w:t>Z.</w:t>
            </w:r>
            <w:r>
              <w:rPr>
                <w:rFonts w:cs="Calibri"/>
                <w:bCs/>
                <w:color w:val="000000"/>
                <w:sz w:val="17"/>
                <w:szCs w:val="17"/>
              </w:rPr>
              <w:t>09-11</w:t>
            </w:r>
          </w:p>
        </w:tc>
        <w:tc>
          <w:tcPr>
            <w:tcW w:w="657" w:type="dxa"/>
            <w:tcBorders>
              <w:top w:val="nil"/>
              <w:left w:val="nil"/>
              <w:bottom w:val="dotted" w:sz="4" w:space="0" w:color="auto"/>
              <w:right w:val="nil"/>
            </w:tcBorders>
            <w:hideMark/>
          </w:tcPr>
          <w:p w14:paraId="108DEC6E" w14:textId="77777777" w:rsidR="003F2A98" w:rsidRPr="00FF5FBE" w:rsidRDefault="003F2A98" w:rsidP="0013788E">
            <w:pPr>
              <w:spacing w:before="0" w:after="0"/>
              <w:ind w:left="0"/>
              <w:jc w:val="left"/>
              <w:rPr>
                <w:rFonts w:cs="Calibri"/>
                <w:bCs/>
                <w:color w:val="000000"/>
                <w:sz w:val="17"/>
                <w:szCs w:val="17"/>
              </w:rPr>
            </w:pPr>
            <w:r w:rsidRPr="00FF5FBE">
              <w:rPr>
                <w:rFonts w:cs="Calibri"/>
                <w:bCs/>
                <w:color w:val="000000"/>
                <w:sz w:val="17"/>
                <w:szCs w:val="17"/>
              </w:rPr>
              <w:t>TU</w:t>
            </w:r>
          </w:p>
        </w:tc>
        <w:tc>
          <w:tcPr>
            <w:tcW w:w="2330" w:type="dxa"/>
            <w:tcBorders>
              <w:top w:val="nil"/>
              <w:left w:val="nil"/>
              <w:bottom w:val="dotted" w:sz="4" w:space="0" w:color="auto"/>
              <w:right w:val="nil"/>
            </w:tcBorders>
            <w:hideMark/>
          </w:tcPr>
          <w:p w14:paraId="2FB3F567" w14:textId="77777777" w:rsidR="003F2A98" w:rsidRPr="00FF5FBE" w:rsidRDefault="003F2A98" w:rsidP="0013788E">
            <w:pPr>
              <w:spacing w:before="0" w:after="0"/>
              <w:ind w:left="0"/>
              <w:jc w:val="left"/>
              <w:rPr>
                <w:rFonts w:cs="Calibri"/>
                <w:bCs/>
                <w:color w:val="000000"/>
                <w:sz w:val="17"/>
                <w:szCs w:val="17"/>
              </w:rPr>
            </w:pPr>
            <w:r w:rsidRPr="00FF5FBE">
              <w:rPr>
                <w:rFonts w:cs="Calibri"/>
                <w:bCs/>
                <w:color w:val="000000"/>
                <w:sz w:val="17"/>
                <w:szCs w:val="17"/>
              </w:rPr>
              <w:t>technická infrastruktura všeobecná</w:t>
            </w:r>
          </w:p>
        </w:tc>
        <w:tc>
          <w:tcPr>
            <w:tcW w:w="3969" w:type="dxa"/>
            <w:tcBorders>
              <w:top w:val="nil"/>
              <w:left w:val="nil"/>
              <w:bottom w:val="dotted" w:sz="4" w:space="0" w:color="auto"/>
              <w:right w:val="nil"/>
            </w:tcBorders>
            <w:hideMark/>
          </w:tcPr>
          <w:p w14:paraId="31866B9B" w14:textId="22B3DBB8" w:rsidR="002633F7" w:rsidRPr="005D7BB6" w:rsidRDefault="002633F7" w:rsidP="002633F7">
            <w:pPr>
              <w:pStyle w:val="Odstavecseseznamem"/>
              <w:numPr>
                <w:ilvl w:val="0"/>
                <w:numId w:val="18"/>
              </w:numPr>
              <w:spacing w:before="0" w:after="0"/>
              <w:ind w:left="208" w:hanging="208"/>
              <w:rPr>
                <w:rFonts w:cs="Calibri"/>
                <w:sz w:val="17"/>
                <w:szCs w:val="17"/>
              </w:rPr>
            </w:pPr>
            <w:r w:rsidRPr="005D7BB6">
              <w:rPr>
                <w:rFonts w:cs="Calibri"/>
                <w:sz w:val="17"/>
                <w:szCs w:val="17"/>
              </w:rPr>
              <w:t>plocha je dlouhodobě vymezena pro rozvoj systému veřejné kanalizace místní části Hrubá Voda</w:t>
            </w:r>
            <w:r>
              <w:rPr>
                <w:rFonts w:cs="Calibri"/>
                <w:sz w:val="17"/>
                <w:szCs w:val="17"/>
              </w:rPr>
              <w:t xml:space="preserve"> </w:t>
            </w:r>
            <w:r w:rsidRPr="005D7BB6">
              <w:rPr>
                <w:rFonts w:cs="Calibri"/>
                <w:sz w:val="17"/>
                <w:szCs w:val="17"/>
              </w:rPr>
              <w:t>(plocha T</w:t>
            </w:r>
            <w:r>
              <w:rPr>
                <w:rFonts w:cs="Calibri"/>
                <w:sz w:val="17"/>
                <w:szCs w:val="17"/>
              </w:rPr>
              <w:t>3</w:t>
            </w:r>
            <w:r w:rsidRPr="005D7BB6">
              <w:rPr>
                <w:rFonts w:cs="Calibri"/>
                <w:sz w:val="17"/>
                <w:szCs w:val="17"/>
              </w:rPr>
              <w:t xml:space="preserve"> předchozího ÚP),</w:t>
            </w:r>
          </w:p>
          <w:p w14:paraId="25DA4829" w14:textId="1BA11E6E" w:rsidR="003F2A98" w:rsidRPr="00FF5FBE" w:rsidRDefault="002633F7" w:rsidP="002633F7">
            <w:pPr>
              <w:pStyle w:val="Odstavecseseznamem"/>
              <w:numPr>
                <w:ilvl w:val="0"/>
                <w:numId w:val="18"/>
              </w:numPr>
              <w:spacing w:before="0" w:after="0"/>
              <w:ind w:left="208" w:hanging="208"/>
              <w:rPr>
                <w:rFonts w:cs="Calibri"/>
                <w:bCs/>
                <w:color w:val="000000"/>
                <w:sz w:val="17"/>
                <w:szCs w:val="17"/>
              </w:rPr>
            </w:pPr>
            <w:r w:rsidRPr="005D7BB6">
              <w:rPr>
                <w:rFonts w:cs="Calibri"/>
                <w:sz w:val="17"/>
                <w:szCs w:val="17"/>
              </w:rPr>
              <w:t>plocha je vymezena pro vybudování místní ČOV Hrubá Voda</w:t>
            </w:r>
            <w:r w:rsidR="00624DBC">
              <w:rPr>
                <w:rFonts w:cs="Calibri"/>
                <w:sz w:val="17"/>
                <w:szCs w:val="17"/>
              </w:rPr>
              <w:t xml:space="preserve">, </w:t>
            </w:r>
            <w:r w:rsidR="00624DBC">
              <w:t>případně ČSOV s přečerpáváním do kanalizační sítě.</w:t>
            </w:r>
          </w:p>
        </w:tc>
      </w:tr>
      <w:tr w:rsidR="003F2A98" w:rsidRPr="00FF5FBE" w14:paraId="0D817937" w14:textId="77777777" w:rsidTr="003F2A98">
        <w:trPr>
          <w:trHeight w:val="300"/>
        </w:trPr>
        <w:tc>
          <w:tcPr>
            <w:tcW w:w="7796" w:type="dxa"/>
            <w:gridSpan w:val="4"/>
            <w:tcBorders>
              <w:top w:val="nil"/>
              <w:left w:val="nil"/>
              <w:bottom w:val="dotted" w:sz="4" w:space="0" w:color="auto"/>
              <w:right w:val="nil"/>
            </w:tcBorders>
          </w:tcPr>
          <w:p w14:paraId="5895FFC1" w14:textId="77777777" w:rsidR="003F2A98" w:rsidRPr="00FF1841" w:rsidRDefault="003F2A98" w:rsidP="0013788E">
            <w:pPr>
              <w:spacing w:before="0" w:after="0"/>
              <w:ind w:left="0"/>
              <w:jc w:val="left"/>
              <w:rPr>
                <w:rFonts w:asciiTheme="minorHAnsi" w:hAnsiTheme="minorHAnsi" w:cstheme="minorHAnsi"/>
                <w:bCs/>
                <w:color w:val="000000"/>
                <w:sz w:val="17"/>
                <w:szCs w:val="17"/>
              </w:rPr>
            </w:pPr>
            <w:r w:rsidRPr="00AE233A">
              <w:rPr>
                <w:rFonts w:asciiTheme="minorHAnsi" w:hAnsiTheme="minorHAnsi" w:cstheme="minorHAnsi"/>
                <w:b/>
                <w:color w:val="000000"/>
                <w:sz w:val="17"/>
                <w:szCs w:val="17"/>
              </w:rPr>
              <w:t>L.10 Hrubá Voda</w:t>
            </w:r>
          </w:p>
        </w:tc>
      </w:tr>
      <w:tr w:rsidR="003F2A98" w:rsidRPr="00FF5FBE" w14:paraId="0FC40599" w14:textId="77777777" w:rsidTr="00B23DE1">
        <w:trPr>
          <w:trHeight w:val="2936"/>
        </w:trPr>
        <w:tc>
          <w:tcPr>
            <w:tcW w:w="840" w:type="dxa"/>
            <w:tcBorders>
              <w:top w:val="nil"/>
              <w:left w:val="nil"/>
              <w:bottom w:val="dotted" w:sz="4" w:space="0" w:color="auto"/>
              <w:right w:val="nil"/>
            </w:tcBorders>
            <w:hideMark/>
          </w:tcPr>
          <w:p w14:paraId="3B13EE40" w14:textId="77777777" w:rsidR="003F2A98" w:rsidRPr="00FF5FBE" w:rsidRDefault="003F2A98" w:rsidP="0013788E">
            <w:pPr>
              <w:spacing w:before="0" w:after="0"/>
              <w:ind w:left="0"/>
              <w:jc w:val="left"/>
              <w:rPr>
                <w:rFonts w:cs="Calibri"/>
                <w:bCs/>
                <w:color w:val="000000"/>
                <w:sz w:val="17"/>
                <w:szCs w:val="17"/>
              </w:rPr>
            </w:pPr>
            <w:r w:rsidRPr="00FF5FBE">
              <w:rPr>
                <w:rFonts w:cs="Calibri"/>
                <w:bCs/>
                <w:color w:val="000000"/>
                <w:sz w:val="17"/>
                <w:szCs w:val="17"/>
              </w:rPr>
              <w:t>Z.10</w:t>
            </w:r>
            <w:r>
              <w:rPr>
                <w:rFonts w:cs="Calibri"/>
                <w:bCs/>
                <w:color w:val="000000"/>
                <w:sz w:val="17"/>
                <w:szCs w:val="17"/>
              </w:rPr>
              <w:t>-10</w:t>
            </w:r>
          </w:p>
        </w:tc>
        <w:tc>
          <w:tcPr>
            <w:tcW w:w="657" w:type="dxa"/>
            <w:tcBorders>
              <w:top w:val="nil"/>
              <w:left w:val="nil"/>
              <w:bottom w:val="dotted" w:sz="4" w:space="0" w:color="auto"/>
              <w:right w:val="nil"/>
            </w:tcBorders>
            <w:hideMark/>
          </w:tcPr>
          <w:p w14:paraId="06A7DABB" w14:textId="77777777" w:rsidR="003F2A98" w:rsidRPr="00FF5FBE" w:rsidRDefault="003F2A98" w:rsidP="0013788E">
            <w:pPr>
              <w:spacing w:before="0" w:after="0"/>
              <w:ind w:left="0"/>
              <w:jc w:val="left"/>
              <w:rPr>
                <w:rFonts w:cs="Calibri"/>
                <w:bCs/>
                <w:color w:val="000000"/>
                <w:sz w:val="17"/>
                <w:szCs w:val="17"/>
              </w:rPr>
            </w:pPr>
            <w:r w:rsidRPr="00FF5FBE">
              <w:rPr>
                <w:rFonts w:cs="Calibri"/>
                <w:bCs/>
                <w:color w:val="000000"/>
                <w:sz w:val="17"/>
                <w:szCs w:val="17"/>
              </w:rPr>
              <w:t>TU</w:t>
            </w:r>
          </w:p>
        </w:tc>
        <w:tc>
          <w:tcPr>
            <w:tcW w:w="2330" w:type="dxa"/>
            <w:tcBorders>
              <w:top w:val="nil"/>
              <w:left w:val="nil"/>
              <w:bottom w:val="dotted" w:sz="4" w:space="0" w:color="auto"/>
              <w:right w:val="nil"/>
            </w:tcBorders>
            <w:hideMark/>
          </w:tcPr>
          <w:p w14:paraId="707EE45D" w14:textId="77777777" w:rsidR="003F2A98" w:rsidRPr="00FF5FBE" w:rsidRDefault="003F2A98" w:rsidP="0013788E">
            <w:pPr>
              <w:spacing w:before="0" w:after="0"/>
              <w:ind w:left="0"/>
              <w:jc w:val="left"/>
              <w:rPr>
                <w:rFonts w:cs="Calibri"/>
                <w:bCs/>
                <w:color w:val="000000"/>
                <w:sz w:val="17"/>
                <w:szCs w:val="17"/>
              </w:rPr>
            </w:pPr>
            <w:r w:rsidRPr="00FF5FBE">
              <w:rPr>
                <w:rFonts w:cs="Calibri"/>
                <w:bCs/>
                <w:color w:val="000000"/>
                <w:sz w:val="17"/>
                <w:szCs w:val="17"/>
              </w:rPr>
              <w:t>technická infrastruktura všeobecná</w:t>
            </w:r>
          </w:p>
        </w:tc>
        <w:tc>
          <w:tcPr>
            <w:tcW w:w="3969" w:type="dxa"/>
            <w:tcBorders>
              <w:top w:val="nil"/>
              <w:left w:val="nil"/>
              <w:bottom w:val="dotted" w:sz="4" w:space="0" w:color="auto"/>
              <w:right w:val="nil"/>
            </w:tcBorders>
            <w:hideMark/>
          </w:tcPr>
          <w:p w14:paraId="4550E9F8" w14:textId="0C46854E" w:rsidR="005D7BB6" w:rsidRPr="005D7BB6" w:rsidRDefault="005D7BB6" w:rsidP="005D7BB6">
            <w:pPr>
              <w:pStyle w:val="Odstavecseseznamem"/>
              <w:numPr>
                <w:ilvl w:val="0"/>
                <w:numId w:val="18"/>
              </w:numPr>
              <w:spacing w:before="0" w:after="0"/>
              <w:ind w:left="208" w:hanging="208"/>
              <w:rPr>
                <w:rFonts w:cs="Calibri"/>
                <w:sz w:val="17"/>
                <w:szCs w:val="17"/>
              </w:rPr>
            </w:pPr>
            <w:r w:rsidRPr="005D7BB6">
              <w:rPr>
                <w:rFonts w:cs="Calibri"/>
                <w:sz w:val="17"/>
                <w:szCs w:val="17"/>
              </w:rPr>
              <w:t>plocha je dlouhodobě vymezena pro rozvoj systému veřejné kanalizace místní části Hrubá Voda, rekreační areál (plocha T1 předchozího ÚP),</w:t>
            </w:r>
          </w:p>
          <w:p w14:paraId="4F0BB8F9" w14:textId="02F86254" w:rsidR="003F2A98" w:rsidRPr="00FF5FBE" w:rsidRDefault="005D7BB6" w:rsidP="005D7BB6">
            <w:pPr>
              <w:pStyle w:val="Odstavecseseznamem"/>
              <w:numPr>
                <w:ilvl w:val="0"/>
                <w:numId w:val="18"/>
              </w:numPr>
              <w:spacing w:before="0" w:after="0"/>
              <w:ind w:left="208" w:hanging="208"/>
              <w:rPr>
                <w:rFonts w:cs="Calibri"/>
                <w:bCs/>
                <w:color w:val="000000"/>
                <w:sz w:val="17"/>
                <w:szCs w:val="17"/>
              </w:rPr>
            </w:pPr>
            <w:r w:rsidRPr="005D7BB6">
              <w:rPr>
                <w:rFonts w:cs="Calibri"/>
                <w:sz w:val="17"/>
                <w:szCs w:val="17"/>
              </w:rPr>
              <w:t>plocha je vymezena pro vybudování místní ČOV Hrubá Voda, rekreační areál.</w:t>
            </w:r>
          </w:p>
        </w:tc>
      </w:tr>
    </w:tbl>
    <w:p w14:paraId="1EA3D1B7" w14:textId="0DB12E74" w:rsidR="00AA2F43" w:rsidRDefault="00AA2F43">
      <w:pPr>
        <w:spacing w:before="0" w:after="0"/>
        <w:ind w:left="0"/>
        <w:jc w:val="left"/>
      </w:pPr>
      <w:r>
        <w:br w:type="page"/>
      </w:r>
    </w:p>
    <w:p w14:paraId="74CBC5CB" w14:textId="486FF215" w:rsidR="006E69EB" w:rsidRDefault="006E69EB" w:rsidP="006E69EB">
      <w:pPr>
        <w:pStyle w:val="Nadpis2"/>
      </w:pPr>
      <w:bookmarkStart w:id="96" w:name="_Toc232612629"/>
      <w:r w:rsidRPr="00040C21">
        <w:lastRenderedPageBreak/>
        <w:t>Zdůvodnění koncepce veřejné infrastruktury</w:t>
      </w:r>
      <w:bookmarkEnd w:id="96"/>
    </w:p>
    <w:p w14:paraId="28A5395D" w14:textId="14F4215B" w:rsidR="006E69EB" w:rsidRDefault="00424D82" w:rsidP="006E69EB">
      <w:r w:rsidRPr="00DF00E7">
        <w:t>Koncepce infrastruktury definuje hlavní prvky, které zajišťují obsluhu území, jejich uspořádání a dopad na</w:t>
      </w:r>
      <w:r>
        <w:t> </w:t>
      </w:r>
      <w:r w:rsidRPr="00DF00E7">
        <w:t>okolí. Vyjadřuje se ke koncepci veřejných prostranství, občanského vybavení, dopravní infrastruktury a</w:t>
      </w:r>
      <w:r>
        <w:t> </w:t>
      </w:r>
      <w:r w:rsidRPr="00DF00E7">
        <w:t>technické infrastruktury.</w:t>
      </w:r>
    </w:p>
    <w:p w14:paraId="2066222C" w14:textId="5D0EAD97" w:rsidR="00352D89" w:rsidRDefault="00A03245" w:rsidP="00255D10">
      <w:pPr>
        <w:pStyle w:val="Odstavecseseznamem"/>
        <w:numPr>
          <w:ilvl w:val="0"/>
          <w:numId w:val="128"/>
        </w:numPr>
        <w:ind w:left="709" w:hanging="357"/>
        <w:contextualSpacing w:val="0"/>
      </w:pPr>
      <w:r>
        <w:t>Hlubočky jsou významným rekreačním zázemím Olomouce a jeho příměstského okolí. Obec je vstupním bodem do přírodního parku Údolí Bystřice i nástupním bodem na rekreační trasy na Svatý Kopeček přes Posluchov z železniční hromadné dopravy. Pobytová místa v krajině doplňují komfort a atraktivitu rekreačního využívání krajiny a tím posilují i význam obce na mapě rekreačních vazeb a vztahů Olomoucka.</w:t>
      </w:r>
    </w:p>
    <w:p w14:paraId="598641AA" w14:textId="0B6CF6EF" w:rsidR="00A03245" w:rsidRDefault="006C2D77" w:rsidP="00255D10">
      <w:pPr>
        <w:pStyle w:val="Odstavecseseznamem"/>
        <w:numPr>
          <w:ilvl w:val="0"/>
          <w:numId w:val="128"/>
        </w:numPr>
        <w:ind w:left="709" w:hanging="357"/>
        <w:contextualSpacing w:val="0"/>
      </w:pPr>
      <w:r>
        <w:t>Hlubočky jsou napojeny na systém hromadné dopravy olomouckého regionu, zejména příměstskou linkovou autobusovou a vlakovou dopravu. Intenzita obsluhy hromadnou dopravou posiluje její konkurenceschopnost před dopravou individuální a zvyšuje atraktivitu obce jako cíle i výchozího bodu rekreačních aktivit.</w:t>
      </w:r>
    </w:p>
    <w:p w14:paraId="5A03CD18" w14:textId="6D887177" w:rsidR="00D64AD3" w:rsidRDefault="00D64AD3" w:rsidP="00255D10">
      <w:pPr>
        <w:pStyle w:val="Odstavecseseznamem"/>
        <w:numPr>
          <w:ilvl w:val="0"/>
          <w:numId w:val="128"/>
        </w:numPr>
        <w:ind w:left="709" w:hanging="357"/>
        <w:contextualSpacing w:val="0"/>
      </w:pPr>
      <w:r>
        <w:t xml:space="preserve">Stávající systém dopravní obsluhy zajištěný silnicemi III. třídy je veden údolím Bystřice a územně stabilizován, včetně napojení na Posluchov Mrsklesy. Místními úpravami a odstraňováním dopravních závad se nepředpokládá významný dopad na krajinný ráz a obraz sídla v krajině. </w:t>
      </w:r>
    </w:p>
    <w:p w14:paraId="1171659D" w14:textId="3DB6FDBD" w:rsidR="00D64AD3" w:rsidRDefault="00573759" w:rsidP="00255D10">
      <w:pPr>
        <w:pStyle w:val="Odstavecseseznamem"/>
        <w:numPr>
          <w:ilvl w:val="0"/>
          <w:numId w:val="128"/>
        </w:numPr>
        <w:ind w:left="709" w:hanging="357"/>
        <w:contextualSpacing w:val="0"/>
      </w:pPr>
      <w:r>
        <w:t>Nadřazení sítě dopravní a technické infrastruktury jsou územně stabilizovány a nejsou navrhovány jejich přeložky. Stávající místní sítě dopravní a technické infrastruktury zajišťují obsluhu zastavěného území, s ohledem na kapacitu a umístění návrhových ploch se předpokládá jejich uplatnění i při rozvoji obce.</w:t>
      </w:r>
      <w:r w:rsidR="00BD4675">
        <w:t xml:space="preserve"> </w:t>
      </w:r>
    </w:p>
    <w:p w14:paraId="62E525C5" w14:textId="4222BAEB" w:rsidR="00BD4675" w:rsidRDefault="00BD4675" w:rsidP="00255D10">
      <w:pPr>
        <w:pStyle w:val="Odstavecseseznamem"/>
        <w:numPr>
          <w:ilvl w:val="0"/>
          <w:numId w:val="128"/>
        </w:numPr>
        <w:ind w:left="709" w:hanging="357"/>
        <w:contextualSpacing w:val="0"/>
      </w:pPr>
      <w:r>
        <w:t>Obsluha návrhových ploch je zajištěna ze stávajících systému veřejné infrastruktury. Sítě veřejné infastruktury, zejména sítě technické infrastruktury budou umisťovány v rámci ploch veřejných prostranství tak, a</w:t>
      </w:r>
      <w:r w:rsidR="00935AFD">
        <w:t>by byly přístupné pro údržbu a rozvoj.</w:t>
      </w:r>
    </w:p>
    <w:p w14:paraId="717C84C2" w14:textId="6CE01DB3" w:rsidR="00935AFD" w:rsidRDefault="00935AFD" w:rsidP="00255D10">
      <w:pPr>
        <w:pStyle w:val="Odstavecseseznamem"/>
        <w:numPr>
          <w:ilvl w:val="0"/>
          <w:numId w:val="128"/>
        </w:numPr>
        <w:ind w:left="709" w:hanging="357"/>
        <w:contextualSpacing w:val="0"/>
      </w:pPr>
      <w:r>
        <w:t>Přirozenými centry obce jsou historická jádra původních sídel (Hlubočky, Posluchov) nebo funkční jádra založená při průmyslovém a stavebním rozvoji místních částí Mariánské Údolí a Dukla. Do center obce je orientováno veřejné občanské vybavení (obecní úřad, kulturní dům, škola atp.) a jsou územním plánem stabilizovány plochami veřejných prostranství významných. V návaznosti na centra obce je podmínkami využití posilován potenciál rozvoje občanského vybavení.</w:t>
      </w:r>
    </w:p>
    <w:p w14:paraId="25F73674" w14:textId="77777777" w:rsidR="00F16175" w:rsidRDefault="00161E74" w:rsidP="00255D10">
      <w:pPr>
        <w:pStyle w:val="Odstavecseseznamem"/>
        <w:numPr>
          <w:ilvl w:val="0"/>
          <w:numId w:val="128"/>
        </w:numPr>
        <w:ind w:left="709" w:hanging="357"/>
        <w:contextualSpacing w:val="0"/>
      </w:pPr>
      <w:r>
        <w:t>Veřejná prostranství obce mají převážně venkovský až příměstský charakter</w:t>
      </w:r>
      <w:r w:rsidR="0027467E">
        <w:t xml:space="preserve">. </w:t>
      </w:r>
      <w:r w:rsidR="00ED40B2">
        <w:t>Příměstský až venkovský</w:t>
      </w:r>
      <w:r w:rsidR="0027467E">
        <w:t xml:space="preserve"> charakter je</w:t>
      </w:r>
      <w:r>
        <w:t xml:space="preserve"> typický měkkými travnatými lemy prostranství</w:t>
      </w:r>
      <w:r w:rsidR="0027467E">
        <w:t xml:space="preserve"> a jednoduchým členěním uličního profilu.</w:t>
      </w:r>
      <w:r w:rsidR="00ED40B2">
        <w:t xml:space="preserve"> Charakteristickým znakem je převážně jednostranné vedení chodníků a zelený pás pro odvod dešťové vody. </w:t>
      </w:r>
    </w:p>
    <w:p w14:paraId="75F82BBC" w14:textId="21D3806C" w:rsidR="00161E74" w:rsidRDefault="00ED40B2" w:rsidP="00255D10">
      <w:pPr>
        <w:pStyle w:val="Odstavecseseznamem"/>
        <w:numPr>
          <w:ilvl w:val="0"/>
          <w:numId w:val="128"/>
        </w:numPr>
        <w:ind w:left="709" w:hanging="357"/>
        <w:contextualSpacing w:val="0"/>
      </w:pPr>
      <w:r>
        <w:t>Veřejná prostranství by měla být rozvíjen</w:t>
      </w:r>
      <w:r w:rsidR="00F16175">
        <w:t>a</w:t>
      </w:r>
      <w:r>
        <w:t xml:space="preserve"> v souladu s charakterem obce. Při zakládání veřejných prostranství, zejména ulic, v návrhových plochách je nezbytné zajistit prostor minimálně pro </w:t>
      </w:r>
      <w:r w:rsidR="00F16175">
        <w:t xml:space="preserve">jednostranný chodník, parkovací pás s podélným stáním a výsadbový pás se </w:t>
      </w:r>
      <w:r>
        <w:t>stromořadí</w:t>
      </w:r>
      <w:r w:rsidR="00F16175">
        <w:t>m</w:t>
      </w:r>
      <w:r w:rsidR="005E16A0">
        <w:t>.</w:t>
      </w:r>
      <w:r w:rsidR="00F16175">
        <w:t xml:space="preserve"> Uvedené uspořádání znamená při obousměrném provozu šířku uličního prostoru min. 11 až 13 m.</w:t>
      </w:r>
    </w:p>
    <w:p w14:paraId="141337B3" w14:textId="2079505B" w:rsidR="000371C1" w:rsidRDefault="000371C1" w:rsidP="00255D10">
      <w:pPr>
        <w:pStyle w:val="Odstavecseseznamem"/>
        <w:numPr>
          <w:ilvl w:val="0"/>
          <w:numId w:val="128"/>
        </w:numPr>
        <w:ind w:left="709" w:hanging="357"/>
        <w:contextualSpacing w:val="0"/>
      </w:pPr>
      <w:r>
        <w:t>Systém veřejných prostranství plynule přechází v cestní síť v krajině. Nezbytné je zajistit prostupnost koncových částí ulic a jejich nezaslepování oplocením pozemků staveb. Komunikační systém je nezbytné okruhovat a nevytvářet slepé ulice, které následně vyžadují zřízení obratiště, mj. pro přístup a manipulaci složek integrovaného záchranného systému.</w:t>
      </w:r>
    </w:p>
    <w:p w14:paraId="0D6059F1" w14:textId="1566556E" w:rsidR="009555BD" w:rsidRDefault="009555BD" w:rsidP="00255D10">
      <w:pPr>
        <w:pStyle w:val="Odstavecseseznamem"/>
        <w:numPr>
          <w:ilvl w:val="0"/>
          <w:numId w:val="128"/>
        </w:numPr>
        <w:ind w:left="709" w:hanging="357"/>
        <w:contextualSpacing w:val="0"/>
      </w:pPr>
      <w:r>
        <w:t>Prostranství tvořící záhumenní prostor sídla mají zároveň významný vliv na komunikaci sídla s krajinou a jejím užíváním. Rekreační atraktivita obce jako výchozí i cílové destinace je potenciálem pro zapojení rozhraní sídla a krajiny do pobytového prostředí obce. Vstupy do obce z rekreačních tras a tras vedoucích podél Bystřice a jejích přítoků jsou místy pro zastavení a odpočinek v krajině a slouží nejen turistickému životu, ale i obyvatelům obce v rámci jejich každodenního života.</w:t>
      </w:r>
    </w:p>
    <w:p w14:paraId="6CD7B4DF" w14:textId="2A42B31E" w:rsidR="009555BD" w:rsidRDefault="009555BD">
      <w:pPr>
        <w:spacing w:before="0" w:after="0"/>
        <w:ind w:left="0"/>
        <w:jc w:val="left"/>
      </w:pPr>
      <w:r>
        <w:br w:type="page"/>
      </w:r>
    </w:p>
    <w:p w14:paraId="7EAC2EE1" w14:textId="77777777" w:rsidR="006E69EB" w:rsidRDefault="006E69EB" w:rsidP="006E69EB">
      <w:pPr>
        <w:pStyle w:val="Nadpis2"/>
      </w:pPr>
      <w:bookmarkStart w:id="97" w:name="_Toc17526972"/>
      <w:bookmarkStart w:id="98" w:name="_Toc213941376"/>
      <w:bookmarkStart w:id="99" w:name="_Toc213941644"/>
      <w:bookmarkStart w:id="100" w:name="_Toc213941722"/>
      <w:bookmarkStart w:id="101" w:name="_Toc213947235"/>
      <w:bookmarkStart w:id="102" w:name="_Toc214308157"/>
      <w:bookmarkStart w:id="103" w:name="_Toc232612630"/>
      <w:r w:rsidRPr="00040C21">
        <w:lastRenderedPageBreak/>
        <w:t>Zdůvodnění koncepce uspořádání krajiny</w:t>
      </w:r>
      <w:bookmarkEnd w:id="97"/>
      <w:bookmarkEnd w:id="98"/>
      <w:bookmarkEnd w:id="99"/>
      <w:bookmarkEnd w:id="100"/>
      <w:bookmarkEnd w:id="101"/>
      <w:bookmarkEnd w:id="102"/>
      <w:bookmarkEnd w:id="103"/>
    </w:p>
    <w:p w14:paraId="3E9C8DEE" w14:textId="77777777" w:rsidR="00352D89" w:rsidRDefault="00352D89" w:rsidP="00352D89">
      <w:r w:rsidRPr="00DF00E7">
        <w:t>Koncepce uspořádání krajiny definuje hlavní prvky krajinné infrastruktury, které zajišťují ochranu a rozvoj přírody a krajiny. Krajinnou infrastrukturou jsou prvky a opatření sloužící k „obsluze“ přírody, tzn. k ochraně a rozvoji přírodních složek a k vypořádání se s dopadem lidské činnosti na krajinu. Jedná se o územní systém ekologické stability, rozvíjený systémem interakčních prvků.</w:t>
      </w:r>
    </w:p>
    <w:p w14:paraId="37C2224D" w14:textId="1D5991BA" w:rsidR="005741CC" w:rsidRDefault="009F7DE5" w:rsidP="00255D10">
      <w:pPr>
        <w:pStyle w:val="Odstavecseseznamem"/>
        <w:numPr>
          <w:ilvl w:val="0"/>
          <w:numId w:val="129"/>
        </w:numPr>
        <w:ind w:left="709" w:hanging="357"/>
        <w:contextualSpacing w:val="0"/>
      </w:pPr>
      <w:r>
        <w:t xml:space="preserve">Údolí Bystřice je chráněno přírodním parkem, pokrývajícím celé správní území obce. Celkový charakter a obraz krajiny udává krajinný prostor Bystřice, jednotlivá údolí přítoků Bystřice doplňují dramaturgii údolí a vytváří prostředí vlastního charakteru a morfologické konfigurace – od mělkých údolí </w:t>
      </w:r>
      <w:r w:rsidR="009E1E5F">
        <w:t>H</w:t>
      </w:r>
      <w:r>
        <w:t>lubočku a Trnavy, až po strmá údolí Lichničky nebo Pstružníku. Rozmanitost charakterů údolí Bystřice se odráží v členění území na lokality mj. dle území jednotlivých toků.</w:t>
      </w:r>
    </w:p>
    <w:p w14:paraId="5B81C110" w14:textId="375C188C" w:rsidR="009E1E5F" w:rsidRDefault="009E1E5F" w:rsidP="00255D10">
      <w:pPr>
        <w:pStyle w:val="Odstavecseseznamem"/>
        <w:numPr>
          <w:ilvl w:val="0"/>
          <w:numId w:val="129"/>
        </w:numPr>
        <w:ind w:left="709" w:hanging="357"/>
        <w:contextualSpacing w:val="0"/>
      </w:pPr>
      <w:r>
        <w:t>Páteřní osou systému ekologické stability je niva Bystřice</w:t>
      </w:r>
      <w:r w:rsidR="004543B2">
        <w:t xml:space="preserve"> včetně lokálních biocenter. Nivní koridor ÚSES doplňuje svahový na západních svazích údolí. Nivní a svahový koridor jsou příčně propojovány místními prvky ÚSES. Významná příčná propojení představují nadregionální biokoridor v ose Drápalova Samota – Vrábl a regionální biokoridor v ose </w:t>
      </w:r>
      <w:r w:rsidR="00611D96">
        <w:t>Jedová – Jedlina – Hrubovodské sutě.</w:t>
      </w:r>
    </w:p>
    <w:p w14:paraId="58720663" w14:textId="26F0714C" w:rsidR="00611D96" w:rsidRDefault="00611D96" w:rsidP="00255D10">
      <w:pPr>
        <w:pStyle w:val="Odstavecseseznamem"/>
        <w:numPr>
          <w:ilvl w:val="0"/>
          <w:numId w:val="129"/>
        </w:numPr>
        <w:ind w:left="709" w:hanging="357"/>
        <w:contextualSpacing w:val="0"/>
      </w:pPr>
      <w:r>
        <w:t>Systém struktury krajiny je v převážné míře stabilizován lesními porosty v severní části správního území obce a na svazích údolí Bystřice a jejích přítoků, nebo soustavou remízů a mezí v polní krajině v jižní části správního území obce (zejména okolí Posluchova a svahy údolí Hlubočku a Trnavy).</w:t>
      </w:r>
      <w:r w:rsidR="005B2B30">
        <w:t xml:space="preserve"> V polní krajině je rozvíjena struktura krajiny doplňováním systému remízů, mezi a stromořadí formou interakčních prvků. Interakční prvky mají nejen roli estetickou, posilují zároveň odolnost krajiny proti erozi a ztrátě orné půdy a</w:t>
      </w:r>
      <w:r w:rsidR="0039281D">
        <w:t> </w:t>
      </w:r>
      <w:r w:rsidR="005B2B30">
        <w:t>slouží i pro zvýšení obytnosti krajiny a její rekreační atraktivitě.</w:t>
      </w:r>
    </w:p>
    <w:p w14:paraId="625E8C90" w14:textId="7583EF22" w:rsidR="003D7931" w:rsidRDefault="003D7931" w:rsidP="00255D10">
      <w:pPr>
        <w:pStyle w:val="Odstavecseseznamem"/>
        <w:numPr>
          <w:ilvl w:val="0"/>
          <w:numId w:val="129"/>
        </w:numPr>
        <w:ind w:left="709" w:hanging="357"/>
        <w:contextualSpacing w:val="0"/>
      </w:pPr>
      <w:r>
        <w:t>Prvky ÚSES přestavuji kostru ekologické stability krajiny obce. Převážná většina z nich jsou funkční a jsou prostorově i významově stabilizovány.</w:t>
      </w:r>
      <w:r w:rsidR="00B20FF2">
        <w:t xml:space="preserve"> </w:t>
      </w:r>
      <w:r w:rsidR="005C4738">
        <w:t>Nefunkční části se nachází na průchodu zastavěným územím, zejména v místních částech Mariánské Údolí, Hlubočky a Dukla. Zde se předpokládá jejich postupná úprava do podoby odpovídají významu krajinné osy Bystřice, ale zároveň tak, aby prostor nábřeží Bystřice byl přirozeně zapojen do systému veřejných prostranství obce.</w:t>
      </w:r>
    </w:p>
    <w:p w14:paraId="70443A0D" w14:textId="20979797" w:rsidR="0039281D" w:rsidRDefault="0039281D" w:rsidP="00255D10">
      <w:pPr>
        <w:pStyle w:val="Odstavecseseznamem"/>
        <w:numPr>
          <w:ilvl w:val="0"/>
          <w:numId w:val="129"/>
        </w:numPr>
        <w:ind w:left="709" w:hanging="357"/>
        <w:contextualSpacing w:val="0"/>
      </w:pPr>
      <w:r>
        <w:t>Pobytová místa v krajině jsou základem její obytnosti a přirozenými cíli vycházek obyvatel a zastavení turistů.</w:t>
      </w:r>
      <w:r w:rsidR="00614E67">
        <w:t xml:space="preserve"> Vedením prvků krajinní infrastruktury je vhodné taková místa cíleně propojovat a rozvojem krajinné sítě posilovat i síť pěšího a rekreačního pohybu v krajině. Mezi přírodní hodnoty a atraktory patří např. Posluchovský vodopád, vodopád Pod Vráblem, Nepřívazský vodopád, skály v Pštrosím údolí, Hrubovodské sutě a další. </w:t>
      </w:r>
    </w:p>
    <w:p w14:paraId="62C4A092" w14:textId="1B6DA74C" w:rsidR="00614E67" w:rsidRDefault="00614E67" w:rsidP="00255D10">
      <w:pPr>
        <w:pStyle w:val="Odstavecseseznamem"/>
        <w:numPr>
          <w:ilvl w:val="0"/>
          <w:numId w:val="129"/>
        </w:numPr>
        <w:ind w:left="709" w:hanging="357"/>
        <w:contextualSpacing w:val="0"/>
      </w:pPr>
      <w:r>
        <w:t xml:space="preserve">V jižní části obce (okolí Posluchova a svahy údolí Hlubočku a Trnavy) </w:t>
      </w:r>
      <w:r w:rsidR="008C7670">
        <w:t>jsou součástí charakteru krajiny i zemědělsky obhospodařované plochy s velikostí půdních bloků převážně do 10 ha kolem Posluchova a okolo 5 až 6 ha v nad údolími Trnavy a Hlubočku). Systém struktury krajiny formou mezí, remízů a</w:t>
      </w:r>
      <w:r w:rsidR="00AA6ECF">
        <w:t> </w:t>
      </w:r>
      <w:r w:rsidR="008C7670">
        <w:t>stromořadí podél polních cest je místně stabilizovaný (jižní číst Posluchova, svahy mezi údolím Trnavy a</w:t>
      </w:r>
      <w:r w:rsidR="00AA6ECF">
        <w:t> </w:t>
      </w:r>
      <w:r w:rsidR="008C7670">
        <w:t>Hlubočku) a je rozvíjet novými liniovými prvky remízů s stromořadí ve stopách původních cest nebo</w:t>
      </w:r>
      <w:r w:rsidR="006E60DB">
        <w:t> </w:t>
      </w:r>
      <w:r w:rsidR="008C7670">
        <w:t>v místech chybějících propojení struktury krajiny.</w:t>
      </w:r>
    </w:p>
    <w:p w14:paraId="1CD15557" w14:textId="4A6017B0" w:rsidR="006E60DB" w:rsidRDefault="006E60DB" w:rsidP="00255D10">
      <w:pPr>
        <w:pStyle w:val="Odstavecseseznamem"/>
        <w:numPr>
          <w:ilvl w:val="0"/>
          <w:numId w:val="129"/>
        </w:numPr>
        <w:ind w:left="709" w:hanging="357"/>
        <w:contextualSpacing w:val="0"/>
      </w:pPr>
      <w:r>
        <w:t>Četnost vodních toků v prostoru obce je součástí její identity a charakteru. Prostor vodních toků v zastavěném území obce je zároveň součástí spojitého systému veřejných prostranství.</w:t>
      </w:r>
      <w:r w:rsidR="003E500D">
        <w:t xml:space="preserve"> Pro zapojení toků do veřejných prostranství je nezbytné udržovat jejich otevřenou podobu v maximální možné míře včetně přírodní podoby koryta s řešením přístupu k vodě ve vazbě na řešení jednotlivých navazujících veřejných prostranství.</w:t>
      </w:r>
    </w:p>
    <w:p w14:paraId="60BCFACC" w14:textId="3B267008" w:rsidR="00561F53" w:rsidRDefault="004D479B" w:rsidP="00255D10">
      <w:pPr>
        <w:pStyle w:val="Odstavecseseznamem"/>
        <w:numPr>
          <w:ilvl w:val="0"/>
          <w:numId w:val="129"/>
        </w:numPr>
        <w:ind w:left="709" w:hanging="357"/>
        <w:contextualSpacing w:val="0"/>
      </w:pPr>
      <w:r>
        <w:t>Rozvoj zástavby směrem od zastavěného území do krajiny je účelný nejen z hlediska postupného rozvoje veřejné infrastruktury obce, ale i z hlediska postupného vývoje rozhraní sídla a krajiny a harmonického obrazu obce v krajině. Opačný postup vede ke vzniku samot nebo skupin staveb bez návaznosti na zastavěné území, které nevhodně vstupují do obrazu krajiny a narušují jeho harmonické působení z cestní sítě v krajině.</w:t>
      </w:r>
    </w:p>
    <w:p w14:paraId="38031C00" w14:textId="130906DB" w:rsidR="00660887" w:rsidRDefault="00660887" w:rsidP="00255D10">
      <w:pPr>
        <w:pStyle w:val="Odstavecseseznamem"/>
        <w:numPr>
          <w:ilvl w:val="0"/>
          <w:numId w:val="129"/>
        </w:numPr>
        <w:ind w:left="709" w:hanging="357"/>
        <w:contextualSpacing w:val="0"/>
      </w:pPr>
      <w:r>
        <w:t>Krajinný prostor mezi jednotlivými sídly, resp. místními částmi tvoří pobytové a rekreační zázemí obyvatelům obce. Nejvýznamnější potenciál představuje prostor mezi Hlubočkami a Duklou jako park přírodního charakteru, tvořící propojení ulic Na Orátě a Olomoucké. Dalším významným prostorem je severovýchodní hrana posluchovského kopce včetně napojení na Posluchov využívající hustotu obyvatel lokality.</w:t>
      </w:r>
      <w:r w:rsidR="00A24D63">
        <w:t xml:space="preserve"> Přírodě blízké rekreační zázemí je přírodě blízkým parkovým prostředím s rekreačními prvky (dětská hřiště, workoutové prvky, odpočinková místa atp.).</w:t>
      </w:r>
    </w:p>
    <w:p w14:paraId="2CCB2C8B" w14:textId="173B7EAE" w:rsidR="00347D79" w:rsidRDefault="00347D79">
      <w:pPr>
        <w:spacing w:before="0" w:after="0"/>
        <w:ind w:left="0"/>
        <w:jc w:val="left"/>
      </w:pPr>
      <w:r>
        <w:br w:type="page"/>
      </w:r>
    </w:p>
    <w:p w14:paraId="320574F2" w14:textId="1FC55494" w:rsidR="006E69EB" w:rsidRDefault="006E69EB" w:rsidP="006E69EB">
      <w:pPr>
        <w:pStyle w:val="Nadpis2"/>
      </w:pPr>
      <w:bookmarkStart w:id="104" w:name="_Toc232612631"/>
      <w:r w:rsidRPr="00040C21">
        <w:lastRenderedPageBreak/>
        <w:t xml:space="preserve">Zdůvodnění podmínek </w:t>
      </w:r>
      <w:r w:rsidRPr="00741E04">
        <w:t>pro využití a prostorové uspořádání vymezených ploch s rozdílným způsobem využití</w:t>
      </w:r>
      <w:bookmarkEnd w:id="104"/>
    </w:p>
    <w:p w14:paraId="24D5855C" w14:textId="77777777" w:rsidR="00347D79" w:rsidRPr="00DF00E7" w:rsidRDefault="00347D79" w:rsidP="00347D79">
      <w:r w:rsidRPr="00DF00E7">
        <w:t xml:space="preserve">Kapitola popisuje základní podmínky pro využití a uspořádání ploch a prvků v území, rozdělené na podmínky struktury a infrastruktury. </w:t>
      </w:r>
    </w:p>
    <w:p w14:paraId="2E69E846" w14:textId="77777777" w:rsidR="00347D79" w:rsidRDefault="00347D79" w:rsidP="00347D79">
      <w:pPr>
        <w:pStyle w:val="Nadpis3"/>
      </w:pPr>
      <w:bookmarkStart w:id="105" w:name="_Toc232612632"/>
      <w:r>
        <w:t>Podmínky struktury</w:t>
      </w:r>
      <w:bookmarkEnd w:id="105"/>
    </w:p>
    <w:p w14:paraId="300094B5" w14:textId="56AB9ECE" w:rsidR="00347D79" w:rsidRPr="00DF00E7" w:rsidRDefault="00347D79" w:rsidP="00347D79">
      <w:pPr>
        <w:rPr>
          <w:sz w:val="28"/>
          <w:szCs w:val="28"/>
        </w:rPr>
      </w:pPr>
      <w:r w:rsidRPr="00DF00E7">
        <w:t>Strukturu území tvoří vzájemně uspořádané lidské a přírodní prvky v sídle a v krajině. Územní plán s nimi pracuje ve dvou vrstvách – ploch s rozdílným způsobem využití a podmínkami prostorového využití dle</w:t>
      </w:r>
      <w:r w:rsidR="00CE694A">
        <w:t> </w:t>
      </w:r>
      <w:r w:rsidRPr="00DF00E7">
        <w:t xml:space="preserve">lokalit. </w:t>
      </w:r>
    </w:p>
    <w:p w14:paraId="21559DFA" w14:textId="77777777" w:rsidR="00347D79" w:rsidRDefault="00347D79" w:rsidP="008A41F9">
      <w:pPr>
        <w:pStyle w:val="Nadpis4"/>
      </w:pPr>
      <w:r>
        <w:t>Podmínky využití</w:t>
      </w:r>
    </w:p>
    <w:p w14:paraId="6C9A3877" w14:textId="77777777" w:rsidR="00347D79" w:rsidRPr="00D734F0" w:rsidRDefault="00347D79" w:rsidP="008A41F9">
      <w:pPr>
        <w:pStyle w:val="Nadpis5"/>
      </w:pPr>
      <w:r>
        <w:t>Obecné podmínky využití</w:t>
      </w:r>
    </w:p>
    <w:p w14:paraId="7375135B" w14:textId="77777777" w:rsidR="00347D79" w:rsidRPr="00BB300D" w:rsidRDefault="00347D79">
      <w:pPr>
        <w:pStyle w:val="normalni-cisla"/>
        <w:numPr>
          <w:ilvl w:val="0"/>
          <w:numId w:val="21"/>
        </w:numPr>
        <w:ind w:left="709"/>
      </w:pPr>
      <w:r w:rsidRPr="00BB300D">
        <w:t>Podmínky ploch s rozdílným způsobem využití a jejich vymezení jsou navrženy tak, aby podporovaly rozvoj území a nebrzdily jej striktními podmínkami, které jsou z hlediska dynamického a pružného územního rozvoje nežádoucí. Plochy jsou v nutných detailech upřesněny podmíněně přípustným využitím s ohledem na význam, roli a charakter obce a ochranu jejích hodnot, které jsou zakotveny v části I Koncepce (kap. a/ až e/). Obecné podmínky platné pro celé správní území obce zajišťují principy platné pro všechny plochy.</w:t>
      </w:r>
    </w:p>
    <w:p w14:paraId="6D747A13" w14:textId="77777777" w:rsidR="00347D79" w:rsidRPr="00040C21" w:rsidRDefault="00347D79" w:rsidP="00347D79">
      <w:r w:rsidRPr="00040C21">
        <w:t xml:space="preserve">Plochy s rozdílným způsobem využití jsou </w:t>
      </w:r>
      <w:r>
        <w:t xml:space="preserve">vymezeny a </w:t>
      </w:r>
      <w:r w:rsidRPr="00040C21">
        <w:t>členěny v souladu s</w:t>
      </w:r>
      <w:r>
        <w:t> </w:t>
      </w:r>
      <w:r w:rsidRPr="00040C21">
        <w:t>vyhláškou č. 157/2024 Sb., v platném znění.</w:t>
      </w:r>
    </w:p>
    <w:p w14:paraId="287C1A06" w14:textId="77777777" w:rsidR="00347D79" w:rsidRPr="00040C21" w:rsidRDefault="00347D79" w:rsidP="00347D79">
      <w:r w:rsidRPr="00040C21">
        <w:t xml:space="preserve">Podmínky </w:t>
      </w:r>
      <w:r>
        <w:t xml:space="preserve">využití ploch </w:t>
      </w:r>
      <w:r w:rsidRPr="00040C21">
        <w:t>jsou vymezeny v souladu s přílohou č. 8 zákona č.</w:t>
      </w:r>
      <w:r>
        <w:t> </w:t>
      </w:r>
      <w:r w:rsidRPr="00040C21">
        <w:t>283/2021 Sb., v platném znění, takto:</w:t>
      </w:r>
    </w:p>
    <w:p w14:paraId="3BFF1A0B" w14:textId="77777777" w:rsidR="00347D79" w:rsidRPr="00040C21" w:rsidRDefault="00347D79">
      <w:pPr>
        <w:pStyle w:val="Odstavecseseznamem"/>
        <w:numPr>
          <w:ilvl w:val="0"/>
          <w:numId w:val="19"/>
        </w:numPr>
        <w:ind w:left="1134"/>
      </w:pPr>
      <w:r w:rsidRPr="00040C21">
        <w:rPr>
          <w:b/>
        </w:rPr>
        <w:t>hlavní využití</w:t>
      </w:r>
      <w:r w:rsidRPr="00040C21">
        <w:t xml:space="preserve"> (převažující účel využití) bylo stanoveno v souladu s § 14 až § 33 vyhlášky č. 157/2024 Sb. v platném znění,</w:t>
      </w:r>
    </w:p>
    <w:p w14:paraId="4496E4DF" w14:textId="77777777" w:rsidR="00347D79" w:rsidRPr="00040C21" w:rsidRDefault="00347D79">
      <w:pPr>
        <w:pStyle w:val="Odstavecseseznamem"/>
        <w:numPr>
          <w:ilvl w:val="0"/>
          <w:numId w:val="19"/>
        </w:numPr>
        <w:ind w:left="1134"/>
      </w:pPr>
      <w:r w:rsidRPr="00040C21">
        <w:rPr>
          <w:b/>
        </w:rPr>
        <w:t>přípustné využití</w:t>
      </w:r>
      <w:r w:rsidRPr="00040C21">
        <w:t xml:space="preserve"> bylo stanoveno na základě v souladu s § 14 až § 33 vyhlášky č. 157/2024 Sb. v platném znění, uvádí se však pouze pro takové využití, které není obsaženo ve využití hlavním</w:t>
      </w:r>
    </w:p>
    <w:p w14:paraId="6BD726C9" w14:textId="77777777" w:rsidR="00347D79" w:rsidRPr="00040C21" w:rsidRDefault="00347D79">
      <w:pPr>
        <w:pStyle w:val="Odstavecseseznamem"/>
        <w:numPr>
          <w:ilvl w:val="0"/>
          <w:numId w:val="19"/>
        </w:numPr>
        <w:ind w:left="1134"/>
      </w:pPr>
      <w:r w:rsidRPr="00040C21">
        <w:rPr>
          <w:b/>
        </w:rPr>
        <w:t>podmíněně přípustné využití</w:t>
      </w:r>
      <w:r w:rsidRPr="00040C21">
        <w:t xml:space="preserve"> bylo stanoveno s ohledem na místní specifika řešeného území tak, aby byla zajištěna ochrana hodnot území a</w:t>
      </w:r>
      <w:r>
        <w:t> </w:t>
      </w:r>
      <w:r w:rsidRPr="00040C21">
        <w:t>byly</w:t>
      </w:r>
      <w:r>
        <w:t> </w:t>
      </w:r>
      <w:r w:rsidRPr="00040C21">
        <w:t>stanoveny optimální podmínky rozvoje území s ohledem na jeho charakter a krajinný ráz,</w:t>
      </w:r>
    </w:p>
    <w:p w14:paraId="37F7DCD0" w14:textId="77777777" w:rsidR="00347D79" w:rsidRDefault="00347D79">
      <w:pPr>
        <w:pStyle w:val="Odstavecseseznamem"/>
        <w:numPr>
          <w:ilvl w:val="0"/>
          <w:numId w:val="19"/>
        </w:numPr>
        <w:ind w:left="1134"/>
      </w:pPr>
      <w:r w:rsidRPr="00040C21">
        <w:rPr>
          <w:b/>
        </w:rPr>
        <w:t>nep</w:t>
      </w:r>
      <w:r w:rsidRPr="00040C21">
        <w:rPr>
          <w:rFonts w:hint="eastAsia"/>
          <w:b/>
        </w:rPr>
        <w:t>ř</w:t>
      </w:r>
      <w:r w:rsidRPr="00040C21">
        <w:rPr>
          <w:b/>
        </w:rPr>
        <w:t>ípustné využití</w:t>
      </w:r>
      <w:r w:rsidRPr="00040C21">
        <w:t xml:space="preserve"> bylo stanoveno pro všechny plochy s rozdílným způsobem využitím a vylučuje všechna využití, která nesouvisí s hlavním využitím, snižují kvalitu prostředí vlivy provozu nebo takové důsledky vyvolávají druhotně a snižují využitelnost území pro hlavní využití</w:t>
      </w:r>
      <w:r>
        <w:t>,</w:t>
      </w:r>
    </w:p>
    <w:tbl>
      <w:tblPr>
        <w:tblW w:w="7371" w:type="dxa"/>
        <w:tblInd w:w="1134" w:type="dxa"/>
        <w:tblBorders>
          <w:top w:val="dashSmallGap" w:sz="4" w:space="0" w:color="000000"/>
          <w:bottom w:val="dashSmallGap" w:sz="4" w:space="0" w:color="000000"/>
          <w:insideH w:val="dashSmallGap" w:sz="4" w:space="0" w:color="000000"/>
        </w:tblBorders>
        <w:tblLayout w:type="fixed"/>
        <w:tblLook w:val="0000" w:firstRow="0" w:lastRow="0" w:firstColumn="0" w:lastColumn="0" w:noHBand="0" w:noVBand="0"/>
      </w:tblPr>
      <w:tblGrid>
        <w:gridCol w:w="1134"/>
        <w:gridCol w:w="6237"/>
      </w:tblGrid>
      <w:tr w:rsidR="00347D79" w:rsidRPr="00DF00E7" w14:paraId="0236AB6D" w14:textId="77777777" w:rsidTr="00347D79">
        <w:tc>
          <w:tcPr>
            <w:tcW w:w="1134" w:type="dxa"/>
          </w:tcPr>
          <w:p w14:paraId="3ADEF1B4" w14:textId="77777777" w:rsidR="00347D79" w:rsidRPr="00DF00E7" w:rsidRDefault="00347D79" w:rsidP="003A3351">
            <w:pPr>
              <w:pStyle w:val="Bezmezer"/>
              <w:rPr>
                <w:rFonts w:asciiTheme="minorHAnsi" w:hAnsiTheme="minorHAnsi" w:cstheme="minorHAnsi"/>
                <w:b/>
                <w:sz w:val="18"/>
                <w:szCs w:val="18"/>
              </w:rPr>
            </w:pPr>
            <w:r w:rsidRPr="00DF00E7">
              <w:rPr>
                <w:rFonts w:asciiTheme="minorHAnsi" w:hAnsiTheme="minorHAnsi" w:cstheme="minorHAnsi"/>
                <w:b/>
                <w:sz w:val="18"/>
                <w:szCs w:val="18"/>
              </w:rPr>
              <w:t>Kód plochy</w:t>
            </w:r>
          </w:p>
        </w:tc>
        <w:tc>
          <w:tcPr>
            <w:tcW w:w="6237" w:type="dxa"/>
          </w:tcPr>
          <w:p w14:paraId="15EB4D93" w14:textId="77777777" w:rsidR="00347D79" w:rsidRPr="00DF00E7" w:rsidRDefault="00347D79" w:rsidP="003A3351">
            <w:pPr>
              <w:pStyle w:val="Bezmezer"/>
              <w:rPr>
                <w:rFonts w:asciiTheme="minorHAnsi" w:hAnsiTheme="minorHAnsi" w:cstheme="minorHAnsi"/>
                <w:b/>
                <w:sz w:val="18"/>
                <w:szCs w:val="18"/>
              </w:rPr>
            </w:pPr>
            <w:r w:rsidRPr="00DF00E7">
              <w:rPr>
                <w:rFonts w:asciiTheme="minorHAnsi" w:hAnsiTheme="minorHAnsi" w:cstheme="minorHAnsi"/>
                <w:b/>
                <w:sz w:val="18"/>
                <w:szCs w:val="18"/>
              </w:rPr>
              <w:t>Plochy s rozdílným způsobem využití</w:t>
            </w:r>
          </w:p>
          <w:p w14:paraId="7F0BC94E" w14:textId="77777777" w:rsidR="00347D79" w:rsidRPr="00DF00E7" w:rsidRDefault="00347D79" w:rsidP="003A3351">
            <w:pPr>
              <w:pStyle w:val="Bezmezer"/>
              <w:rPr>
                <w:rFonts w:asciiTheme="minorHAnsi" w:hAnsiTheme="minorHAnsi" w:cstheme="minorHAnsi"/>
                <w:b/>
                <w:sz w:val="18"/>
                <w:szCs w:val="18"/>
              </w:rPr>
            </w:pPr>
          </w:p>
        </w:tc>
      </w:tr>
      <w:tr w:rsidR="00347D79" w:rsidRPr="00DF00E7" w14:paraId="6AEAF05E" w14:textId="77777777" w:rsidTr="00347D79">
        <w:tc>
          <w:tcPr>
            <w:tcW w:w="1134" w:type="dxa"/>
          </w:tcPr>
          <w:p w14:paraId="49DF0EB0" w14:textId="56619138" w:rsidR="00347D79" w:rsidRDefault="00347D79" w:rsidP="003A3351">
            <w:pPr>
              <w:pStyle w:val="Bezmezer"/>
              <w:rPr>
                <w:rFonts w:asciiTheme="minorHAnsi" w:hAnsiTheme="minorHAnsi" w:cstheme="minorHAnsi"/>
                <w:bCs/>
                <w:sz w:val="18"/>
                <w:szCs w:val="18"/>
              </w:rPr>
            </w:pPr>
            <w:r>
              <w:rPr>
                <w:rFonts w:asciiTheme="minorHAnsi" w:hAnsiTheme="minorHAnsi" w:cstheme="minorHAnsi"/>
                <w:bCs/>
                <w:sz w:val="18"/>
                <w:szCs w:val="18"/>
              </w:rPr>
              <w:t>SU</w:t>
            </w:r>
          </w:p>
        </w:tc>
        <w:tc>
          <w:tcPr>
            <w:tcW w:w="6237" w:type="dxa"/>
          </w:tcPr>
          <w:p w14:paraId="0D43539A" w14:textId="0FCBECE6" w:rsidR="00347D79" w:rsidRPr="00D734F0" w:rsidRDefault="00347D79" w:rsidP="003A3351">
            <w:pPr>
              <w:pStyle w:val="Bezmezer"/>
              <w:rPr>
                <w:rFonts w:asciiTheme="minorHAnsi" w:hAnsiTheme="minorHAnsi" w:cstheme="minorHAnsi"/>
                <w:bCs/>
                <w:sz w:val="18"/>
                <w:szCs w:val="18"/>
              </w:rPr>
            </w:pPr>
            <w:r>
              <w:rPr>
                <w:rStyle w:val="Siln"/>
                <w:rFonts w:asciiTheme="minorHAnsi" w:hAnsiTheme="minorHAnsi" w:cstheme="minorHAnsi"/>
                <w:b w:val="0"/>
                <w:sz w:val="18"/>
                <w:szCs w:val="18"/>
              </w:rPr>
              <w:t>s</w:t>
            </w:r>
            <w:r w:rsidRPr="00DF00E7">
              <w:rPr>
                <w:rStyle w:val="Siln"/>
                <w:rFonts w:asciiTheme="minorHAnsi" w:hAnsiTheme="minorHAnsi" w:cstheme="minorHAnsi"/>
                <w:b w:val="0"/>
                <w:sz w:val="18"/>
                <w:szCs w:val="18"/>
              </w:rPr>
              <w:t xml:space="preserve">míšené obytné </w:t>
            </w:r>
            <w:r>
              <w:rPr>
                <w:rStyle w:val="Siln"/>
                <w:rFonts w:asciiTheme="minorHAnsi" w:hAnsiTheme="minorHAnsi" w:cstheme="minorHAnsi"/>
                <w:b w:val="0"/>
                <w:sz w:val="18"/>
                <w:szCs w:val="18"/>
              </w:rPr>
              <w:t>všeobecné</w:t>
            </w:r>
          </w:p>
        </w:tc>
      </w:tr>
      <w:tr w:rsidR="00347D79" w:rsidRPr="00DF00E7" w14:paraId="49406897" w14:textId="77777777" w:rsidTr="00347D79">
        <w:tc>
          <w:tcPr>
            <w:tcW w:w="1134" w:type="dxa"/>
          </w:tcPr>
          <w:p w14:paraId="3FE4489D" w14:textId="77777777" w:rsidR="00347D79" w:rsidRPr="00DF00E7" w:rsidRDefault="00347D79" w:rsidP="003A3351">
            <w:pPr>
              <w:pStyle w:val="Bezmezer"/>
              <w:rPr>
                <w:rStyle w:val="Siln"/>
                <w:rFonts w:asciiTheme="minorHAnsi" w:hAnsiTheme="minorHAnsi" w:cstheme="minorHAnsi"/>
                <w:b w:val="0"/>
                <w:sz w:val="18"/>
                <w:szCs w:val="18"/>
              </w:rPr>
            </w:pPr>
            <w:bookmarkStart w:id="106" w:name="_Hlk138230510"/>
            <w:r w:rsidRPr="00DF00E7">
              <w:rPr>
                <w:rStyle w:val="Siln"/>
                <w:rFonts w:asciiTheme="minorHAnsi" w:hAnsiTheme="minorHAnsi" w:cstheme="minorHAnsi"/>
                <w:b w:val="0"/>
                <w:sz w:val="18"/>
                <w:szCs w:val="18"/>
              </w:rPr>
              <w:t>SV</w:t>
            </w:r>
          </w:p>
        </w:tc>
        <w:tc>
          <w:tcPr>
            <w:tcW w:w="6237" w:type="dxa"/>
          </w:tcPr>
          <w:p w14:paraId="33C28A4D" w14:textId="77777777" w:rsidR="00347D79" w:rsidRPr="00DF00E7" w:rsidRDefault="00347D79" w:rsidP="003A3351">
            <w:pPr>
              <w:pStyle w:val="Bezmezer"/>
              <w:rPr>
                <w:rFonts w:asciiTheme="minorHAnsi" w:hAnsiTheme="minorHAnsi" w:cstheme="minorHAnsi"/>
                <w:sz w:val="18"/>
                <w:szCs w:val="18"/>
              </w:rPr>
            </w:pPr>
            <w:r>
              <w:rPr>
                <w:rStyle w:val="Siln"/>
                <w:rFonts w:asciiTheme="minorHAnsi" w:hAnsiTheme="minorHAnsi" w:cstheme="minorHAnsi"/>
                <w:b w:val="0"/>
                <w:sz w:val="18"/>
                <w:szCs w:val="18"/>
              </w:rPr>
              <w:t>s</w:t>
            </w:r>
            <w:r w:rsidRPr="00DF00E7">
              <w:rPr>
                <w:rStyle w:val="Siln"/>
                <w:rFonts w:asciiTheme="minorHAnsi" w:hAnsiTheme="minorHAnsi" w:cstheme="minorHAnsi"/>
                <w:b w:val="0"/>
                <w:sz w:val="18"/>
                <w:szCs w:val="18"/>
              </w:rPr>
              <w:t xml:space="preserve">míšené obytné venkovské </w:t>
            </w:r>
          </w:p>
        </w:tc>
      </w:tr>
      <w:tr w:rsidR="00347D79" w:rsidRPr="00DF00E7" w14:paraId="35034730" w14:textId="77777777" w:rsidTr="003A3351">
        <w:tc>
          <w:tcPr>
            <w:tcW w:w="1134" w:type="dxa"/>
          </w:tcPr>
          <w:p w14:paraId="2D226A83" w14:textId="77777777" w:rsidR="00347D79" w:rsidRDefault="00347D79" w:rsidP="003A3351">
            <w:pPr>
              <w:pStyle w:val="Bezmezer"/>
              <w:rPr>
                <w:rFonts w:asciiTheme="minorHAnsi" w:hAnsiTheme="minorHAnsi" w:cstheme="minorHAnsi"/>
                <w:bCs/>
                <w:sz w:val="18"/>
                <w:szCs w:val="18"/>
              </w:rPr>
            </w:pPr>
            <w:r>
              <w:rPr>
                <w:rFonts w:asciiTheme="minorHAnsi" w:hAnsiTheme="minorHAnsi" w:cstheme="minorHAnsi"/>
                <w:bCs/>
                <w:sz w:val="18"/>
                <w:szCs w:val="18"/>
              </w:rPr>
              <w:t>OS</w:t>
            </w:r>
          </w:p>
        </w:tc>
        <w:tc>
          <w:tcPr>
            <w:tcW w:w="6237" w:type="dxa"/>
          </w:tcPr>
          <w:p w14:paraId="1C5CF3D7" w14:textId="77777777" w:rsidR="00347D79" w:rsidRPr="00D734F0" w:rsidRDefault="00347D79" w:rsidP="003A3351">
            <w:pPr>
              <w:pStyle w:val="Bezmezer"/>
              <w:rPr>
                <w:rFonts w:asciiTheme="minorHAnsi" w:hAnsiTheme="minorHAnsi" w:cstheme="minorHAnsi"/>
                <w:bCs/>
                <w:sz w:val="18"/>
                <w:szCs w:val="18"/>
              </w:rPr>
            </w:pPr>
            <w:r w:rsidRPr="00D734F0">
              <w:rPr>
                <w:rFonts w:asciiTheme="minorHAnsi" w:hAnsiTheme="minorHAnsi" w:cstheme="minorHAnsi"/>
                <w:bCs/>
                <w:sz w:val="18"/>
                <w:szCs w:val="18"/>
              </w:rPr>
              <w:t>občanské vybavení – sport</w:t>
            </w:r>
          </w:p>
        </w:tc>
      </w:tr>
      <w:tr w:rsidR="00347D79" w:rsidRPr="00DF00E7" w14:paraId="26261B04" w14:textId="77777777" w:rsidTr="003A3351">
        <w:tc>
          <w:tcPr>
            <w:tcW w:w="1134" w:type="dxa"/>
          </w:tcPr>
          <w:p w14:paraId="46E87BBC" w14:textId="6D7E04CB" w:rsidR="00347D79" w:rsidRDefault="00347D79" w:rsidP="003A3351">
            <w:pPr>
              <w:pStyle w:val="Bezmezer"/>
              <w:rPr>
                <w:rFonts w:asciiTheme="minorHAnsi" w:hAnsiTheme="minorHAnsi" w:cstheme="minorHAnsi"/>
                <w:bCs/>
                <w:sz w:val="18"/>
                <w:szCs w:val="18"/>
              </w:rPr>
            </w:pPr>
            <w:r>
              <w:rPr>
                <w:rFonts w:asciiTheme="minorHAnsi" w:hAnsiTheme="minorHAnsi" w:cstheme="minorHAnsi"/>
                <w:bCs/>
                <w:sz w:val="18"/>
                <w:szCs w:val="18"/>
              </w:rPr>
              <w:t>OH</w:t>
            </w:r>
          </w:p>
        </w:tc>
        <w:tc>
          <w:tcPr>
            <w:tcW w:w="6237" w:type="dxa"/>
          </w:tcPr>
          <w:p w14:paraId="5FDFC219" w14:textId="377C12F3" w:rsidR="00347D79" w:rsidRPr="00D734F0" w:rsidRDefault="00347D79" w:rsidP="003A3351">
            <w:pPr>
              <w:pStyle w:val="Bezmezer"/>
              <w:rPr>
                <w:rFonts w:asciiTheme="minorHAnsi" w:hAnsiTheme="minorHAnsi" w:cstheme="minorHAnsi"/>
                <w:bCs/>
                <w:sz w:val="18"/>
                <w:szCs w:val="18"/>
              </w:rPr>
            </w:pPr>
            <w:r w:rsidRPr="00D734F0">
              <w:rPr>
                <w:rFonts w:asciiTheme="minorHAnsi" w:hAnsiTheme="minorHAnsi" w:cstheme="minorHAnsi"/>
                <w:bCs/>
                <w:sz w:val="18"/>
                <w:szCs w:val="18"/>
              </w:rPr>
              <w:t xml:space="preserve">občanské vybavení – </w:t>
            </w:r>
            <w:r>
              <w:rPr>
                <w:rFonts w:asciiTheme="minorHAnsi" w:hAnsiTheme="minorHAnsi" w:cstheme="minorHAnsi"/>
                <w:bCs/>
                <w:sz w:val="18"/>
                <w:szCs w:val="18"/>
              </w:rPr>
              <w:t>hřbitovy</w:t>
            </w:r>
          </w:p>
        </w:tc>
      </w:tr>
      <w:tr w:rsidR="00347D79" w:rsidRPr="00DF00E7" w14:paraId="778E333C" w14:textId="77777777" w:rsidTr="003A3351">
        <w:tc>
          <w:tcPr>
            <w:tcW w:w="1134" w:type="dxa"/>
          </w:tcPr>
          <w:p w14:paraId="542B47A1" w14:textId="1D501FA5" w:rsidR="00347D79" w:rsidRPr="00DF00E7" w:rsidRDefault="00347D79" w:rsidP="003A3351">
            <w:pPr>
              <w:pStyle w:val="Bezmezer"/>
              <w:rPr>
                <w:rStyle w:val="Siln"/>
                <w:rFonts w:asciiTheme="minorHAnsi" w:hAnsiTheme="minorHAnsi" w:cstheme="minorHAnsi"/>
                <w:b w:val="0"/>
                <w:sz w:val="18"/>
                <w:szCs w:val="18"/>
              </w:rPr>
            </w:pPr>
            <w:r>
              <w:rPr>
                <w:rStyle w:val="Siln"/>
                <w:rFonts w:asciiTheme="minorHAnsi" w:hAnsiTheme="minorHAnsi" w:cstheme="minorHAnsi"/>
                <w:b w:val="0"/>
                <w:sz w:val="18"/>
                <w:szCs w:val="18"/>
              </w:rPr>
              <w:t>RX</w:t>
            </w:r>
          </w:p>
        </w:tc>
        <w:tc>
          <w:tcPr>
            <w:tcW w:w="6237" w:type="dxa"/>
          </w:tcPr>
          <w:p w14:paraId="1B67C8C7" w14:textId="1CF9080D" w:rsidR="00347D79" w:rsidRPr="00DF00E7" w:rsidRDefault="00347D79" w:rsidP="003A3351">
            <w:pPr>
              <w:pStyle w:val="Bezmezer"/>
              <w:rPr>
                <w:rFonts w:asciiTheme="minorHAnsi" w:hAnsiTheme="minorHAnsi" w:cstheme="minorHAnsi"/>
                <w:sz w:val="18"/>
                <w:szCs w:val="18"/>
              </w:rPr>
            </w:pPr>
            <w:r>
              <w:rPr>
                <w:rFonts w:asciiTheme="minorHAnsi" w:hAnsiTheme="minorHAnsi" w:cstheme="minorHAnsi"/>
                <w:sz w:val="18"/>
                <w:szCs w:val="18"/>
              </w:rPr>
              <w:t>rekreace jiná – rekreační areály</w:t>
            </w:r>
          </w:p>
        </w:tc>
      </w:tr>
      <w:tr w:rsidR="00347D79" w:rsidRPr="00DF00E7" w14:paraId="31282996" w14:textId="77777777" w:rsidTr="00347D79">
        <w:tc>
          <w:tcPr>
            <w:tcW w:w="1134" w:type="dxa"/>
          </w:tcPr>
          <w:p w14:paraId="46F940AC" w14:textId="77777777" w:rsidR="00347D79" w:rsidRPr="00DF00E7" w:rsidRDefault="00347D79" w:rsidP="003A3351">
            <w:pPr>
              <w:pStyle w:val="Bezmezer"/>
              <w:rPr>
                <w:rStyle w:val="Siln"/>
                <w:rFonts w:asciiTheme="minorHAnsi" w:hAnsiTheme="minorHAnsi" w:cstheme="minorHAnsi"/>
                <w:b w:val="0"/>
                <w:sz w:val="18"/>
                <w:szCs w:val="18"/>
              </w:rPr>
            </w:pPr>
            <w:r>
              <w:rPr>
                <w:rStyle w:val="Siln"/>
                <w:rFonts w:asciiTheme="minorHAnsi" w:hAnsiTheme="minorHAnsi" w:cstheme="minorHAnsi"/>
                <w:b w:val="0"/>
                <w:sz w:val="18"/>
                <w:szCs w:val="18"/>
              </w:rPr>
              <w:t>RI</w:t>
            </w:r>
          </w:p>
        </w:tc>
        <w:tc>
          <w:tcPr>
            <w:tcW w:w="6237" w:type="dxa"/>
          </w:tcPr>
          <w:p w14:paraId="6332DBD3" w14:textId="77777777" w:rsidR="00347D79" w:rsidRPr="00DF00E7" w:rsidRDefault="00347D79" w:rsidP="003A3351">
            <w:pPr>
              <w:pStyle w:val="Bezmezer"/>
              <w:rPr>
                <w:rFonts w:asciiTheme="minorHAnsi" w:hAnsiTheme="minorHAnsi" w:cstheme="minorHAnsi"/>
                <w:sz w:val="18"/>
                <w:szCs w:val="18"/>
              </w:rPr>
            </w:pPr>
            <w:r w:rsidRPr="00D734F0">
              <w:rPr>
                <w:rFonts w:asciiTheme="minorHAnsi" w:hAnsiTheme="minorHAnsi" w:cstheme="minorHAnsi"/>
                <w:sz w:val="18"/>
                <w:szCs w:val="18"/>
              </w:rPr>
              <w:t>rekreace individuální</w:t>
            </w:r>
          </w:p>
        </w:tc>
      </w:tr>
      <w:tr w:rsidR="00347D79" w:rsidRPr="00DF00E7" w14:paraId="034C5D53" w14:textId="77777777" w:rsidTr="00347D79">
        <w:tc>
          <w:tcPr>
            <w:tcW w:w="1134" w:type="dxa"/>
          </w:tcPr>
          <w:p w14:paraId="6CD02399" w14:textId="7F6EE93B" w:rsidR="00347D79" w:rsidRDefault="00347D79" w:rsidP="003A3351">
            <w:pPr>
              <w:pStyle w:val="Bezmezer"/>
              <w:rPr>
                <w:rStyle w:val="Siln"/>
                <w:rFonts w:asciiTheme="minorHAnsi" w:hAnsiTheme="minorHAnsi" w:cstheme="minorHAnsi"/>
                <w:b w:val="0"/>
                <w:sz w:val="18"/>
                <w:szCs w:val="18"/>
              </w:rPr>
            </w:pPr>
            <w:r>
              <w:rPr>
                <w:rStyle w:val="Siln"/>
                <w:rFonts w:asciiTheme="minorHAnsi" w:hAnsiTheme="minorHAnsi" w:cstheme="minorHAnsi"/>
                <w:b w:val="0"/>
                <w:sz w:val="18"/>
                <w:szCs w:val="18"/>
              </w:rPr>
              <w:t>RZ</w:t>
            </w:r>
          </w:p>
        </w:tc>
        <w:tc>
          <w:tcPr>
            <w:tcW w:w="6237" w:type="dxa"/>
          </w:tcPr>
          <w:p w14:paraId="07F2A90F" w14:textId="08BCB3ED" w:rsidR="00347D79" w:rsidRPr="00D734F0" w:rsidRDefault="00347D79" w:rsidP="003A3351">
            <w:pPr>
              <w:pStyle w:val="Bezmezer"/>
              <w:rPr>
                <w:rFonts w:asciiTheme="minorHAnsi" w:hAnsiTheme="minorHAnsi" w:cstheme="minorHAnsi"/>
                <w:sz w:val="18"/>
                <w:szCs w:val="18"/>
              </w:rPr>
            </w:pPr>
            <w:r w:rsidRPr="00D734F0">
              <w:rPr>
                <w:rFonts w:asciiTheme="minorHAnsi" w:hAnsiTheme="minorHAnsi" w:cstheme="minorHAnsi"/>
                <w:sz w:val="18"/>
                <w:szCs w:val="18"/>
              </w:rPr>
              <w:t>r</w:t>
            </w:r>
            <w:r>
              <w:rPr>
                <w:rFonts w:asciiTheme="minorHAnsi" w:hAnsiTheme="minorHAnsi" w:cstheme="minorHAnsi"/>
                <w:sz w:val="18"/>
                <w:szCs w:val="18"/>
              </w:rPr>
              <w:t>ekreace v zahrádkářských osadách</w:t>
            </w:r>
          </w:p>
        </w:tc>
      </w:tr>
      <w:tr w:rsidR="006A557F" w:rsidRPr="00DF00E7" w14:paraId="697E359C" w14:textId="77777777" w:rsidTr="00347D79">
        <w:tc>
          <w:tcPr>
            <w:tcW w:w="1134" w:type="dxa"/>
          </w:tcPr>
          <w:p w14:paraId="260E5F63" w14:textId="1826D57A" w:rsidR="006A557F" w:rsidRDefault="006A557F" w:rsidP="003A3351">
            <w:pPr>
              <w:pStyle w:val="Bezmezer"/>
              <w:rPr>
                <w:rStyle w:val="Siln"/>
                <w:rFonts w:asciiTheme="minorHAnsi" w:hAnsiTheme="minorHAnsi" w:cstheme="minorHAnsi"/>
                <w:b w:val="0"/>
                <w:sz w:val="18"/>
                <w:szCs w:val="18"/>
              </w:rPr>
            </w:pPr>
            <w:r>
              <w:rPr>
                <w:rStyle w:val="Siln"/>
                <w:rFonts w:asciiTheme="minorHAnsi" w:hAnsiTheme="minorHAnsi" w:cstheme="minorHAnsi"/>
                <w:b w:val="0"/>
                <w:sz w:val="18"/>
                <w:szCs w:val="18"/>
              </w:rPr>
              <w:t>HU</w:t>
            </w:r>
          </w:p>
        </w:tc>
        <w:tc>
          <w:tcPr>
            <w:tcW w:w="6237" w:type="dxa"/>
          </w:tcPr>
          <w:p w14:paraId="106E1091" w14:textId="167DF2C8" w:rsidR="006A557F" w:rsidRPr="00D734F0" w:rsidRDefault="006A557F" w:rsidP="003A3351">
            <w:pPr>
              <w:pStyle w:val="Bezmezer"/>
              <w:rPr>
                <w:rFonts w:asciiTheme="minorHAnsi" w:hAnsiTheme="minorHAnsi" w:cstheme="minorHAnsi"/>
                <w:sz w:val="18"/>
                <w:szCs w:val="18"/>
              </w:rPr>
            </w:pPr>
            <w:r>
              <w:rPr>
                <w:rFonts w:asciiTheme="minorHAnsi" w:hAnsiTheme="minorHAnsi" w:cstheme="minorHAnsi"/>
                <w:sz w:val="18"/>
                <w:szCs w:val="18"/>
              </w:rPr>
              <w:t>smíšené výrobní všeobecné</w:t>
            </w:r>
          </w:p>
        </w:tc>
      </w:tr>
      <w:tr w:rsidR="00347D79" w:rsidRPr="00DF00E7" w14:paraId="223367C3" w14:textId="77777777" w:rsidTr="00347D79">
        <w:tc>
          <w:tcPr>
            <w:tcW w:w="1134" w:type="dxa"/>
          </w:tcPr>
          <w:p w14:paraId="15D77D0E" w14:textId="77777777" w:rsidR="00347D79" w:rsidRPr="00DF00E7" w:rsidRDefault="00347D79" w:rsidP="003A3351">
            <w:pPr>
              <w:pStyle w:val="Bezmezer"/>
              <w:rPr>
                <w:rStyle w:val="Siln"/>
                <w:rFonts w:asciiTheme="minorHAnsi" w:hAnsiTheme="minorHAnsi" w:cstheme="minorHAnsi"/>
                <w:b w:val="0"/>
                <w:sz w:val="18"/>
                <w:szCs w:val="18"/>
              </w:rPr>
            </w:pPr>
            <w:r w:rsidRPr="00DF00E7">
              <w:rPr>
                <w:rStyle w:val="Siln"/>
                <w:rFonts w:asciiTheme="minorHAnsi" w:hAnsiTheme="minorHAnsi" w:cstheme="minorHAnsi"/>
                <w:b w:val="0"/>
                <w:sz w:val="18"/>
                <w:szCs w:val="18"/>
              </w:rPr>
              <w:t>P</w:t>
            </w:r>
            <w:r>
              <w:rPr>
                <w:rStyle w:val="Siln"/>
                <w:rFonts w:asciiTheme="minorHAnsi" w:hAnsiTheme="minorHAnsi" w:cstheme="minorHAnsi"/>
                <w:b w:val="0"/>
                <w:sz w:val="18"/>
                <w:szCs w:val="18"/>
              </w:rPr>
              <w:t>U</w:t>
            </w:r>
            <w:r w:rsidRPr="00DF00E7">
              <w:rPr>
                <w:rStyle w:val="Siln"/>
                <w:rFonts w:asciiTheme="minorHAnsi" w:hAnsiTheme="minorHAnsi" w:cstheme="minorHAnsi"/>
                <w:b w:val="0"/>
                <w:sz w:val="18"/>
                <w:szCs w:val="18"/>
              </w:rPr>
              <w:t>.v</w:t>
            </w:r>
          </w:p>
        </w:tc>
        <w:tc>
          <w:tcPr>
            <w:tcW w:w="6237" w:type="dxa"/>
          </w:tcPr>
          <w:p w14:paraId="06E5351E" w14:textId="77BA6E79" w:rsidR="00347D79" w:rsidRPr="00DF00E7" w:rsidRDefault="00347D79" w:rsidP="003A3351">
            <w:pPr>
              <w:pStyle w:val="Bezmezer"/>
              <w:rPr>
                <w:rFonts w:asciiTheme="minorHAnsi" w:hAnsiTheme="minorHAnsi" w:cstheme="minorHAnsi"/>
                <w:sz w:val="18"/>
                <w:szCs w:val="18"/>
              </w:rPr>
            </w:pPr>
            <w:r w:rsidRPr="00D734F0">
              <w:rPr>
                <w:rFonts w:asciiTheme="minorHAnsi" w:hAnsiTheme="minorHAnsi" w:cstheme="minorHAnsi"/>
                <w:sz w:val="18"/>
                <w:szCs w:val="18"/>
              </w:rPr>
              <w:t>veřejná prostranství všeobecná</w:t>
            </w:r>
            <w:r w:rsidRPr="00DF00E7">
              <w:rPr>
                <w:rFonts w:asciiTheme="minorHAnsi" w:hAnsiTheme="minorHAnsi" w:cstheme="minorHAnsi"/>
                <w:sz w:val="18"/>
                <w:szCs w:val="18"/>
              </w:rPr>
              <w:t xml:space="preserve">– </w:t>
            </w:r>
            <w:r w:rsidR="006A557F">
              <w:rPr>
                <w:rFonts w:asciiTheme="minorHAnsi" w:hAnsiTheme="minorHAnsi" w:cstheme="minorHAnsi"/>
                <w:sz w:val="18"/>
                <w:szCs w:val="18"/>
              </w:rPr>
              <w:t>významná</w:t>
            </w:r>
          </w:p>
        </w:tc>
      </w:tr>
      <w:tr w:rsidR="00347D79" w:rsidRPr="00DF00E7" w14:paraId="4C3CED0C" w14:textId="77777777" w:rsidTr="00347D79">
        <w:tc>
          <w:tcPr>
            <w:tcW w:w="1134" w:type="dxa"/>
          </w:tcPr>
          <w:p w14:paraId="29206F98" w14:textId="77777777" w:rsidR="00347D79" w:rsidRPr="00DF00E7" w:rsidRDefault="00347D79" w:rsidP="003A3351">
            <w:pPr>
              <w:pStyle w:val="Bezmezer"/>
              <w:rPr>
                <w:rStyle w:val="Siln"/>
                <w:rFonts w:asciiTheme="minorHAnsi" w:hAnsiTheme="minorHAnsi" w:cstheme="minorHAnsi"/>
                <w:b w:val="0"/>
                <w:sz w:val="18"/>
                <w:szCs w:val="18"/>
              </w:rPr>
            </w:pPr>
            <w:r w:rsidRPr="00DF00E7">
              <w:rPr>
                <w:rStyle w:val="Siln"/>
                <w:rFonts w:asciiTheme="minorHAnsi" w:hAnsiTheme="minorHAnsi" w:cstheme="minorHAnsi"/>
                <w:b w:val="0"/>
                <w:sz w:val="18"/>
                <w:szCs w:val="18"/>
              </w:rPr>
              <w:t>PU</w:t>
            </w:r>
          </w:p>
        </w:tc>
        <w:tc>
          <w:tcPr>
            <w:tcW w:w="6237" w:type="dxa"/>
          </w:tcPr>
          <w:p w14:paraId="5C65E632" w14:textId="4AD3D0EA" w:rsidR="00347D79" w:rsidRPr="00DF00E7" w:rsidRDefault="006A557F" w:rsidP="003A3351">
            <w:pPr>
              <w:pStyle w:val="Bezmezer"/>
              <w:rPr>
                <w:rFonts w:asciiTheme="minorHAnsi" w:hAnsiTheme="minorHAnsi" w:cstheme="minorHAnsi"/>
                <w:sz w:val="18"/>
                <w:szCs w:val="18"/>
              </w:rPr>
            </w:pPr>
            <w:r>
              <w:rPr>
                <w:rStyle w:val="Siln"/>
                <w:rFonts w:asciiTheme="minorHAnsi" w:hAnsiTheme="minorHAnsi" w:cstheme="minorHAnsi"/>
                <w:b w:val="0"/>
                <w:sz w:val="18"/>
                <w:szCs w:val="18"/>
              </w:rPr>
              <w:t>v</w:t>
            </w:r>
            <w:r w:rsidR="00347D79" w:rsidRPr="00DF00E7">
              <w:rPr>
                <w:rStyle w:val="Siln"/>
                <w:rFonts w:asciiTheme="minorHAnsi" w:hAnsiTheme="minorHAnsi" w:cstheme="minorHAnsi"/>
                <w:b w:val="0"/>
                <w:sz w:val="18"/>
                <w:szCs w:val="18"/>
              </w:rPr>
              <w:t>eřejná prostranství všeobecná</w:t>
            </w:r>
          </w:p>
        </w:tc>
      </w:tr>
      <w:tr w:rsidR="006A557F" w:rsidRPr="00DF00E7" w14:paraId="511FB035" w14:textId="77777777" w:rsidTr="003A3351">
        <w:tc>
          <w:tcPr>
            <w:tcW w:w="1134" w:type="dxa"/>
          </w:tcPr>
          <w:p w14:paraId="25B6D463" w14:textId="77777777" w:rsidR="006A557F" w:rsidRPr="00DF00E7" w:rsidRDefault="006A557F" w:rsidP="003A3351">
            <w:pPr>
              <w:pStyle w:val="Bezmezer"/>
              <w:rPr>
                <w:rStyle w:val="Siln"/>
                <w:rFonts w:asciiTheme="minorHAnsi" w:hAnsiTheme="minorHAnsi" w:cstheme="minorHAnsi"/>
                <w:b w:val="0"/>
                <w:sz w:val="18"/>
                <w:szCs w:val="18"/>
              </w:rPr>
            </w:pPr>
            <w:r w:rsidRPr="00DF00E7">
              <w:rPr>
                <w:rStyle w:val="Siln"/>
                <w:rFonts w:asciiTheme="minorHAnsi" w:hAnsiTheme="minorHAnsi" w:cstheme="minorHAnsi"/>
                <w:b w:val="0"/>
                <w:sz w:val="18"/>
                <w:szCs w:val="18"/>
              </w:rPr>
              <w:t>DS</w:t>
            </w:r>
          </w:p>
        </w:tc>
        <w:tc>
          <w:tcPr>
            <w:tcW w:w="6237" w:type="dxa"/>
          </w:tcPr>
          <w:p w14:paraId="71FEA57D" w14:textId="77777777" w:rsidR="006A557F" w:rsidRPr="00DF00E7" w:rsidRDefault="006A557F" w:rsidP="003A3351">
            <w:pPr>
              <w:pStyle w:val="Bezmezer"/>
              <w:rPr>
                <w:rFonts w:asciiTheme="minorHAnsi" w:hAnsiTheme="minorHAnsi" w:cstheme="minorHAnsi"/>
                <w:bCs/>
                <w:sz w:val="18"/>
                <w:szCs w:val="18"/>
              </w:rPr>
            </w:pPr>
            <w:r>
              <w:rPr>
                <w:rFonts w:asciiTheme="minorHAnsi" w:hAnsiTheme="minorHAnsi" w:cstheme="minorHAnsi"/>
                <w:bCs/>
                <w:sz w:val="18"/>
                <w:szCs w:val="18"/>
              </w:rPr>
              <w:t>d</w:t>
            </w:r>
            <w:r w:rsidRPr="00DF00E7">
              <w:rPr>
                <w:rFonts w:asciiTheme="minorHAnsi" w:hAnsiTheme="minorHAnsi" w:cstheme="minorHAnsi"/>
                <w:bCs/>
                <w:sz w:val="18"/>
                <w:szCs w:val="18"/>
              </w:rPr>
              <w:t>oprava silniční</w:t>
            </w:r>
          </w:p>
        </w:tc>
      </w:tr>
      <w:tr w:rsidR="00347D79" w:rsidRPr="00DF00E7" w14:paraId="14C9DCDD" w14:textId="77777777" w:rsidTr="00347D79">
        <w:tc>
          <w:tcPr>
            <w:tcW w:w="1134" w:type="dxa"/>
          </w:tcPr>
          <w:p w14:paraId="26459134" w14:textId="717CB7C3" w:rsidR="00347D79" w:rsidRPr="00DF00E7" w:rsidRDefault="00347D79" w:rsidP="003A3351">
            <w:pPr>
              <w:pStyle w:val="Bezmezer"/>
              <w:rPr>
                <w:rStyle w:val="Siln"/>
                <w:rFonts w:asciiTheme="minorHAnsi" w:hAnsiTheme="minorHAnsi" w:cstheme="minorHAnsi"/>
                <w:b w:val="0"/>
                <w:sz w:val="18"/>
                <w:szCs w:val="18"/>
              </w:rPr>
            </w:pPr>
            <w:r w:rsidRPr="00DF00E7">
              <w:rPr>
                <w:rStyle w:val="Siln"/>
                <w:rFonts w:asciiTheme="minorHAnsi" w:hAnsiTheme="minorHAnsi" w:cstheme="minorHAnsi"/>
                <w:b w:val="0"/>
                <w:sz w:val="18"/>
                <w:szCs w:val="18"/>
              </w:rPr>
              <w:t>D</w:t>
            </w:r>
            <w:r w:rsidR="006A557F">
              <w:rPr>
                <w:rStyle w:val="Siln"/>
                <w:rFonts w:asciiTheme="minorHAnsi" w:hAnsiTheme="minorHAnsi" w:cstheme="minorHAnsi"/>
                <w:b w:val="0"/>
                <w:sz w:val="18"/>
                <w:szCs w:val="18"/>
              </w:rPr>
              <w:t>D</w:t>
            </w:r>
          </w:p>
        </w:tc>
        <w:tc>
          <w:tcPr>
            <w:tcW w:w="6237" w:type="dxa"/>
          </w:tcPr>
          <w:p w14:paraId="55E03123" w14:textId="088B54DD" w:rsidR="00347D79" w:rsidRPr="00DF00E7" w:rsidRDefault="00347D79" w:rsidP="003A3351">
            <w:pPr>
              <w:pStyle w:val="Bezmezer"/>
              <w:rPr>
                <w:rFonts w:asciiTheme="minorHAnsi" w:hAnsiTheme="minorHAnsi" w:cstheme="minorHAnsi"/>
                <w:bCs/>
                <w:sz w:val="18"/>
                <w:szCs w:val="18"/>
              </w:rPr>
            </w:pPr>
            <w:r>
              <w:rPr>
                <w:rFonts w:asciiTheme="minorHAnsi" w:hAnsiTheme="minorHAnsi" w:cstheme="minorHAnsi"/>
                <w:bCs/>
                <w:sz w:val="18"/>
                <w:szCs w:val="18"/>
              </w:rPr>
              <w:t>d</w:t>
            </w:r>
            <w:r w:rsidRPr="00DF00E7">
              <w:rPr>
                <w:rFonts w:asciiTheme="minorHAnsi" w:hAnsiTheme="minorHAnsi" w:cstheme="minorHAnsi"/>
                <w:bCs/>
                <w:sz w:val="18"/>
                <w:szCs w:val="18"/>
              </w:rPr>
              <w:t xml:space="preserve">oprava </w:t>
            </w:r>
            <w:r w:rsidR="006A557F">
              <w:rPr>
                <w:rFonts w:asciiTheme="minorHAnsi" w:hAnsiTheme="minorHAnsi" w:cstheme="minorHAnsi"/>
                <w:bCs/>
                <w:sz w:val="18"/>
                <w:szCs w:val="18"/>
              </w:rPr>
              <w:t>drážní</w:t>
            </w:r>
          </w:p>
        </w:tc>
      </w:tr>
      <w:tr w:rsidR="00347D79" w:rsidRPr="00DF00E7" w14:paraId="56EB4FDA" w14:textId="77777777" w:rsidTr="00347D79">
        <w:tc>
          <w:tcPr>
            <w:tcW w:w="1134" w:type="dxa"/>
          </w:tcPr>
          <w:p w14:paraId="1F2AD943" w14:textId="77777777" w:rsidR="00347D79" w:rsidRPr="00DF00E7" w:rsidRDefault="00347D79" w:rsidP="003A3351">
            <w:pPr>
              <w:pStyle w:val="Bezmezer"/>
              <w:rPr>
                <w:rStyle w:val="Siln"/>
                <w:rFonts w:asciiTheme="minorHAnsi" w:hAnsiTheme="minorHAnsi" w:cstheme="minorHAnsi"/>
                <w:b w:val="0"/>
                <w:sz w:val="18"/>
                <w:szCs w:val="18"/>
              </w:rPr>
            </w:pPr>
            <w:r>
              <w:rPr>
                <w:rStyle w:val="Siln"/>
                <w:rFonts w:asciiTheme="minorHAnsi" w:hAnsiTheme="minorHAnsi" w:cstheme="minorHAnsi"/>
                <w:b w:val="0"/>
                <w:sz w:val="18"/>
                <w:szCs w:val="18"/>
              </w:rPr>
              <w:t>TU</w:t>
            </w:r>
          </w:p>
        </w:tc>
        <w:tc>
          <w:tcPr>
            <w:tcW w:w="6237" w:type="dxa"/>
          </w:tcPr>
          <w:p w14:paraId="49DDA40C" w14:textId="77777777" w:rsidR="00347D79" w:rsidRDefault="00347D79" w:rsidP="003A3351">
            <w:pPr>
              <w:pStyle w:val="Bezmezer"/>
              <w:rPr>
                <w:rFonts w:asciiTheme="minorHAnsi" w:hAnsiTheme="minorHAnsi" w:cstheme="minorHAnsi"/>
                <w:bCs/>
                <w:sz w:val="18"/>
                <w:szCs w:val="18"/>
              </w:rPr>
            </w:pPr>
            <w:r w:rsidRPr="00D734F0">
              <w:rPr>
                <w:rFonts w:asciiTheme="minorHAnsi" w:hAnsiTheme="minorHAnsi" w:cstheme="minorHAnsi"/>
                <w:bCs/>
                <w:sz w:val="18"/>
                <w:szCs w:val="18"/>
              </w:rPr>
              <w:t>technická infrastruktura všeobecná</w:t>
            </w:r>
          </w:p>
        </w:tc>
      </w:tr>
      <w:tr w:rsidR="00347D79" w:rsidRPr="00DF00E7" w14:paraId="636CC132" w14:textId="77777777" w:rsidTr="00347D79">
        <w:tc>
          <w:tcPr>
            <w:tcW w:w="1134" w:type="dxa"/>
          </w:tcPr>
          <w:p w14:paraId="1C6342D4" w14:textId="596AF193" w:rsidR="00347D79" w:rsidRPr="00DF00E7" w:rsidRDefault="00347D79" w:rsidP="003A3351">
            <w:pPr>
              <w:pStyle w:val="Bezmezer"/>
              <w:rPr>
                <w:rFonts w:asciiTheme="minorHAnsi" w:hAnsiTheme="minorHAnsi" w:cstheme="minorHAnsi"/>
                <w:sz w:val="18"/>
                <w:szCs w:val="18"/>
              </w:rPr>
            </w:pPr>
            <w:r w:rsidRPr="00DF00E7">
              <w:rPr>
                <w:rStyle w:val="Siln"/>
                <w:rFonts w:asciiTheme="minorHAnsi" w:hAnsiTheme="minorHAnsi" w:cstheme="minorHAnsi"/>
                <w:b w:val="0"/>
                <w:sz w:val="18"/>
                <w:szCs w:val="18"/>
              </w:rPr>
              <w:t>W</w:t>
            </w:r>
            <w:r w:rsidR="005D44B3">
              <w:rPr>
                <w:rStyle w:val="Siln"/>
                <w:rFonts w:asciiTheme="minorHAnsi" w:hAnsiTheme="minorHAnsi" w:cstheme="minorHAnsi"/>
                <w:b w:val="0"/>
                <w:sz w:val="18"/>
                <w:szCs w:val="18"/>
              </w:rPr>
              <w:t>U</w:t>
            </w:r>
          </w:p>
        </w:tc>
        <w:tc>
          <w:tcPr>
            <w:tcW w:w="6237" w:type="dxa"/>
          </w:tcPr>
          <w:p w14:paraId="27077052" w14:textId="75C8994D" w:rsidR="00347D79" w:rsidRPr="00DF00E7" w:rsidRDefault="00347D79" w:rsidP="003A3351">
            <w:pPr>
              <w:pStyle w:val="Bezmezer"/>
              <w:rPr>
                <w:rFonts w:asciiTheme="minorHAnsi" w:hAnsiTheme="minorHAnsi" w:cstheme="minorHAnsi"/>
                <w:sz w:val="18"/>
                <w:szCs w:val="18"/>
              </w:rPr>
            </w:pPr>
            <w:r>
              <w:rPr>
                <w:rFonts w:asciiTheme="minorHAnsi" w:hAnsiTheme="minorHAnsi" w:cstheme="minorHAnsi"/>
                <w:sz w:val="18"/>
                <w:szCs w:val="18"/>
              </w:rPr>
              <w:t>v</w:t>
            </w:r>
            <w:r w:rsidRPr="00DF00E7">
              <w:rPr>
                <w:rFonts w:asciiTheme="minorHAnsi" w:hAnsiTheme="minorHAnsi" w:cstheme="minorHAnsi"/>
                <w:sz w:val="18"/>
                <w:szCs w:val="18"/>
              </w:rPr>
              <w:t xml:space="preserve">odní a </w:t>
            </w:r>
            <w:r w:rsidR="005D44B3">
              <w:rPr>
                <w:rFonts w:asciiTheme="minorHAnsi" w:hAnsiTheme="minorHAnsi" w:cstheme="minorHAnsi"/>
                <w:sz w:val="18"/>
                <w:szCs w:val="18"/>
              </w:rPr>
              <w:t>vodohospodářské všeobecné</w:t>
            </w:r>
          </w:p>
        </w:tc>
      </w:tr>
      <w:tr w:rsidR="00347D79" w:rsidRPr="00DF00E7" w14:paraId="1B0113DE" w14:textId="77777777" w:rsidTr="00347D79">
        <w:tc>
          <w:tcPr>
            <w:tcW w:w="1134" w:type="dxa"/>
          </w:tcPr>
          <w:p w14:paraId="5E3C78F9" w14:textId="77777777" w:rsidR="00347D79" w:rsidRPr="00DF00E7" w:rsidRDefault="00347D79" w:rsidP="003A3351">
            <w:pPr>
              <w:pStyle w:val="Bezmezer"/>
              <w:rPr>
                <w:rStyle w:val="Siln"/>
                <w:rFonts w:asciiTheme="minorHAnsi" w:hAnsiTheme="minorHAnsi" w:cstheme="minorHAnsi"/>
                <w:b w:val="0"/>
                <w:sz w:val="18"/>
                <w:szCs w:val="18"/>
              </w:rPr>
            </w:pPr>
            <w:r w:rsidRPr="00DF00E7">
              <w:rPr>
                <w:rStyle w:val="Siln"/>
                <w:rFonts w:asciiTheme="minorHAnsi" w:hAnsiTheme="minorHAnsi" w:cstheme="minorHAnsi"/>
                <w:b w:val="0"/>
                <w:sz w:val="18"/>
                <w:szCs w:val="18"/>
              </w:rPr>
              <w:t>NU</w:t>
            </w:r>
          </w:p>
        </w:tc>
        <w:tc>
          <w:tcPr>
            <w:tcW w:w="6237" w:type="dxa"/>
          </w:tcPr>
          <w:p w14:paraId="50F9D22E" w14:textId="77777777" w:rsidR="00347D79" w:rsidRPr="00DF00E7" w:rsidRDefault="00347D79" w:rsidP="003A3351">
            <w:pPr>
              <w:pStyle w:val="Bezmezer"/>
              <w:rPr>
                <w:rFonts w:asciiTheme="minorHAnsi" w:hAnsiTheme="minorHAnsi" w:cstheme="minorHAnsi"/>
                <w:sz w:val="18"/>
                <w:szCs w:val="18"/>
              </w:rPr>
            </w:pPr>
            <w:r>
              <w:rPr>
                <w:rFonts w:asciiTheme="minorHAnsi" w:hAnsiTheme="minorHAnsi" w:cstheme="minorHAnsi"/>
                <w:sz w:val="18"/>
                <w:szCs w:val="18"/>
              </w:rPr>
              <w:t>p</w:t>
            </w:r>
            <w:r w:rsidRPr="00DF00E7">
              <w:rPr>
                <w:rFonts w:asciiTheme="minorHAnsi" w:hAnsiTheme="minorHAnsi" w:cstheme="minorHAnsi"/>
                <w:sz w:val="18"/>
                <w:szCs w:val="18"/>
              </w:rPr>
              <w:t>řírodní všeobecné</w:t>
            </w:r>
          </w:p>
        </w:tc>
      </w:tr>
      <w:tr w:rsidR="00347D79" w:rsidRPr="00DF00E7" w14:paraId="461ADCF9" w14:textId="77777777" w:rsidTr="00347D79">
        <w:tc>
          <w:tcPr>
            <w:tcW w:w="1134" w:type="dxa"/>
          </w:tcPr>
          <w:p w14:paraId="1363E75F" w14:textId="77777777" w:rsidR="00347D79" w:rsidRPr="00DF00E7" w:rsidRDefault="00347D79" w:rsidP="003A3351">
            <w:pPr>
              <w:pStyle w:val="Bezmezer"/>
              <w:rPr>
                <w:rStyle w:val="Siln"/>
                <w:rFonts w:asciiTheme="minorHAnsi" w:hAnsiTheme="minorHAnsi" w:cstheme="minorHAnsi"/>
                <w:b w:val="0"/>
                <w:sz w:val="18"/>
                <w:szCs w:val="18"/>
              </w:rPr>
            </w:pPr>
            <w:r w:rsidRPr="00DF00E7">
              <w:rPr>
                <w:rFonts w:asciiTheme="minorHAnsi" w:hAnsiTheme="minorHAnsi" w:cstheme="minorHAnsi"/>
                <w:sz w:val="18"/>
                <w:szCs w:val="18"/>
              </w:rPr>
              <w:t>MU</w:t>
            </w:r>
          </w:p>
        </w:tc>
        <w:tc>
          <w:tcPr>
            <w:tcW w:w="6237" w:type="dxa"/>
          </w:tcPr>
          <w:p w14:paraId="7AAFD211" w14:textId="77777777" w:rsidR="00347D79" w:rsidRPr="00DF00E7" w:rsidRDefault="00347D79" w:rsidP="003A3351">
            <w:pPr>
              <w:pStyle w:val="Bezmezer"/>
              <w:rPr>
                <w:rFonts w:asciiTheme="minorHAnsi" w:hAnsiTheme="minorHAnsi" w:cstheme="minorHAnsi"/>
                <w:sz w:val="18"/>
                <w:szCs w:val="18"/>
              </w:rPr>
            </w:pPr>
            <w:r>
              <w:rPr>
                <w:rStyle w:val="Siln"/>
                <w:rFonts w:asciiTheme="minorHAnsi" w:hAnsiTheme="minorHAnsi" w:cstheme="minorHAnsi"/>
                <w:b w:val="0"/>
                <w:sz w:val="18"/>
                <w:szCs w:val="18"/>
              </w:rPr>
              <w:t>s</w:t>
            </w:r>
            <w:r w:rsidRPr="00DF00E7">
              <w:rPr>
                <w:rStyle w:val="Siln"/>
                <w:rFonts w:asciiTheme="minorHAnsi" w:hAnsiTheme="minorHAnsi" w:cstheme="minorHAnsi"/>
                <w:b w:val="0"/>
                <w:sz w:val="18"/>
                <w:szCs w:val="18"/>
              </w:rPr>
              <w:t>míšené krajinné všeobecné</w:t>
            </w:r>
          </w:p>
        </w:tc>
      </w:tr>
      <w:tr w:rsidR="00E54F2D" w:rsidRPr="00DF00E7" w14:paraId="3B8E577E" w14:textId="77777777" w:rsidTr="00347D79">
        <w:tc>
          <w:tcPr>
            <w:tcW w:w="1134" w:type="dxa"/>
          </w:tcPr>
          <w:p w14:paraId="07174E2A" w14:textId="6F1123B2" w:rsidR="00E54F2D" w:rsidRPr="00DF00E7" w:rsidRDefault="00E54F2D" w:rsidP="003A3351">
            <w:pPr>
              <w:pStyle w:val="Bezmezer"/>
              <w:rPr>
                <w:rFonts w:asciiTheme="minorHAnsi" w:hAnsiTheme="minorHAnsi" w:cstheme="minorHAnsi"/>
                <w:sz w:val="18"/>
                <w:szCs w:val="18"/>
              </w:rPr>
            </w:pPr>
            <w:r>
              <w:rPr>
                <w:rFonts w:asciiTheme="minorHAnsi" w:hAnsiTheme="minorHAnsi" w:cstheme="minorHAnsi"/>
                <w:sz w:val="18"/>
                <w:szCs w:val="18"/>
              </w:rPr>
              <w:t>GU</w:t>
            </w:r>
          </w:p>
        </w:tc>
        <w:tc>
          <w:tcPr>
            <w:tcW w:w="6237" w:type="dxa"/>
          </w:tcPr>
          <w:p w14:paraId="241E5ACE" w14:textId="373F6C2A" w:rsidR="00E54F2D" w:rsidRDefault="00E54F2D" w:rsidP="003A3351">
            <w:pPr>
              <w:pStyle w:val="Bezmezer"/>
              <w:rPr>
                <w:rStyle w:val="Siln"/>
                <w:rFonts w:asciiTheme="minorHAnsi" w:hAnsiTheme="minorHAnsi" w:cstheme="minorHAnsi"/>
                <w:b w:val="0"/>
                <w:sz w:val="18"/>
                <w:szCs w:val="18"/>
              </w:rPr>
            </w:pPr>
            <w:r>
              <w:rPr>
                <w:rStyle w:val="Siln"/>
                <w:rFonts w:asciiTheme="minorHAnsi" w:hAnsiTheme="minorHAnsi" w:cstheme="minorHAnsi"/>
                <w:b w:val="0"/>
                <w:sz w:val="18"/>
                <w:szCs w:val="18"/>
              </w:rPr>
              <w:t>těžba všeobecná</w:t>
            </w:r>
          </w:p>
        </w:tc>
      </w:tr>
    </w:tbl>
    <w:bookmarkEnd w:id="106"/>
    <w:p w14:paraId="0F9C0D9C" w14:textId="77777777" w:rsidR="00347D79" w:rsidRPr="00DF00E7" w:rsidRDefault="00347D79" w:rsidP="00347D79">
      <w:r w:rsidRPr="00DF00E7">
        <w:t>Pro využití území jsou stanoveny základní podmínky využití, které jsou platné pro využití všech ploch s rozdílným způsobem využití, pokud není v konkrétní ploše s rozdílným způsobem využití uvedeno jinak.</w:t>
      </w:r>
    </w:p>
    <w:p w14:paraId="70C2C248" w14:textId="77777777" w:rsidR="00347D79" w:rsidRPr="00DF00E7" w:rsidRDefault="00347D79">
      <w:pPr>
        <w:pStyle w:val="normalni-cisla"/>
        <w:numPr>
          <w:ilvl w:val="0"/>
          <w:numId w:val="21"/>
        </w:numPr>
        <w:ind w:left="709"/>
      </w:pPr>
      <w:r w:rsidRPr="00BB300D">
        <w:t>Podmínka návaznosti řeší vztahy území a dopad významných ploch a prostranství na strukturu. Návaznost upřesňuje podmínky využití a uspořádání pro řešené pozemky ve vztahu zejména k veřejným prostranstvím, nebo jinak specifikovaným plochám, a je</w:t>
      </w:r>
      <w:r w:rsidRPr="00DF00E7">
        <w:t xml:space="preserve"> podmíněna nutným stykem s hranicí určené plochy, ať už bodem či linií. Návazností územní plán umožňuje umístit vybavení podle jeho významu a zajišťuje ochranu a rozvoj charakteru, který se odvíjí od jader nebo těžišť sídla.</w:t>
      </w:r>
    </w:p>
    <w:p w14:paraId="7AA42F3A" w14:textId="77777777" w:rsidR="00347D79" w:rsidRPr="00DF00E7" w:rsidRDefault="00347D79">
      <w:pPr>
        <w:pStyle w:val="normalni-cisla"/>
        <w:numPr>
          <w:ilvl w:val="0"/>
          <w:numId w:val="21"/>
        </w:numPr>
        <w:ind w:left="709"/>
      </w:pPr>
      <w:r w:rsidRPr="00DF00E7">
        <w:lastRenderedPageBreak/>
        <w:t>Vymezení žádné plochy nemůže zrušit stávající povolené využití pozemku nebo objektu. Např. pokud se v ploše přírodní pobytové nachází zkolaudovaná stavba rodinného domu pro trvalé bydlení, plocha ji nemůže zrušit ani zamezit nezbytné údržbě, není ale možné realizovat přístavbu nebo jiné rozšíření stávající stavby.</w:t>
      </w:r>
    </w:p>
    <w:p w14:paraId="07B4B3A4" w14:textId="77777777" w:rsidR="00347D79" w:rsidRDefault="00347D79">
      <w:pPr>
        <w:pStyle w:val="normalni-cisla"/>
        <w:numPr>
          <w:ilvl w:val="0"/>
          <w:numId w:val="21"/>
        </w:numPr>
        <w:ind w:left="709"/>
      </w:pPr>
      <w:r w:rsidRPr="00DF00E7">
        <w:t>Přiměřené nebo obvyklé rozsahem je takové využití nebo činnost v území nebo v lokalitě, které je v území nebo lokalitě stávající, ve smyslu akceptování současného stavu využití včetně případných dopadů na okolí (např. zápach ze zemědělské činnosti).</w:t>
      </w:r>
    </w:p>
    <w:p w14:paraId="3A5C5FE3" w14:textId="193788BE" w:rsidR="00347D79" w:rsidRDefault="00347D79">
      <w:pPr>
        <w:pStyle w:val="normalni-cisla"/>
        <w:numPr>
          <w:ilvl w:val="0"/>
          <w:numId w:val="21"/>
        </w:numPr>
        <w:ind w:left="709"/>
      </w:pPr>
      <w:r>
        <w:t xml:space="preserve">Podmínka nepřípustnosti </w:t>
      </w:r>
      <w:r w:rsidRPr="00310951">
        <w:t>areál</w:t>
      </w:r>
      <w:r>
        <w:t>ů</w:t>
      </w:r>
      <w:r w:rsidRPr="00310951">
        <w:t xml:space="preserve"> logistick</w:t>
      </w:r>
      <w:r>
        <w:t>ých</w:t>
      </w:r>
      <w:r w:rsidRPr="00310951">
        <w:t>, plynár</w:t>
      </w:r>
      <w:r>
        <w:t>en</w:t>
      </w:r>
      <w:r w:rsidRPr="00310951">
        <w:t>, teplár</w:t>
      </w:r>
      <w:r>
        <w:t>en</w:t>
      </w:r>
      <w:r w:rsidRPr="00310951">
        <w:t>, sklád</w:t>
      </w:r>
      <w:r>
        <w:t>ek</w:t>
      </w:r>
      <w:r w:rsidRPr="00310951">
        <w:t xml:space="preserve"> odpadu, spalov</w:t>
      </w:r>
      <w:r>
        <w:t>en</w:t>
      </w:r>
      <w:r w:rsidRPr="00310951">
        <w:t>, zařízení pro těžbu nerostů</w:t>
      </w:r>
      <w:r>
        <w:t>, reklamních ploch</w:t>
      </w:r>
      <w:r w:rsidR="002A4B3A">
        <w:t xml:space="preserve">, </w:t>
      </w:r>
      <w:r w:rsidR="002A4B3A" w:rsidRPr="00310951">
        <w:t>fotovoltaick</w:t>
      </w:r>
      <w:r w:rsidR="002A4B3A">
        <w:t>ý</w:t>
      </w:r>
      <w:r w:rsidR="002055AA">
        <w:t>ch</w:t>
      </w:r>
      <w:r w:rsidR="002A4B3A">
        <w:t xml:space="preserve"> a </w:t>
      </w:r>
      <w:r w:rsidR="002A4B3A">
        <w:t xml:space="preserve">větrných </w:t>
      </w:r>
      <w:r w:rsidR="002A4B3A" w:rsidRPr="00310951">
        <w:t>elektrár</w:t>
      </w:r>
      <w:r w:rsidR="002A4B3A">
        <w:t>en</w:t>
      </w:r>
      <w:r w:rsidR="002A4B3A" w:rsidRPr="00310951">
        <w:t xml:space="preserve"> </w:t>
      </w:r>
      <w:r w:rsidR="002A4B3A">
        <w:t xml:space="preserve">a bateriových úložišť </w:t>
      </w:r>
      <w:r w:rsidRPr="00310951">
        <w:t>mimo zastavěné území a zastavitelné plochy</w:t>
      </w:r>
      <w:r>
        <w:t xml:space="preserve"> je stanovena z důvodu nesouladu takových staveb a</w:t>
      </w:r>
      <w:r w:rsidR="00BB300D">
        <w:t> </w:t>
      </w:r>
      <w:r>
        <w:t>zařízení s cílovým charakterem území obce tak, jak je uložen</w:t>
      </w:r>
      <w:r w:rsidR="003B6EB5">
        <w:t>o</w:t>
      </w:r>
      <w:r>
        <w:t xml:space="preserve"> jej zadání</w:t>
      </w:r>
      <w:r w:rsidR="003B6EB5">
        <w:t>m</w:t>
      </w:r>
      <w:r>
        <w:t xml:space="preserve"> územního plánu chránit a</w:t>
      </w:r>
      <w:r w:rsidR="003B6EB5">
        <w:t> </w:t>
      </w:r>
      <w:r>
        <w:t>posilovat</w:t>
      </w:r>
      <w:r w:rsidR="002055AA">
        <w:t xml:space="preserve">. Charakter obce je zásadním způsobem definován </w:t>
      </w:r>
      <w:r w:rsidR="00DB5D12">
        <w:t>přítomnost</w:t>
      </w:r>
      <w:r w:rsidR="002055AA">
        <w:t>í</w:t>
      </w:r>
      <w:r w:rsidR="00DB5D12">
        <w:t xml:space="preserve"> celého správního území obce v přírodním parku Údolí Bystřice</w:t>
      </w:r>
      <w:r w:rsidR="002055AA">
        <w:t xml:space="preserve"> s morfologicky bohatou krajinou Bystřice a jejích přítoků</w:t>
      </w:r>
      <w:r>
        <w:t>.</w:t>
      </w:r>
      <w:r w:rsidR="002055AA">
        <w:t xml:space="preserve"> Členitost krajiny a její pohledová exponovanost je významným limitem umisťování ploch pro FVE a VTE do volné krajiny. Umisťování těchto zařízení do volné krajiny by narušovalo hodnotný krajinný ráz území a harmonický vztah osídlení a volné krajiny. Zároveň vyšší polohy svahů údolí Bystřice významně vstupují do panoramatu obce z cestní sítě v krajině a rekreačních tras. Ochrana hodnotného krajinného rázů je zásadní i s ohledem na blízkost Svatého Kopečku a jeho krajinného okolí.</w:t>
      </w:r>
    </w:p>
    <w:p w14:paraId="55D69DD8" w14:textId="77777777" w:rsidR="00347D79" w:rsidRDefault="00347D79" w:rsidP="008A41F9">
      <w:pPr>
        <w:pStyle w:val="Nadpis5"/>
      </w:pPr>
      <w:r>
        <w:t>Podmínky ploch s rozdílným způsobem využití</w:t>
      </w:r>
    </w:p>
    <w:p w14:paraId="25724222" w14:textId="77777777" w:rsidR="00347D79" w:rsidRPr="0085339C" w:rsidRDefault="00347D79" w:rsidP="00347D79">
      <w:pPr>
        <w:rPr>
          <w:b/>
          <w:bCs/>
        </w:rPr>
      </w:pPr>
      <w:r w:rsidRPr="0085339C">
        <w:rPr>
          <w:b/>
          <w:bCs/>
        </w:rPr>
        <w:t>Polyfunkční charakter ploch s rozdílným způsobem využití</w:t>
      </w:r>
    </w:p>
    <w:p w14:paraId="2B5FE3F3" w14:textId="2D29C3C2" w:rsidR="00347D79" w:rsidRDefault="00347D79" w:rsidP="00347D79">
      <w:r w:rsidRPr="005C46C4">
        <w:t>Součástí základních principů urbanistické koncepce je ochrana polyfunkčního charakteru města včetně zajištění přiměné míry polyfunkčnosti ploch RZV. V</w:t>
      </w:r>
      <w:r>
        <w:t> </w:t>
      </w:r>
      <w:r w:rsidRPr="005C46C4">
        <w:t>urbanistické koncepci je stanoven</w:t>
      </w:r>
      <w:r>
        <w:t>a podmínka „</w:t>
      </w:r>
      <w:r w:rsidR="00E813E9">
        <w:t>c</w:t>
      </w:r>
      <w:r w:rsidR="00E813E9" w:rsidRPr="00E813E9">
        <w:t>hránit a</w:t>
      </w:r>
      <w:r w:rsidR="00E813E9">
        <w:t> </w:t>
      </w:r>
      <w:r w:rsidR="00E813E9" w:rsidRPr="00E813E9">
        <w:t>rozvíjet charakter soustavy sídel jako polycentrického systému osídlení s jednotlivými místními jádry a občanským vybavením</w:t>
      </w:r>
      <w:r w:rsidRPr="0085339C">
        <w:t>.</w:t>
      </w:r>
      <w:r>
        <w:t xml:space="preserve">“ z důvodu podpory udržitelného rozvoje a stability a životnosti územního plánu jako celku. </w:t>
      </w:r>
    </w:p>
    <w:p w14:paraId="18B8B3B4" w14:textId="77777777" w:rsidR="00347D79" w:rsidRDefault="00347D79" w:rsidP="00347D79">
      <w:r>
        <w:t>Polyfunkční regulace území umožňuje reálné upřesňování využití území jednotlivými záměry v konkrétních lokalitách bez potřeby neustálých změn územního plánu, vše za splnění dalších podmínek územního plánu</w:t>
      </w:r>
    </w:p>
    <w:p w14:paraId="00D2AC61" w14:textId="77777777" w:rsidR="00347D79" w:rsidRDefault="00347D79" w:rsidP="00347D79">
      <w:r w:rsidRPr="00040C21">
        <w:t xml:space="preserve">Plochy s rozdílným způsobem využití jsou </w:t>
      </w:r>
      <w:r>
        <w:t xml:space="preserve">vymezeny </w:t>
      </w:r>
      <w:r w:rsidRPr="00040C21">
        <w:t>v souladu s</w:t>
      </w:r>
      <w:r>
        <w:t> </w:t>
      </w:r>
      <w:r w:rsidRPr="00040C21">
        <w:t>vyhláškou č.</w:t>
      </w:r>
      <w:r>
        <w:t> </w:t>
      </w:r>
      <w:r w:rsidRPr="00040C21">
        <w:t>157/2024 Sb., v platném znění</w:t>
      </w:r>
      <w:r>
        <w:t xml:space="preserve"> (dále jen „Vyhláška“)</w:t>
      </w:r>
      <w:r w:rsidRPr="00040C21">
        <w:t>.</w:t>
      </w:r>
    </w:p>
    <w:p w14:paraId="418D06C1" w14:textId="5CA0B133" w:rsidR="00BB300D" w:rsidRPr="001944B0" w:rsidRDefault="00BB300D">
      <w:pPr>
        <w:pStyle w:val="Odstavecseseznamem"/>
        <w:numPr>
          <w:ilvl w:val="0"/>
          <w:numId w:val="20"/>
        </w:numPr>
        <w:ind w:left="709"/>
        <w:rPr>
          <w:u w:val="single"/>
        </w:rPr>
      </w:pPr>
      <w:r w:rsidRPr="001944B0">
        <w:rPr>
          <w:u w:val="single"/>
        </w:rPr>
        <w:t>Plochy smíšené obytné (</w:t>
      </w:r>
      <w:r>
        <w:rPr>
          <w:u w:val="single"/>
        </w:rPr>
        <w:t xml:space="preserve">SU, </w:t>
      </w:r>
      <w:r w:rsidRPr="001944B0">
        <w:rPr>
          <w:u w:val="single"/>
        </w:rPr>
        <w:t>SV)</w:t>
      </w:r>
    </w:p>
    <w:p w14:paraId="5A48FE5E" w14:textId="5ADE95AB" w:rsidR="00BB300D" w:rsidRDefault="00BB300D" w:rsidP="00BB300D">
      <w:r>
        <w:t xml:space="preserve">Plochy </w:t>
      </w:r>
      <w:r w:rsidR="00371AA5">
        <w:t xml:space="preserve">SU smíšené obytné všeobecné a </w:t>
      </w:r>
      <w:r>
        <w:t xml:space="preserve">SV smíšené obytné venkovské jsou vymezeny dle </w:t>
      </w:r>
      <w:r w:rsidRPr="00F44988">
        <w:t xml:space="preserve">§ </w:t>
      </w:r>
      <w:r w:rsidR="00EC7186">
        <w:t>20</w:t>
      </w:r>
      <w:r>
        <w:t xml:space="preserve"> Vyhlášky. Plochy smíšené obytné jsou vymezeny tam, kde </w:t>
      </w:r>
      <w:r w:rsidRPr="006B497B">
        <w:t>s ohledem na charakter zástavby, její urbanistickou strukturu a způsob jejího využití není účelné členit území na</w:t>
      </w:r>
      <w:r>
        <w:t> </w:t>
      </w:r>
      <w:r w:rsidRPr="006B497B">
        <w:t>plochy bydlení</w:t>
      </w:r>
      <w:r>
        <w:t xml:space="preserve">, </w:t>
      </w:r>
      <w:r w:rsidRPr="006B497B">
        <w:t>občanského vybavení</w:t>
      </w:r>
      <w:r>
        <w:t xml:space="preserve"> a případně jiných souvisejících funkcí.</w:t>
      </w:r>
    </w:p>
    <w:p w14:paraId="07FE803D" w14:textId="7A9E2646" w:rsidR="00005DCE" w:rsidRPr="00411DAB" w:rsidRDefault="00005DCE" w:rsidP="00005DCE">
      <w:r>
        <w:rPr>
          <w:b/>
          <w:bCs/>
        </w:rPr>
        <w:t>Plochy SU</w:t>
      </w:r>
      <w:r>
        <w:t xml:space="preserve"> jsou vymezeny pro smíšené polyfunkční území příměstského charakteru za podpory polyfunkčního rozvoje sídla. Smíšené využití všeobecné představuje vyšší intenzitu využití než plochy smíšené obytné venkovské, agreguje bydlení v bytových a rodinných domech a občanské vybavení a posiluje životnost a udržitelnost příměstských ploch sídla. Občanské vybavení je jedním ze základních způsobů využití plochy a není samostatně vymezován</w:t>
      </w:r>
      <w:r w:rsidR="00E813E9">
        <w:t>o</w:t>
      </w:r>
      <w:r>
        <w:t xml:space="preserve">. </w:t>
      </w:r>
      <w:r w:rsidR="00F46BBD">
        <w:t>A</w:t>
      </w:r>
      <w:r>
        <w:t>reály a plochy občanského vybavení veřejného jsou ve</w:t>
      </w:r>
      <w:r w:rsidR="00F46BBD">
        <w:t> </w:t>
      </w:r>
      <w:r>
        <w:t>vlastnictví obce a jsou podmíněny náhradou při jejich případném rušené nebo re</w:t>
      </w:r>
      <w:r w:rsidR="00DB7996">
        <w:t>organizaci.</w:t>
      </w:r>
    </w:p>
    <w:p w14:paraId="3D533756" w14:textId="79816B65" w:rsidR="00BB300D" w:rsidRPr="00411DAB" w:rsidRDefault="00BB300D" w:rsidP="00BB300D">
      <w:r>
        <w:rPr>
          <w:b/>
          <w:bCs/>
        </w:rPr>
        <w:t>Plochy SV</w:t>
      </w:r>
      <w:r>
        <w:t xml:space="preserve"> jsou vymezeny pro smíšené polyfunkční území venkovského charakteru pro stabilizaci venkovského charakteru za podpory polyfunkčního rozvoje sídla. Smíšené využití posiluje životnost a</w:t>
      </w:r>
      <w:r w:rsidR="00A92E10">
        <w:t> </w:t>
      </w:r>
      <w:r>
        <w:t>udržitelnost venkovských ploch, které přirozeně tradičně agregují bydlení, hospodaření, podnikání a vybavení.</w:t>
      </w:r>
      <w:r w:rsidR="00F46BBD">
        <w:t xml:space="preserve"> Areály a plochy občanského vybavení veřejného jsou ve vlastnictví obce a jsou podmíněny náhradou při jejich případném rušené nebo reorganizaci.</w:t>
      </w:r>
    </w:p>
    <w:p w14:paraId="54FAE629" w14:textId="279212FE" w:rsidR="00347D79" w:rsidRPr="0085339C" w:rsidRDefault="00347D79">
      <w:pPr>
        <w:pStyle w:val="Odstavecseseznamem"/>
        <w:numPr>
          <w:ilvl w:val="0"/>
          <w:numId w:val="20"/>
        </w:numPr>
        <w:ind w:left="709"/>
        <w:rPr>
          <w:u w:val="single"/>
        </w:rPr>
      </w:pPr>
      <w:r w:rsidRPr="0085339C">
        <w:rPr>
          <w:u w:val="single"/>
        </w:rPr>
        <w:t>Plochy občanského vybavení (OS</w:t>
      </w:r>
      <w:r w:rsidR="00371AA5">
        <w:rPr>
          <w:u w:val="single"/>
        </w:rPr>
        <w:t>, OH</w:t>
      </w:r>
      <w:r w:rsidRPr="0085339C">
        <w:rPr>
          <w:u w:val="single"/>
        </w:rPr>
        <w:t>)</w:t>
      </w:r>
    </w:p>
    <w:p w14:paraId="385C943A" w14:textId="4F2EB567" w:rsidR="00347D79" w:rsidRDefault="00347D79" w:rsidP="00347D79">
      <w:r>
        <w:t xml:space="preserve">Plochy OS (občanské vybavení – sport) jsou vymezeny dle </w:t>
      </w:r>
      <w:r w:rsidRPr="00F44988">
        <w:t xml:space="preserve">§ </w:t>
      </w:r>
      <w:r w:rsidR="00EC7186">
        <w:t>17</w:t>
      </w:r>
      <w:r>
        <w:t xml:space="preserve"> Vyhlášky.</w:t>
      </w:r>
    </w:p>
    <w:p w14:paraId="56B22F8C" w14:textId="77777777" w:rsidR="00347D79" w:rsidRDefault="00347D79" w:rsidP="00347D79">
      <w:r w:rsidRPr="004C4569">
        <w:rPr>
          <w:b/>
          <w:bCs/>
        </w:rPr>
        <w:t>Plochy OS</w:t>
      </w:r>
      <w:r>
        <w:t xml:space="preserve"> jsou vymezeny pro sportovní plochy a areály stavebního charakteru.</w:t>
      </w:r>
    </w:p>
    <w:p w14:paraId="26C569B5" w14:textId="6AE9F3BD" w:rsidR="00EC7186" w:rsidRDefault="00EC7186" w:rsidP="00EC7186">
      <w:r w:rsidRPr="004C4569">
        <w:rPr>
          <w:b/>
          <w:bCs/>
        </w:rPr>
        <w:t>Plochy O</w:t>
      </w:r>
      <w:r>
        <w:rPr>
          <w:b/>
          <w:bCs/>
        </w:rPr>
        <w:t>H</w:t>
      </w:r>
      <w:r>
        <w:t xml:space="preserve"> jsou vymezeny pro areál hřbitova.</w:t>
      </w:r>
    </w:p>
    <w:p w14:paraId="55154923" w14:textId="0B46E1BD" w:rsidR="00347D79" w:rsidRPr="0085339C" w:rsidRDefault="00347D79">
      <w:pPr>
        <w:pStyle w:val="Odstavecseseznamem"/>
        <w:numPr>
          <w:ilvl w:val="0"/>
          <w:numId w:val="20"/>
        </w:numPr>
        <w:ind w:left="709"/>
        <w:rPr>
          <w:u w:val="single"/>
        </w:rPr>
      </w:pPr>
      <w:r w:rsidRPr="0085339C">
        <w:rPr>
          <w:u w:val="single"/>
        </w:rPr>
        <w:t>Plochy rekreace (</w:t>
      </w:r>
      <w:r w:rsidR="001D7DCE">
        <w:rPr>
          <w:u w:val="single"/>
        </w:rPr>
        <w:t xml:space="preserve">RX, </w:t>
      </w:r>
      <w:r>
        <w:rPr>
          <w:u w:val="single"/>
        </w:rPr>
        <w:t xml:space="preserve">RI, </w:t>
      </w:r>
      <w:r w:rsidR="001D7DCE">
        <w:rPr>
          <w:u w:val="single"/>
        </w:rPr>
        <w:t>RZ</w:t>
      </w:r>
      <w:r w:rsidRPr="0085339C">
        <w:rPr>
          <w:u w:val="single"/>
        </w:rPr>
        <w:t>)</w:t>
      </w:r>
    </w:p>
    <w:p w14:paraId="2CA3AA71" w14:textId="6DA99D7B" w:rsidR="00347D79" w:rsidRDefault="00347D79" w:rsidP="00347D79">
      <w:r>
        <w:t xml:space="preserve">Plochy </w:t>
      </w:r>
      <w:r w:rsidR="001D7DCE">
        <w:t>RX (</w:t>
      </w:r>
      <w:r w:rsidR="001D7DCE">
        <w:rPr>
          <w:rFonts w:asciiTheme="minorHAnsi" w:hAnsiTheme="minorHAnsi" w:cstheme="minorHAnsi"/>
          <w:szCs w:val="18"/>
        </w:rPr>
        <w:t>rekreace jiná – rekreační areály</w:t>
      </w:r>
      <w:r w:rsidR="001D7DCE">
        <w:t>), RI (</w:t>
      </w:r>
      <w:r w:rsidR="001D7DCE" w:rsidRPr="00D734F0">
        <w:rPr>
          <w:rFonts w:asciiTheme="minorHAnsi" w:hAnsiTheme="minorHAnsi" w:cstheme="minorHAnsi"/>
          <w:szCs w:val="18"/>
        </w:rPr>
        <w:t>rekreace individuální</w:t>
      </w:r>
      <w:r w:rsidR="001D7DCE">
        <w:t xml:space="preserve"> ) a </w:t>
      </w:r>
      <w:r>
        <w:t xml:space="preserve">RZ (rekreace – zahrádkářské osady) jsou vymezeny dle </w:t>
      </w:r>
      <w:r w:rsidRPr="00F44988">
        <w:t xml:space="preserve">§ </w:t>
      </w:r>
      <w:r w:rsidR="00751A3C">
        <w:t>16</w:t>
      </w:r>
      <w:r>
        <w:t xml:space="preserve"> Vyhlášky.</w:t>
      </w:r>
    </w:p>
    <w:p w14:paraId="5CB6CE7E" w14:textId="483BCF42" w:rsidR="000732BE" w:rsidRDefault="000732BE" w:rsidP="000732BE">
      <w:r w:rsidRPr="004C4569">
        <w:rPr>
          <w:b/>
          <w:bCs/>
        </w:rPr>
        <w:t>Plochy R</w:t>
      </w:r>
      <w:r>
        <w:rPr>
          <w:b/>
          <w:bCs/>
        </w:rPr>
        <w:t>X</w:t>
      </w:r>
      <w:r>
        <w:t xml:space="preserve"> jsou vymezeny pro rekreační areály nadmístního významu, areály pro zimní sporty Hlubočky a</w:t>
      </w:r>
      <w:r w:rsidR="00094FC2">
        <w:t> </w:t>
      </w:r>
      <w:r>
        <w:t>Hrubá Voda a letní rekreační areál Mariánské Údolí (biotop).</w:t>
      </w:r>
    </w:p>
    <w:p w14:paraId="1DCE8C04" w14:textId="5FC10026" w:rsidR="00347D79" w:rsidRDefault="00347D79" w:rsidP="00347D79">
      <w:r w:rsidRPr="004C4569">
        <w:rPr>
          <w:b/>
          <w:bCs/>
        </w:rPr>
        <w:t>Plochy R</w:t>
      </w:r>
      <w:r>
        <w:rPr>
          <w:b/>
          <w:bCs/>
        </w:rPr>
        <w:t>I</w:t>
      </w:r>
      <w:r>
        <w:t xml:space="preserve"> jsou vymezeny pro stabilizované plochy individuální rekreace.</w:t>
      </w:r>
    </w:p>
    <w:p w14:paraId="2A0CB70F" w14:textId="11764C1A" w:rsidR="00021EE7" w:rsidRDefault="00021EE7" w:rsidP="00021EE7">
      <w:r w:rsidRPr="004C4569">
        <w:rPr>
          <w:b/>
          <w:bCs/>
        </w:rPr>
        <w:lastRenderedPageBreak/>
        <w:t>Plochy R</w:t>
      </w:r>
      <w:r>
        <w:rPr>
          <w:b/>
          <w:bCs/>
        </w:rPr>
        <w:t>Z</w:t>
      </w:r>
      <w:r>
        <w:t xml:space="preserve"> jsou vymezeny pro stabilizované plochy rekreace v zahrádkových osadách, kde není s ohledem na limity veřejné infrastruktury a přítomnost v hodnotném přírodním území účelný rozvoj jejich intenzivnější</w:t>
      </w:r>
      <w:r w:rsidR="00496BF9">
        <w:t>ho</w:t>
      </w:r>
      <w:r>
        <w:t xml:space="preserve"> využití, např. pro rodinnou rekreaci.</w:t>
      </w:r>
      <w:r w:rsidR="00203D72">
        <w:t xml:space="preserve"> Stávající stavby pro rodinnou rekreaci jsou přípustné bez možnosti přístaveb a nástaveb.</w:t>
      </w:r>
    </w:p>
    <w:p w14:paraId="7D76B60F" w14:textId="2295CFFB" w:rsidR="00347D79" w:rsidRPr="00F3444B" w:rsidRDefault="00347D79">
      <w:pPr>
        <w:pStyle w:val="Odstavecseseznamem"/>
        <w:numPr>
          <w:ilvl w:val="0"/>
          <w:numId w:val="20"/>
        </w:numPr>
        <w:ind w:left="709"/>
        <w:rPr>
          <w:u w:val="single"/>
        </w:rPr>
      </w:pPr>
      <w:r w:rsidRPr="00F3444B">
        <w:rPr>
          <w:u w:val="single"/>
        </w:rPr>
        <w:t>Plochy veřejných prostranství (PU, PU.v)</w:t>
      </w:r>
    </w:p>
    <w:p w14:paraId="4E335D34" w14:textId="10814960" w:rsidR="00347D79" w:rsidRDefault="00347D79" w:rsidP="00347D79">
      <w:r>
        <w:t>Plochy PU (</w:t>
      </w:r>
      <w:r w:rsidRPr="00B4206F">
        <w:t>veřejných prostranství všeobecných</w:t>
      </w:r>
      <w:r>
        <w:t xml:space="preserve">) včetně jejich typů jsou vymezeny dle </w:t>
      </w:r>
      <w:r w:rsidRPr="00F44988">
        <w:t xml:space="preserve">§ </w:t>
      </w:r>
      <w:r w:rsidR="00B43D3C">
        <w:t>18</w:t>
      </w:r>
      <w:r>
        <w:t xml:space="preserve"> Vyhlášky.</w:t>
      </w:r>
    </w:p>
    <w:p w14:paraId="238B6231" w14:textId="77777777" w:rsidR="00347D79" w:rsidRDefault="00347D79" w:rsidP="00347D79">
      <w:r w:rsidRPr="004C4569">
        <w:rPr>
          <w:b/>
          <w:bCs/>
        </w:rPr>
        <w:t>Plochy PU</w:t>
      </w:r>
      <w:r>
        <w:t xml:space="preserve"> jsou vymezeny pro veřejná prostranství včetně prostoru místních komunikací v rámci zastavěného území a zastavitelných ploch. Do ploch PU byly zahrnuty i dílčí místní travnaté plochy a parčíky v místních částech, dříve samostatně vymezené jako plochy zeleně, z důvodu flexibility regulace území.</w:t>
      </w:r>
    </w:p>
    <w:p w14:paraId="3542C486" w14:textId="77E154AE" w:rsidR="00347D79" w:rsidRDefault="00347D79" w:rsidP="00347D79">
      <w:r w:rsidRPr="004C4569">
        <w:rPr>
          <w:b/>
          <w:bCs/>
        </w:rPr>
        <w:t>Plochy P</w:t>
      </w:r>
      <w:r>
        <w:rPr>
          <w:b/>
          <w:bCs/>
        </w:rPr>
        <w:t>U.</w:t>
      </w:r>
      <w:r w:rsidR="00B43D3C">
        <w:rPr>
          <w:b/>
          <w:bCs/>
        </w:rPr>
        <w:t>v</w:t>
      </w:r>
      <w:r>
        <w:t xml:space="preserve"> jsou vymezeny pro významná veřejná prostranství, která mají řídící kompoziční a významovou funkci v prostoru sídla, s vyšším důrazem na architektonickou kvalitu řešení a preferenci pěšího pohybu a</w:t>
      </w:r>
      <w:r w:rsidR="00B43D3C">
        <w:t> </w:t>
      </w:r>
      <w:r>
        <w:t>pobytové kvality.</w:t>
      </w:r>
    </w:p>
    <w:p w14:paraId="2C9B9F89" w14:textId="5F20FF45" w:rsidR="00347D79" w:rsidRPr="00024427" w:rsidRDefault="00347D79">
      <w:pPr>
        <w:pStyle w:val="Odstavecseseznamem"/>
        <w:numPr>
          <w:ilvl w:val="0"/>
          <w:numId w:val="20"/>
        </w:numPr>
        <w:ind w:left="709"/>
        <w:rPr>
          <w:u w:val="single"/>
        </w:rPr>
      </w:pPr>
      <w:r w:rsidRPr="00024427">
        <w:rPr>
          <w:u w:val="single"/>
        </w:rPr>
        <w:t xml:space="preserve">Plochy dopravní infrastruktury (DS, </w:t>
      </w:r>
      <w:r w:rsidR="00B43D3C">
        <w:rPr>
          <w:u w:val="single"/>
        </w:rPr>
        <w:t>DD</w:t>
      </w:r>
      <w:r w:rsidRPr="00024427">
        <w:rPr>
          <w:u w:val="single"/>
        </w:rPr>
        <w:t>)</w:t>
      </w:r>
    </w:p>
    <w:p w14:paraId="694417B8" w14:textId="535EFBC3" w:rsidR="00347D79" w:rsidRDefault="00347D79" w:rsidP="00347D79">
      <w:r>
        <w:t xml:space="preserve">Plochy DS (doprava silniční) jsou vymezeny dle </w:t>
      </w:r>
      <w:r w:rsidRPr="00F44988">
        <w:t xml:space="preserve">§ </w:t>
      </w:r>
      <w:r w:rsidR="00B43D3C">
        <w:t>21</w:t>
      </w:r>
      <w:r>
        <w:t xml:space="preserve"> Vyhlášky.</w:t>
      </w:r>
    </w:p>
    <w:p w14:paraId="744EDC96" w14:textId="692AF2B8" w:rsidR="00347D79" w:rsidRDefault="00347D79" w:rsidP="00347D79">
      <w:r w:rsidRPr="004C4569">
        <w:rPr>
          <w:b/>
          <w:bCs/>
        </w:rPr>
        <w:t>Plochy DS</w:t>
      </w:r>
      <w:r>
        <w:t xml:space="preserve"> jsou vymezeny pro silnice, místní a účelové komunikace mimo zastavěné území a zastavitelné plochy a související vybavení.</w:t>
      </w:r>
    </w:p>
    <w:p w14:paraId="3422CFD5" w14:textId="7AC92400" w:rsidR="00B43D3C" w:rsidRDefault="00B43D3C" w:rsidP="00B43D3C">
      <w:r w:rsidRPr="004C4569">
        <w:rPr>
          <w:b/>
          <w:bCs/>
        </w:rPr>
        <w:t>Plochy D</w:t>
      </w:r>
      <w:r>
        <w:rPr>
          <w:b/>
          <w:bCs/>
        </w:rPr>
        <w:t>D</w:t>
      </w:r>
      <w:r>
        <w:t xml:space="preserve"> jsou vymezeny pro plchy a zařízení dráhy. V rámci ploch DD je zajištěn prostor pro realizaci opatření </w:t>
      </w:r>
      <w:r w:rsidRPr="00290DF2">
        <w:t>koridor</w:t>
      </w:r>
      <w:r>
        <w:t>u</w:t>
      </w:r>
      <w:r w:rsidRPr="00290DF2">
        <w:t xml:space="preserve"> D66 pro</w:t>
      </w:r>
      <w:r>
        <w:t xml:space="preserve"> </w:t>
      </w:r>
      <w:r w:rsidRPr="00290DF2">
        <w:t>revitalizaci železniční trati Olomouc – Opava.</w:t>
      </w:r>
    </w:p>
    <w:p w14:paraId="1071522B" w14:textId="77777777" w:rsidR="00347D79" w:rsidRPr="00024427" w:rsidRDefault="00347D79">
      <w:pPr>
        <w:pStyle w:val="Odstavecseseznamem"/>
        <w:numPr>
          <w:ilvl w:val="0"/>
          <w:numId w:val="20"/>
        </w:numPr>
        <w:ind w:left="709"/>
        <w:rPr>
          <w:u w:val="single"/>
        </w:rPr>
      </w:pPr>
      <w:r w:rsidRPr="00024427">
        <w:rPr>
          <w:u w:val="single"/>
        </w:rPr>
        <w:t>Plochy technické infrastruktury (TU)</w:t>
      </w:r>
    </w:p>
    <w:p w14:paraId="6669EFD8" w14:textId="27805AA3" w:rsidR="00347D79" w:rsidRDefault="00347D79" w:rsidP="00347D79">
      <w:r>
        <w:t>Plochy TU (technická infrastruktura všeobecná) jsou</w:t>
      </w:r>
      <w:r w:rsidRPr="001306A6">
        <w:t xml:space="preserve"> </w:t>
      </w:r>
      <w:r>
        <w:t xml:space="preserve">vymezeny dle </w:t>
      </w:r>
      <w:r w:rsidRPr="00F44988">
        <w:t xml:space="preserve">§ </w:t>
      </w:r>
      <w:r w:rsidR="00503A02">
        <w:t>22</w:t>
      </w:r>
      <w:r>
        <w:t xml:space="preserve"> Vyhlášky.</w:t>
      </w:r>
    </w:p>
    <w:p w14:paraId="09232277" w14:textId="77777777" w:rsidR="00347D79" w:rsidRDefault="00347D79" w:rsidP="00347D79">
      <w:r w:rsidRPr="004C4569">
        <w:rPr>
          <w:b/>
          <w:bCs/>
        </w:rPr>
        <w:t>Ploch</w:t>
      </w:r>
      <w:r>
        <w:rPr>
          <w:b/>
          <w:bCs/>
        </w:rPr>
        <w:t>y</w:t>
      </w:r>
      <w:r w:rsidRPr="004C4569">
        <w:rPr>
          <w:b/>
          <w:bCs/>
        </w:rPr>
        <w:t xml:space="preserve"> TU</w:t>
      </w:r>
      <w:r>
        <w:t xml:space="preserve"> je vymezeny pro plošná opatření a stavby technické infrastruktury (ČOV).</w:t>
      </w:r>
    </w:p>
    <w:p w14:paraId="23EDDF69" w14:textId="1FC4E3D4" w:rsidR="00347D79" w:rsidRPr="00024427" w:rsidRDefault="00347D79">
      <w:pPr>
        <w:pStyle w:val="Odstavecseseznamem"/>
        <w:numPr>
          <w:ilvl w:val="0"/>
          <w:numId w:val="20"/>
        </w:numPr>
        <w:ind w:left="709"/>
        <w:rPr>
          <w:u w:val="single"/>
        </w:rPr>
      </w:pPr>
      <w:r w:rsidRPr="00024427">
        <w:rPr>
          <w:u w:val="single"/>
        </w:rPr>
        <w:t>Plochy vodní a vodohospodářské (W</w:t>
      </w:r>
      <w:r w:rsidR="00503A02">
        <w:rPr>
          <w:u w:val="single"/>
        </w:rPr>
        <w:t>U</w:t>
      </w:r>
      <w:r w:rsidRPr="00024427">
        <w:rPr>
          <w:u w:val="single"/>
        </w:rPr>
        <w:t>)</w:t>
      </w:r>
    </w:p>
    <w:p w14:paraId="77A0911D" w14:textId="26BB66AF" w:rsidR="00347D79" w:rsidRDefault="00347D79" w:rsidP="00347D79">
      <w:r>
        <w:t>Plochy W</w:t>
      </w:r>
      <w:r w:rsidR="00503A02">
        <w:t>U</w:t>
      </w:r>
      <w:r>
        <w:t xml:space="preserve"> (</w:t>
      </w:r>
      <w:r w:rsidR="00086364">
        <w:rPr>
          <w:rFonts w:asciiTheme="minorHAnsi" w:hAnsiTheme="minorHAnsi" w:cstheme="minorHAnsi"/>
          <w:szCs w:val="18"/>
        </w:rPr>
        <w:t>v</w:t>
      </w:r>
      <w:r w:rsidR="00086364" w:rsidRPr="00DF00E7">
        <w:rPr>
          <w:rFonts w:asciiTheme="minorHAnsi" w:hAnsiTheme="minorHAnsi" w:cstheme="minorHAnsi"/>
          <w:szCs w:val="18"/>
        </w:rPr>
        <w:t xml:space="preserve">odní a </w:t>
      </w:r>
      <w:r w:rsidR="00086364">
        <w:rPr>
          <w:rFonts w:asciiTheme="minorHAnsi" w:hAnsiTheme="minorHAnsi" w:cstheme="minorHAnsi"/>
          <w:szCs w:val="18"/>
        </w:rPr>
        <w:t>vodohospodářské všeobecné</w:t>
      </w:r>
      <w:r>
        <w:t xml:space="preserve">) jsou vymezeny dle </w:t>
      </w:r>
      <w:r w:rsidRPr="00F44988">
        <w:t xml:space="preserve">§ </w:t>
      </w:r>
      <w:r w:rsidR="00503A02">
        <w:t>25</w:t>
      </w:r>
      <w:r>
        <w:t xml:space="preserve"> Vyhlášky.</w:t>
      </w:r>
    </w:p>
    <w:p w14:paraId="65EBFACC" w14:textId="21302117" w:rsidR="00347D79" w:rsidRDefault="00347D79" w:rsidP="00347D79">
      <w:r w:rsidRPr="004C4569">
        <w:rPr>
          <w:b/>
          <w:bCs/>
        </w:rPr>
        <w:t>Plochy W</w:t>
      </w:r>
      <w:r w:rsidR="00086364">
        <w:rPr>
          <w:b/>
          <w:bCs/>
        </w:rPr>
        <w:t>U</w:t>
      </w:r>
      <w:r>
        <w:t xml:space="preserve"> jsou vymezeny pro stabilizaci vodních toků a ploch.</w:t>
      </w:r>
    </w:p>
    <w:p w14:paraId="2901484A" w14:textId="77777777" w:rsidR="00347D79" w:rsidRPr="00666B84" w:rsidRDefault="00347D79">
      <w:pPr>
        <w:pStyle w:val="Odstavecseseznamem"/>
        <w:numPr>
          <w:ilvl w:val="0"/>
          <w:numId w:val="20"/>
        </w:numPr>
        <w:ind w:left="709"/>
        <w:rPr>
          <w:u w:val="single"/>
        </w:rPr>
      </w:pPr>
      <w:r w:rsidRPr="00666B84">
        <w:rPr>
          <w:u w:val="single"/>
        </w:rPr>
        <w:t>Plochy přírodní (NU)</w:t>
      </w:r>
    </w:p>
    <w:p w14:paraId="313F131A" w14:textId="1088EE9A" w:rsidR="00347D79" w:rsidRDefault="00347D79" w:rsidP="00347D79">
      <w:r>
        <w:t>Plochy NU (přírodní všeobecné) jsou</w:t>
      </w:r>
      <w:r w:rsidRPr="001306A6">
        <w:t xml:space="preserve"> </w:t>
      </w:r>
      <w:r>
        <w:t xml:space="preserve">vymezeny dle </w:t>
      </w:r>
      <w:r w:rsidRPr="00F44988">
        <w:t xml:space="preserve">§ </w:t>
      </w:r>
      <w:r w:rsidR="00503A02">
        <w:t>28</w:t>
      </w:r>
      <w:r>
        <w:t xml:space="preserve"> Vyhlášky.</w:t>
      </w:r>
    </w:p>
    <w:p w14:paraId="5BCCAC94" w14:textId="2E0BD602" w:rsidR="00347D79" w:rsidRDefault="00347D79" w:rsidP="00347D79">
      <w:r w:rsidRPr="00541927">
        <w:rPr>
          <w:b/>
          <w:bCs/>
        </w:rPr>
        <w:t>Ploch</w:t>
      </w:r>
      <w:r>
        <w:rPr>
          <w:b/>
          <w:bCs/>
        </w:rPr>
        <w:t>y</w:t>
      </w:r>
      <w:r w:rsidRPr="00541927">
        <w:rPr>
          <w:b/>
          <w:bCs/>
        </w:rPr>
        <w:t xml:space="preserve"> </w:t>
      </w:r>
      <w:r>
        <w:rPr>
          <w:b/>
          <w:bCs/>
        </w:rPr>
        <w:t>N</w:t>
      </w:r>
      <w:r w:rsidRPr="00541927">
        <w:rPr>
          <w:b/>
          <w:bCs/>
        </w:rPr>
        <w:t>U</w:t>
      </w:r>
      <w:r>
        <w:t xml:space="preserve"> jsou vymezeny pro ochranu přírody a krajiny, zejména biocenter a prostorově souvisejících přírodních ploch a biotopů a rozvoj struktury krajiny </w:t>
      </w:r>
      <w:r w:rsidR="00774767">
        <w:t>údolí Bystřice</w:t>
      </w:r>
      <w:r>
        <w:t>.</w:t>
      </w:r>
    </w:p>
    <w:p w14:paraId="56058554" w14:textId="44FCEE2B" w:rsidR="00347D79" w:rsidRPr="00666B84" w:rsidRDefault="00347D79">
      <w:pPr>
        <w:pStyle w:val="Odstavecseseznamem"/>
        <w:numPr>
          <w:ilvl w:val="0"/>
          <w:numId w:val="20"/>
        </w:numPr>
        <w:ind w:left="709"/>
        <w:rPr>
          <w:u w:val="single"/>
        </w:rPr>
      </w:pPr>
      <w:r w:rsidRPr="00666B84">
        <w:rPr>
          <w:u w:val="single"/>
        </w:rPr>
        <w:t xml:space="preserve">Plochy smíšené </w:t>
      </w:r>
      <w:r w:rsidR="00503A02">
        <w:rPr>
          <w:u w:val="single"/>
        </w:rPr>
        <w:t>krajinné</w:t>
      </w:r>
      <w:r w:rsidRPr="00666B84">
        <w:rPr>
          <w:u w:val="single"/>
        </w:rPr>
        <w:t xml:space="preserve"> (MU)</w:t>
      </w:r>
    </w:p>
    <w:p w14:paraId="2CD8C002" w14:textId="143FC42C" w:rsidR="00347D79" w:rsidRDefault="00347D79" w:rsidP="00347D79">
      <w:r>
        <w:t>Plochy MU (</w:t>
      </w:r>
      <w:r w:rsidRPr="0032085D">
        <w:t xml:space="preserve">smíšené </w:t>
      </w:r>
      <w:r w:rsidR="00503A02">
        <w:t xml:space="preserve">krajinné </w:t>
      </w:r>
      <w:r>
        <w:t>všeobecné) jsou</w:t>
      </w:r>
      <w:r w:rsidRPr="001306A6">
        <w:t xml:space="preserve"> </w:t>
      </w:r>
      <w:r>
        <w:t xml:space="preserve">vymezeny dle </w:t>
      </w:r>
      <w:r w:rsidRPr="00F44988">
        <w:t xml:space="preserve">§ </w:t>
      </w:r>
      <w:r w:rsidR="00503A02">
        <w:t>29</w:t>
      </w:r>
      <w:r>
        <w:t xml:space="preserve"> Vyhlášky.</w:t>
      </w:r>
    </w:p>
    <w:p w14:paraId="28CD3236" w14:textId="124AD410" w:rsidR="006E69EB" w:rsidRDefault="00347D79" w:rsidP="00347D79">
      <w:r w:rsidRPr="00541927">
        <w:rPr>
          <w:b/>
          <w:bCs/>
        </w:rPr>
        <w:t>Ploch</w:t>
      </w:r>
      <w:r>
        <w:rPr>
          <w:b/>
          <w:bCs/>
        </w:rPr>
        <w:t>y</w:t>
      </w:r>
      <w:r w:rsidRPr="00541927">
        <w:rPr>
          <w:b/>
          <w:bCs/>
        </w:rPr>
        <w:t xml:space="preserve"> </w:t>
      </w:r>
      <w:r>
        <w:rPr>
          <w:b/>
          <w:bCs/>
        </w:rPr>
        <w:t>M</w:t>
      </w:r>
      <w:r w:rsidRPr="00541927">
        <w:rPr>
          <w:b/>
          <w:bCs/>
        </w:rPr>
        <w:t>U</w:t>
      </w:r>
      <w:r>
        <w:t xml:space="preserve"> jsou vymezeny pro </w:t>
      </w:r>
      <w:r w:rsidRPr="00CF5980">
        <w:t>zemědělský půdní fond</w:t>
      </w:r>
      <w:r>
        <w:t xml:space="preserve"> včetně podmínek jeho nezemědělského využití.</w:t>
      </w:r>
    </w:p>
    <w:p w14:paraId="30B7600A" w14:textId="77777777" w:rsidR="00094FC2" w:rsidRPr="00666B84" w:rsidRDefault="00094FC2">
      <w:pPr>
        <w:pStyle w:val="Odstavecseseznamem"/>
        <w:numPr>
          <w:ilvl w:val="0"/>
          <w:numId w:val="20"/>
        </w:numPr>
        <w:ind w:left="709"/>
        <w:rPr>
          <w:u w:val="single"/>
        </w:rPr>
      </w:pPr>
      <w:r w:rsidRPr="00666B84">
        <w:rPr>
          <w:u w:val="single"/>
        </w:rPr>
        <w:t xml:space="preserve">Plochy smíšené </w:t>
      </w:r>
      <w:r>
        <w:rPr>
          <w:u w:val="single"/>
        </w:rPr>
        <w:t>krajinné</w:t>
      </w:r>
      <w:r w:rsidRPr="00666B84">
        <w:rPr>
          <w:u w:val="single"/>
        </w:rPr>
        <w:t xml:space="preserve"> (MU)</w:t>
      </w:r>
    </w:p>
    <w:p w14:paraId="05EC2FBC" w14:textId="09F66FF2" w:rsidR="00094FC2" w:rsidRDefault="00094FC2" w:rsidP="00094FC2">
      <w:r>
        <w:t>Plochy GU (těžby všeobecné) jsou</w:t>
      </w:r>
      <w:r w:rsidRPr="001306A6">
        <w:t xml:space="preserve"> </w:t>
      </w:r>
      <w:r>
        <w:t xml:space="preserve">vymezeny dle </w:t>
      </w:r>
      <w:r w:rsidRPr="00F44988">
        <w:t xml:space="preserve">§ </w:t>
      </w:r>
      <w:r>
        <w:t>30 Vyhlášky.</w:t>
      </w:r>
    </w:p>
    <w:p w14:paraId="50EFF971" w14:textId="25930CC1" w:rsidR="00094FC2" w:rsidRDefault="00094FC2" w:rsidP="00094FC2">
      <w:r w:rsidRPr="00541927">
        <w:rPr>
          <w:b/>
          <w:bCs/>
        </w:rPr>
        <w:t>Ploch</w:t>
      </w:r>
      <w:r>
        <w:rPr>
          <w:b/>
          <w:bCs/>
        </w:rPr>
        <w:t>y</w:t>
      </w:r>
      <w:r w:rsidRPr="00541927">
        <w:rPr>
          <w:b/>
          <w:bCs/>
        </w:rPr>
        <w:t xml:space="preserve"> </w:t>
      </w:r>
      <w:r>
        <w:rPr>
          <w:b/>
          <w:bCs/>
        </w:rPr>
        <w:t>G</w:t>
      </w:r>
      <w:r w:rsidRPr="00541927">
        <w:rPr>
          <w:b/>
          <w:bCs/>
        </w:rPr>
        <w:t>U</w:t>
      </w:r>
      <w:r>
        <w:t xml:space="preserve"> jsou vymezeny pro stabilizované plochy těžby lomu Hrubá Voda.</w:t>
      </w:r>
    </w:p>
    <w:p w14:paraId="0B6EB235" w14:textId="77777777" w:rsidR="00094FC2" w:rsidRDefault="00094FC2" w:rsidP="00347D79"/>
    <w:p w14:paraId="619D53A6" w14:textId="0CA7AF13" w:rsidR="00F37C4B" w:rsidRDefault="00F37C4B">
      <w:pPr>
        <w:spacing w:before="0" w:after="0"/>
        <w:ind w:left="0"/>
        <w:jc w:val="left"/>
      </w:pPr>
      <w:r>
        <w:br w:type="page"/>
      </w:r>
    </w:p>
    <w:p w14:paraId="3A2A67CA" w14:textId="7C49D99E" w:rsidR="00F37C4B" w:rsidRDefault="00F37C4B" w:rsidP="008A41F9">
      <w:pPr>
        <w:pStyle w:val="Nadpis4"/>
      </w:pPr>
      <w:r>
        <w:lastRenderedPageBreak/>
        <w:t>Podmínky prostorového uspořádání</w:t>
      </w:r>
    </w:p>
    <w:p w14:paraId="07DC8102" w14:textId="77777777" w:rsidR="00F37C4B" w:rsidRDefault="00F37C4B" w:rsidP="008A41F9">
      <w:pPr>
        <w:pStyle w:val="Nadpis5"/>
      </w:pPr>
      <w:r w:rsidRPr="00310951">
        <w:t>Obecné podmínky prostorového uspořádání</w:t>
      </w:r>
    </w:p>
    <w:p w14:paraId="2EDC1710" w14:textId="62A98A1B" w:rsidR="00094FC2" w:rsidRPr="00094FC2" w:rsidRDefault="00094FC2" w:rsidP="00094FC2">
      <w:pPr>
        <w:pStyle w:val="Nadpis6"/>
      </w:pPr>
      <w:r>
        <w:t>Členění podmínek prostorového uspořádání</w:t>
      </w:r>
    </w:p>
    <w:p w14:paraId="314DEE4A" w14:textId="77777777" w:rsidR="00F37C4B" w:rsidRDefault="00F37C4B" w:rsidP="00F37C4B">
      <w:r w:rsidRPr="00DF00E7">
        <w:t>Lokalita je část území obce vymezená na základě podobného charakteru a</w:t>
      </w:r>
      <w:r>
        <w:t> </w:t>
      </w:r>
      <w:r w:rsidRPr="00DF00E7">
        <w:t>prostorového uspořádání. Je tak dosaženo podpory prostorového charakteru jednotlivých části území obce.</w:t>
      </w:r>
    </w:p>
    <w:p w14:paraId="13E79C11" w14:textId="2194AB2B" w:rsidR="00094FC2" w:rsidRPr="00DF00E7" w:rsidRDefault="00094FC2" w:rsidP="00F37C4B">
      <w:r w:rsidRPr="00094FC2">
        <w:t>Charakter lokality je stanoven dle převažujícího cílového charakteru území. Charakter území je stanoven jako cílový a je naplněním urbanistické koncepce. Charakter lokalit byl stanoven na základě doplňujících průzkumů a rozborů, místních šetření a terénních průzkumů.</w:t>
      </w:r>
    </w:p>
    <w:p w14:paraId="15BB4814" w14:textId="77777777" w:rsidR="00F37C4B" w:rsidRPr="00DF00E7" w:rsidRDefault="00F37C4B" w:rsidP="00F37C4B">
      <w:r w:rsidRPr="00DF00E7">
        <w:t>Lokalita může být vymezená napříč zastavěným, zastavitelným a nezastavěným území obce. Je tak docíleno komplexního vnímání prostorového charakteru části, která je uceleným celkem složeným z těchto typů území.</w:t>
      </w:r>
    </w:p>
    <w:p w14:paraId="4CC8EDC6" w14:textId="77777777" w:rsidR="00F37C4B" w:rsidRPr="00DF00E7" w:rsidRDefault="00F37C4B" w:rsidP="00F37C4B">
      <w:r w:rsidRPr="00DF00E7">
        <w:t xml:space="preserve">Podmínky dané lokality jsou stanoveny pro zástavbu i přírodní prvky a jsou děleny na dvě základní skupiny – podmínky prvků a podmínky uspořádaní. </w:t>
      </w:r>
    </w:p>
    <w:p w14:paraId="53569BD8" w14:textId="77777777" w:rsidR="00F37C4B" w:rsidRPr="00DF00E7" w:rsidRDefault="00F37C4B" w:rsidP="00F37C4B">
      <w:r w:rsidRPr="00DF00E7">
        <w:t>Podmínky lokality podporují (chrání hodnoty lokality), mění (definuje hodnoty vhodné k podpoře v dalším rozvoji) nebo vytváří cílový charakter (vytváří předpoklad na vznik nových hodnot) prostorového uspořádání území dle</w:t>
      </w:r>
      <w:r>
        <w:t> </w:t>
      </w:r>
      <w:r w:rsidRPr="00DF00E7">
        <w:t>koncepce územního plánu.</w:t>
      </w:r>
    </w:p>
    <w:p w14:paraId="3CA5A248" w14:textId="77777777" w:rsidR="00F37C4B" w:rsidRPr="00DF00E7" w:rsidRDefault="00F37C4B" w:rsidP="00F37C4B">
      <w:r w:rsidRPr="00310951">
        <w:t xml:space="preserve">Specifické podmínky se vztahují k vybrané ploše nebo prvku a jsou vyznačeny </w:t>
      </w:r>
      <w:r w:rsidRPr="00310951">
        <w:rPr>
          <w:b/>
          <w:bCs/>
          <w:u w:val="single"/>
        </w:rPr>
        <w:t>tučným podtrženým písmem</w:t>
      </w:r>
      <w:r w:rsidRPr="00310951">
        <w:t>. Pro tyto plochy nebo prvky platí uvedené podmínky, které jsou nadřazeny základním podmínkám platným pro celou lokalitu a doplňují je nebo v případě stejné kategorie podmínky je nahrazují.</w:t>
      </w:r>
      <w:r>
        <w:t xml:space="preserve"> </w:t>
      </w:r>
      <w:r w:rsidRPr="00310951">
        <w:t xml:space="preserve">Specifické podmínky </w:t>
      </w:r>
      <w:r>
        <w:t>stanovují</w:t>
      </w:r>
      <w:r w:rsidRPr="00DF00E7">
        <w:t xml:space="preserve"> podmínky pro situace, které jsou v území lokality atypické.</w:t>
      </w:r>
    </w:p>
    <w:p w14:paraId="394F84D1" w14:textId="77777777" w:rsidR="00F37C4B" w:rsidRPr="00DF00E7" w:rsidRDefault="00F37C4B" w:rsidP="00F37C4B">
      <w:r w:rsidRPr="00DF00E7">
        <w:t>Návaznost pozemku vzniká stykem s hranicí určené plochy, ať už bodem či</w:t>
      </w:r>
      <w:r>
        <w:t> </w:t>
      </w:r>
      <w:r w:rsidRPr="00DF00E7">
        <w:t>linií. Bodem je myšleno bodem hranice pozemku, například v rohové poloze pozemku. Linií je myšleno částí hranice pozemku, například jeho jednou stranou nebo její částí.</w:t>
      </w:r>
    </w:p>
    <w:p w14:paraId="3AA7058A" w14:textId="77777777" w:rsidR="00F37C4B" w:rsidRPr="00DF00E7" w:rsidRDefault="00F37C4B" w:rsidP="00F37C4B">
      <w:r w:rsidRPr="00DF00E7">
        <w:t>Návaznosti pozemku řeší vztahy území a dopad významných ploch a</w:t>
      </w:r>
      <w:r>
        <w:t> </w:t>
      </w:r>
      <w:r w:rsidRPr="00DF00E7">
        <w:t>prostranství na strukturu v rovině možné zátěže a uspořádání vytvořené zástavbou lokality</w:t>
      </w:r>
      <w:r>
        <w:t>,</w:t>
      </w:r>
      <w:r w:rsidRPr="00DF00E7">
        <w:t xml:space="preserve"> nebo současné zátěže a uspořádání. Návaznost pozemku upřesňuje uspořádání pro dotčené pozemky </w:t>
      </w:r>
      <w:r>
        <w:t xml:space="preserve">zejména </w:t>
      </w:r>
      <w:r w:rsidRPr="00DF00E7">
        <w:t>ve vztahu k veřejným prostranstvím, nebo jinak specifikovaným plochám.</w:t>
      </w:r>
    </w:p>
    <w:p w14:paraId="348C6124" w14:textId="77777777" w:rsidR="00F37C4B" w:rsidRPr="00DF00E7" w:rsidRDefault="00F37C4B" w:rsidP="00F37C4B">
      <w:r w:rsidRPr="00DF00E7">
        <w:t>Při návaznosti pozemku na více ploch, které mají výrazný dopad na charakter lokality i celku, platí podmínky pro nadřazenou plochu, pokud není uvedeno jinak. Pokud není návaznost specifikována, platí podmínky pro celé území lokality.</w:t>
      </w:r>
    </w:p>
    <w:p w14:paraId="08776C09" w14:textId="0B93E424" w:rsidR="00F37C4B" w:rsidRPr="00DF00E7" w:rsidRDefault="00F37C4B" w:rsidP="00F37C4B">
      <w:r w:rsidRPr="00DF00E7">
        <w:t>Nadřazenou plochou k ploše veřejného prostranství všeobecného (PU) je plocha veřejného prostranství všeobecného – v</w:t>
      </w:r>
      <w:r w:rsidR="00554967">
        <w:t>ýznamného</w:t>
      </w:r>
      <w:r w:rsidRPr="00DF00E7">
        <w:t xml:space="preserve"> (P</w:t>
      </w:r>
      <w:r>
        <w:t>U</w:t>
      </w:r>
      <w:r w:rsidRPr="00DF00E7">
        <w:t xml:space="preserve">.v). Pravidlo je </w:t>
      </w:r>
      <w:r w:rsidR="00554967">
        <w:t>stanoveno</w:t>
      </w:r>
      <w:r w:rsidRPr="00DF00E7">
        <w:t xml:space="preserve"> například z důvodů orientace rohových pozemků významných veřejných prostranství obce, nebo orientace na významnější veřejné prostranství obce a dále z důvodů urbanistické kompozice zástavby.</w:t>
      </w:r>
    </w:p>
    <w:p w14:paraId="68785375" w14:textId="77777777" w:rsidR="00F37C4B" w:rsidRDefault="00F37C4B" w:rsidP="00F37C4B"/>
    <w:p w14:paraId="6B26A690" w14:textId="77777777" w:rsidR="00F37C4B" w:rsidRDefault="00F37C4B" w:rsidP="00F37C4B"/>
    <w:p w14:paraId="44D0D434" w14:textId="77777777" w:rsidR="00F37C4B" w:rsidRDefault="00F37C4B" w:rsidP="00F37C4B"/>
    <w:p w14:paraId="1A69AC54" w14:textId="77777777" w:rsidR="00F37C4B" w:rsidRDefault="00F37C4B" w:rsidP="00F37C4B">
      <w:pPr>
        <w:spacing w:before="0" w:after="0"/>
        <w:ind w:left="0"/>
        <w:jc w:val="left"/>
      </w:pPr>
      <w:r>
        <w:br w:type="page"/>
      </w:r>
    </w:p>
    <w:p w14:paraId="6304D965" w14:textId="77777777" w:rsidR="00F37C4B" w:rsidRPr="00EE5BD0" w:rsidRDefault="00F37C4B" w:rsidP="00F37C4B">
      <w:pPr>
        <w:rPr>
          <w:b/>
          <w:bCs/>
        </w:rPr>
      </w:pPr>
      <w:r w:rsidRPr="00EE5BD0">
        <w:rPr>
          <w:b/>
          <w:bCs/>
        </w:rPr>
        <w:lastRenderedPageBreak/>
        <w:t>Podmínky prvků</w:t>
      </w:r>
    </w:p>
    <w:p w14:paraId="4C14F173" w14:textId="77777777" w:rsidR="00F37C4B" w:rsidRPr="00DF00E7" w:rsidRDefault="00F37C4B" w:rsidP="00F37C4B">
      <w:r w:rsidRPr="00DF00E7">
        <w:t>Jsou definovány pro zástavbu, přírodní prvky a jejich parametry následovně:</w:t>
      </w:r>
    </w:p>
    <w:p w14:paraId="5A7FA8FC" w14:textId="77777777" w:rsidR="00F37C4B" w:rsidRPr="00DF00E7" w:rsidRDefault="00F37C4B" w:rsidP="00F37C4B">
      <w:pPr>
        <w:tabs>
          <w:tab w:val="left" w:pos="567"/>
        </w:tabs>
        <w:ind w:left="2552" w:hanging="425"/>
      </w:pPr>
    </w:p>
    <w:p w14:paraId="6E82AE13" w14:textId="77777777" w:rsidR="00F37C4B" w:rsidRPr="00DF00E7" w:rsidRDefault="00F37C4B" w:rsidP="00F37C4B">
      <w:pPr>
        <w:tabs>
          <w:tab w:val="left" w:pos="567"/>
        </w:tabs>
        <w:ind w:left="5103"/>
      </w:pPr>
      <w:r w:rsidRPr="00DF00E7">
        <w:rPr>
          <w:noProof/>
        </w:rPr>
        <w:drawing>
          <wp:anchor distT="0" distB="0" distL="114300" distR="114300" simplePos="0" relativeHeight="251998720" behindDoc="0" locked="0" layoutInCell="1" allowOverlap="1" wp14:anchorId="51B89042" wp14:editId="30830C8B">
            <wp:simplePos x="0" y="0"/>
            <wp:positionH relativeFrom="column">
              <wp:posOffset>1591089</wp:posOffset>
            </wp:positionH>
            <wp:positionV relativeFrom="paragraph">
              <wp:posOffset>9829</wp:posOffset>
            </wp:positionV>
            <wp:extent cx="1461600" cy="1461600"/>
            <wp:effectExtent l="0" t="0" r="5715" b="5715"/>
            <wp:wrapNone/>
            <wp:docPr id="38" name="Obrázek 38" descr="uhoUP_regulativy_lokalit-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descr="uhoUP_regulativy_lokalit-0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461600" cy="1461600"/>
                    </a:xfrm>
                    <a:prstGeom prst="rect">
                      <a:avLst/>
                    </a:prstGeom>
                    <a:noFill/>
                  </pic:spPr>
                </pic:pic>
              </a:graphicData>
            </a:graphic>
            <wp14:sizeRelH relativeFrom="page">
              <wp14:pctWidth>0</wp14:pctWidth>
            </wp14:sizeRelH>
            <wp14:sizeRelV relativeFrom="page">
              <wp14:pctHeight>0</wp14:pctHeight>
            </wp14:sizeRelV>
          </wp:anchor>
        </w:drawing>
      </w:r>
      <w:r w:rsidRPr="00DF00E7">
        <w:rPr>
          <w:b/>
        </w:rPr>
        <w:t>Plošné řešení zástavby</w:t>
      </w:r>
      <w:r w:rsidRPr="00DF00E7">
        <w:t xml:space="preserve"> – řeší poměr půdorysných stran hlavního objektu (a:b), který vytváří charakter zástavby. Jedná se o charakterovou vlastnost zástavby, kde v určitých případech převažuje nebo je typický právě daný poměr. Například se jedná o zástavbu podélného charakteru nebo čtvercového charakteru. Podmínka je definována maximálně možným nebo minimálně nutným poměrem stran.</w:t>
      </w:r>
    </w:p>
    <w:p w14:paraId="265D09A3" w14:textId="77777777" w:rsidR="00F37C4B" w:rsidRPr="00DF00E7" w:rsidRDefault="00F37C4B" w:rsidP="00F37C4B">
      <w:pPr>
        <w:tabs>
          <w:tab w:val="left" w:pos="567"/>
        </w:tabs>
        <w:ind w:left="5103" w:hanging="425"/>
      </w:pPr>
      <w:r w:rsidRPr="00DF00E7">
        <w:rPr>
          <w:b/>
          <w:noProof/>
        </w:rPr>
        <mc:AlternateContent>
          <mc:Choice Requires="wps">
            <w:drawing>
              <wp:anchor distT="0" distB="0" distL="114300" distR="114300" simplePos="0" relativeHeight="252003840" behindDoc="0" locked="0" layoutInCell="1" allowOverlap="1" wp14:anchorId="2E84FECC" wp14:editId="3F2FAAD5">
                <wp:simplePos x="0" y="0"/>
                <wp:positionH relativeFrom="page">
                  <wp:posOffset>2478743</wp:posOffset>
                </wp:positionH>
                <wp:positionV relativeFrom="paragraph">
                  <wp:posOffset>70607</wp:posOffset>
                </wp:positionV>
                <wp:extent cx="1702987" cy="339725"/>
                <wp:effectExtent l="0" t="0" r="0" b="3175"/>
                <wp:wrapNone/>
                <wp:docPr id="36" name="Textové pole 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02987" cy="3397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3EDB3F" w14:textId="77777777" w:rsidR="00F37C4B" w:rsidRDefault="00F37C4B" w:rsidP="00F37C4B">
                            <w:pPr>
                              <w:ind w:left="0"/>
                              <w:jc w:val="center"/>
                              <w:rPr>
                                <w:b/>
                                <w:sz w:val="16"/>
                                <w:szCs w:val="16"/>
                              </w:rPr>
                            </w:pPr>
                            <w:r w:rsidRPr="00F06C70">
                              <w:rPr>
                                <w:b/>
                                <w:sz w:val="16"/>
                                <w:szCs w:val="16"/>
                              </w:rPr>
                              <w:t xml:space="preserve">Ilustrace </w:t>
                            </w:r>
                            <w:r>
                              <w:rPr>
                                <w:b/>
                                <w:sz w:val="16"/>
                                <w:szCs w:val="16"/>
                              </w:rPr>
                              <w:t>poměru stran</w:t>
                            </w:r>
                          </w:p>
                          <w:p w14:paraId="146DEA23" w14:textId="77777777" w:rsidR="00F37C4B" w:rsidRPr="00F06C70" w:rsidRDefault="00F37C4B" w:rsidP="00F37C4B">
                            <w:pPr>
                              <w:ind w:left="0"/>
                              <w:jc w:val="center"/>
                              <w:rPr>
                                <w:b/>
                                <w:sz w:val="16"/>
                                <w:szCs w:val="16"/>
                              </w:rPr>
                            </w:pPr>
                            <w:r>
                              <w:rPr>
                                <w:b/>
                                <w:sz w:val="16"/>
                                <w:szCs w:val="16"/>
                              </w:rPr>
                              <w:t>vyznačeno čárkovaně</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type w14:anchorId="2E84FECC" id="_x0000_t202" coordsize="21600,21600" o:spt="202" path="m,l,21600r21600,l21600,xe">
                <v:stroke joinstyle="miter"/>
                <v:path gradientshapeok="t" o:connecttype="rect"/>
              </v:shapetype>
              <v:shape id="Textové pole 36" o:spid="_x0000_s1026" type="#_x0000_t202" style="position:absolute;left:0;text-align:left;margin-left:195.2pt;margin-top:5.55pt;width:134.1pt;height:26.75pt;z-index:252003840;visibility:visible;mso-wrap-style:square;mso-width-percent:0;mso-height-percent:200;mso-wrap-distance-left:9pt;mso-wrap-distance-top:0;mso-wrap-distance-right:9pt;mso-wrap-distance-bottom:0;mso-position-horizontal:absolute;mso-position-horizontal-relative:page;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" filled="f" stroked="f">
                <v:textbox style="mso-fit-shape-to-text:t">
                  <w:txbxContent>
                    <w:p w14:paraId="663EDB3F" w14:textId="77777777" w:rsidR="00F37C4B" w:rsidRDefault="00F37C4B" w:rsidP="00F37C4B">
                      <w:pPr>
                        <w:ind w:left="0"/>
                        <w:jc w:val="center"/>
                        <w:rPr>
                          <w:b/>
                          <w:sz w:val="16"/>
                          <w:szCs w:val="16"/>
                        </w:rPr>
                      </w:pPr>
                      <w:r w:rsidRPr="00F06C70">
                        <w:rPr>
                          <w:b/>
                          <w:sz w:val="16"/>
                          <w:szCs w:val="16"/>
                        </w:rPr>
                        <w:t xml:space="preserve">Ilustrace </w:t>
                      </w:r>
                      <w:r>
                        <w:rPr>
                          <w:b/>
                          <w:sz w:val="16"/>
                          <w:szCs w:val="16"/>
                        </w:rPr>
                        <w:t>poměru stran</w:t>
                      </w:r>
                    </w:p>
                    <w:p w14:paraId="146DEA23" w14:textId="77777777" w:rsidR="00F37C4B" w:rsidRPr="00F06C70" w:rsidRDefault="00F37C4B" w:rsidP="00F37C4B">
                      <w:pPr>
                        <w:ind w:left="0"/>
                        <w:jc w:val="center"/>
                        <w:rPr>
                          <w:b/>
                          <w:sz w:val="16"/>
                          <w:szCs w:val="16"/>
                        </w:rPr>
                      </w:pPr>
                      <w:r>
                        <w:rPr>
                          <w:b/>
                          <w:sz w:val="16"/>
                          <w:szCs w:val="16"/>
                        </w:rPr>
                        <w:t>vyznačeno čárkovaně</w:t>
                      </w:r>
                    </w:p>
                  </w:txbxContent>
                </v:textbox>
                <w10:wrap anchorx="page"/>
              </v:shape>
            </w:pict>
          </mc:Fallback>
        </mc:AlternateContent>
      </w:r>
    </w:p>
    <w:p w14:paraId="5A477A12" w14:textId="77777777" w:rsidR="00F37C4B" w:rsidRPr="00DF00E7" w:rsidRDefault="00F37C4B" w:rsidP="00F37C4B">
      <w:pPr>
        <w:tabs>
          <w:tab w:val="left" w:pos="567"/>
        </w:tabs>
        <w:ind w:left="5103" w:hanging="425"/>
        <w:rPr>
          <w:i/>
        </w:rPr>
      </w:pPr>
      <w:r w:rsidRPr="00DF00E7">
        <w:tab/>
      </w:r>
      <w:r w:rsidRPr="00DF00E7">
        <w:rPr>
          <w:i/>
        </w:rPr>
        <w:t xml:space="preserve">Příklad: Plošné řešení zástavby je v dané lokalitě definováno </w:t>
      </w:r>
      <w:r w:rsidRPr="00DF00E7">
        <w:rPr>
          <w:b/>
          <w:i/>
        </w:rPr>
        <w:t xml:space="preserve">typický poměr stran zástavby min. </w:t>
      </w:r>
      <w:r>
        <w:rPr>
          <w:b/>
          <w:i/>
        </w:rPr>
        <w:t>1:1,5</w:t>
      </w:r>
      <w:r w:rsidRPr="00DF00E7">
        <w:rPr>
          <w:i/>
        </w:rPr>
        <w:t xml:space="preserve">, tzn., že pokud bude menší strana hlavního objektu 6 m, musí být větší strana minimálně </w:t>
      </w:r>
      <w:r>
        <w:rPr>
          <w:i/>
        </w:rPr>
        <w:t>9</w:t>
      </w:r>
      <w:r w:rsidRPr="00DF00E7">
        <w:rPr>
          <w:i/>
        </w:rPr>
        <w:t xml:space="preserve"> m, případně více.</w:t>
      </w:r>
    </w:p>
    <w:p w14:paraId="0322E5CD" w14:textId="77777777" w:rsidR="00F37C4B" w:rsidRDefault="00F37C4B" w:rsidP="00F37C4B">
      <w:pPr>
        <w:tabs>
          <w:tab w:val="left" w:pos="567"/>
        </w:tabs>
        <w:ind w:left="2552" w:hanging="425"/>
      </w:pPr>
    </w:p>
    <w:p w14:paraId="6CD6941B" w14:textId="77777777" w:rsidR="00F37C4B" w:rsidRPr="00DF00E7" w:rsidRDefault="00F37C4B" w:rsidP="00F37C4B">
      <w:pPr>
        <w:tabs>
          <w:tab w:val="left" w:pos="567"/>
        </w:tabs>
        <w:ind w:left="2552" w:hanging="425"/>
      </w:pPr>
    </w:p>
    <w:p w14:paraId="7EFCB735" w14:textId="77777777" w:rsidR="00F37C4B" w:rsidRPr="00DF00E7" w:rsidRDefault="00F37C4B" w:rsidP="00F37C4B">
      <w:pPr>
        <w:tabs>
          <w:tab w:val="left" w:pos="567"/>
        </w:tabs>
        <w:ind w:left="2552" w:right="2550" w:hanging="425"/>
      </w:pPr>
      <w:r w:rsidRPr="00DF00E7">
        <w:rPr>
          <w:i/>
          <w:noProof/>
        </w:rPr>
        <mc:AlternateContent>
          <mc:Choice Requires="wps">
            <w:drawing>
              <wp:anchor distT="0" distB="0" distL="114300" distR="114300" simplePos="0" relativeHeight="252004864" behindDoc="0" locked="0" layoutInCell="1" allowOverlap="1" wp14:anchorId="22B9753D" wp14:editId="3FD3600E">
                <wp:simplePos x="0" y="0"/>
                <wp:positionH relativeFrom="column">
                  <wp:posOffset>3939243</wp:posOffset>
                </wp:positionH>
                <wp:positionV relativeFrom="paragraph">
                  <wp:posOffset>1742724</wp:posOffset>
                </wp:positionV>
                <wp:extent cx="1692612" cy="525294"/>
                <wp:effectExtent l="0" t="0" r="0" b="8255"/>
                <wp:wrapNone/>
                <wp:docPr id="34" name="Textové pole 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92612" cy="52529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D567F7" w14:textId="77777777" w:rsidR="00F37C4B" w:rsidRDefault="00F37C4B" w:rsidP="00F37C4B">
                            <w:pPr>
                              <w:ind w:left="142"/>
                              <w:rPr>
                                <w:b/>
                                <w:sz w:val="16"/>
                                <w:szCs w:val="16"/>
                              </w:rPr>
                            </w:pPr>
                            <w:r w:rsidRPr="00F06C70">
                              <w:rPr>
                                <w:b/>
                                <w:sz w:val="16"/>
                                <w:szCs w:val="16"/>
                              </w:rPr>
                              <w:t xml:space="preserve">Ilustrace </w:t>
                            </w:r>
                            <w:r>
                              <w:rPr>
                                <w:b/>
                                <w:sz w:val="16"/>
                                <w:szCs w:val="16"/>
                              </w:rPr>
                              <w:t xml:space="preserve">výpočtu NP a ukázka </w:t>
                            </w:r>
                          </w:p>
                          <w:p w14:paraId="0D0268A4" w14:textId="77777777" w:rsidR="00F37C4B" w:rsidRPr="00F06C70" w:rsidRDefault="00F37C4B" w:rsidP="00F37C4B">
                            <w:pPr>
                              <w:ind w:left="142"/>
                              <w:rPr>
                                <w:b/>
                                <w:sz w:val="16"/>
                                <w:szCs w:val="16"/>
                              </w:rPr>
                            </w:pPr>
                            <w:r>
                              <w:rPr>
                                <w:b/>
                                <w:sz w:val="16"/>
                                <w:szCs w:val="16"/>
                              </w:rPr>
                              <w:t>absolutní výšky hlavního objektu</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22B9753D" id="Textové pole 34" o:spid="_x0000_s1027" type="#_x0000_t202" style="position:absolute;left:0;text-align:left;margin-left:310.2pt;margin-top:137.2pt;width:133.3pt;height:41.35pt;z-index:25200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" filled="f" stroked="f">
                <v:textbox>
                  <w:txbxContent>
                    <w:p w14:paraId="63D567F7" w14:textId="77777777" w:rsidR="00F37C4B" w:rsidRDefault="00F37C4B" w:rsidP="00F37C4B">
                      <w:pPr>
                        <w:ind w:left="142"/>
                        <w:rPr>
                          <w:b/>
                          <w:sz w:val="16"/>
                          <w:szCs w:val="16"/>
                        </w:rPr>
                      </w:pPr>
                      <w:r w:rsidRPr="00F06C70">
                        <w:rPr>
                          <w:b/>
                          <w:sz w:val="16"/>
                          <w:szCs w:val="16"/>
                        </w:rPr>
                        <w:t xml:space="preserve">Ilustrace </w:t>
                      </w:r>
                      <w:r>
                        <w:rPr>
                          <w:b/>
                          <w:sz w:val="16"/>
                          <w:szCs w:val="16"/>
                        </w:rPr>
                        <w:t xml:space="preserve">výpočtu NP a ukázka </w:t>
                      </w:r>
                    </w:p>
                    <w:p w14:paraId="0D0268A4" w14:textId="77777777" w:rsidR="00F37C4B" w:rsidRPr="00F06C70" w:rsidRDefault="00F37C4B" w:rsidP="00F37C4B">
                      <w:pPr>
                        <w:ind w:left="142"/>
                        <w:rPr>
                          <w:b/>
                          <w:sz w:val="16"/>
                          <w:szCs w:val="16"/>
                        </w:rPr>
                      </w:pPr>
                      <w:r>
                        <w:rPr>
                          <w:b/>
                          <w:sz w:val="16"/>
                          <w:szCs w:val="16"/>
                        </w:rPr>
                        <w:t>absolutní výšky hlavního objektu</w:t>
                      </w:r>
                    </w:p>
                  </w:txbxContent>
                </v:textbox>
              </v:shape>
            </w:pict>
          </mc:Fallback>
        </mc:AlternateContent>
      </w:r>
      <w:r w:rsidRPr="00DF00E7">
        <w:rPr>
          <w:noProof/>
        </w:rPr>
        <w:drawing>
          <wp:anchor distT="0" distB="0" distL="114300" distR="114300" simplePos="0" relativeHeight="251999744" behindDoc="0" locked="0" layoutInCell="1" allowOverlap="1" wp14:anchorId="2B18CA16" wp14:editId="710D6F07">
            <wp:simplePos x="0" y="0"/>
            <wp:positionH relativeFrom="margin">
              <wp:posOffset>4073877</wp:posOffset>
            </wp:positionH>
            <wp:positionV relativeFrom="paragraph">
              <wp:posOffset>179381</wp:posOffset>
            </wp:positionV>
            <wp:extent cx="1464945" cy="1464945"/>
            <wp:effectExtent l="0" t="0" r="1905" b="1905"/>
            <wp:wrapNone/>
            <wp:docPr id="35" name="Obrázek 35" descr="uhoUP_regulativy_lokalit-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descr="uhoUP_regulativy_lokalit-0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464945" cy="1464945"/>
                    </a:xfrm>
                    <a:prstGeom prst="rect">
                      <a:avLst/>
                    </a:prstGeom>
                    <a:noFill/>
                  </pic:spPr>
                </pic:pic>
              </a:graphicData>
            </a:graphic>
            <wp14:sizeRelH relativeFrom="page">
              <wp14:pctWidth>0</wp14:pctWidth>
            </wp14:sizeRelH>
            <wp14:sizeRelV relativeFrom="page">
              <wp14:pctHeight>0</wp14:pctHeight>
            </wp14:sizeRelV>
          </wp:anchor>
        </w:drawing>
      </w:r>
      <w:r w:rsidRPr="00DF00E7">
        <w:rPr>
          <w:b/>
        </w:rPr>
        <w:tab/>
        <w:t>Výškové řešení zástavby</w:t>
      </w:r>
      <w:r w:rsidRPr="00DF00E7">
        <w:t xml:space="preserve"> – řeší výšku zástavby a převládající tvar střešní krajiny zástavby.  Výška zástavby je stanovena počtem podlaží. Počet podlaží udává počet nadzemních podlaží nad úrovní přilehlého veřejného prostranství, </w:t>
      </w:r>
      <w:r w:rsidRPr="00310951">
        <w:t>přípustnost podkroví nebo ustoupeného podlaží je uvedena samostatně</w:t>
      </w:r>
      <w:r w:rsidRPr="00DF00E7">
        <w:t>. Ve specifických případech může být výška podmíněna minimální nebo maximální absolutní výškou v metrech od styku nejnižšího bodu fasády s upraveným terénem.</w:t>
      </w:r>
    </w:p>
    <w:p w14:paraId="400D76A6" w14:textId="77777777" w:rsidR="00F37C4B" w:rsidRPr="00DF00E7" w:rsidRDefault="00F37C4B" w:rsidP="00F37C4B">
      <w:pPr>
        <w:tabs>
          <w:tab w:val="left" w:pos="567"/>
        </w:tabs>
        <w:ind w:left="2552" w:right="2550" w:hanging="425"/>
      </w:pPr>
    </w:p>
    <w:p w14:paraId="5F8D84A9" w14:textId="77777777" w:rsidR="00F37C4B" w:rsidRPr="00DF00E7" w:rsidRDefault="00F37C4B" w:rsidP="00F37C4B">
      <w:pPr>
        <w:tabs>
          <w:tab w:val="left" w:pos="567"/>
        </w:tabs>
        <w:ind w:left="2552" w:right="2550"/>
        <w:rPr>
          <w:i/>
        </w:rPr>
      </w:pPr>
      <w:r w:rsidRPr="00DF00E7">
        <w:rPr>
          <w:i/>
        </w:rPr>
        <w:t xml:space="preserve">Příklad: Výškové řešení zástavby je v dané lokalitě definováno </w:t>
      </w:r>
      <w:r w:rsidRPr="00DF00E7">
        <w:rPr>
          <w:b/>
          <w:i/>
        </w:rPr>
        <w:t>max. 2NP</w:t>
      </w:r>
      <w:r>
        <w:rPr>
          <w:b/>
          <w:i/>
        </w:rPr>
        <w:t>+podkroví</w:t>
      </w:r>
      <w:r w:rsidRPr="00DF00E7">
        <w:rPr>
          <w:i/>
        </w:rPr>
        <w:t>, tzn., že hlavní objekt může</w:t>
      </w:r>
      <w:r>
        <w:rPr>
          <w:i/>
        </w:rPr>
        <w:t xml:space="preserve"> mít</w:t>
      </w:r>
      <w:r w:rsidRPr="00DF00E7">
        <w:rPr>
          <w:i/>
        </w:rPr>
        <w:t xml:space="preserve"> 1</w:t>
      </w:r>
      <w:r>
        <w:rPr>
          <w:i/>
        </w:rPr>
        <w:t> </w:t>
      </w:r>
      <w:r w:rsidRPr="00DF00E7">
        <w:rPr>
          <w:i/>
        </w:rPr>
        <w:t>nadzemní podlaží nad úrovní přilehlého veřejného prostranství, maximálně však 2</w:t>
      </w:r>
      <w:r>
        <w:rPr>
          <w:i/>
        </w:rPr>
        <w:t> </w:t>
      </w:r>
      <w:r w:rsidRPr="00DF00E7">
        <w:rPr>
          <w:i/>
        </w:rPr>
        <w:t>nadzemní podlaží nad úrovní přilehlého veřejného prostranství a podkroví.</w:t>
      </w:r>
    </w:p>
    <w:p w14:paraId="532736BD" w14:textId="77777777" w:rsidR="00F37C4B" w:rsidRDefault="00F37C4B" w:rsidP="00F37C4B">
      <w:pPr>
        <w:spacing w:before="0" w:after="0"/>
        <w:ind w:left="0"/>
        <w:jc w:val="left"/>
      </w:pPr>
      <w:r>
        <w:br w:type="page"/>
      </w:r>
    </w:p>
    <w:p w14:paraId="226BC75B" w14:textId="77777777" w:rsidR="00F37C4B" w:rsidRPr="00DF00E7" w:rsidRDefault="00F37C4B" w:rsidP="00F37C4B">
      <w:pPr>
        <w:tabs>
          <w:tab w:val="left" w:pos="567"/>
        </w:tabs>
        <w:ind w:left="2552" w:hanging="425"/>
      </w:pPr>
      <w:r w:rsidRPr="00DF00E7">
        <w:rPr>
          <w:b/>
          <w:noProof/>
        </w:rPr>
        <w:lastRenderedPageBreak/>
        <w:drawing>
          <wp:anchor distT="0" distB="0" distL="114300" distR="114300" simplePos="0" relativeHeight="252000768" behindDoc="0" locked="0" layoutInCell="1" allowOverlap="1" wp14:anchorId="2B6952DC" wp14:editId="029C8A62">
            <wp:simplePos x="0" y="0"/>
            <wp:positionH relativeFrom="column">
              <wp:posOffset>1630045</wp:posOffset>
            </wp:positionH>
            <wp:positionV relativeFrom="paragraph">
              <wp:posOffset>131114</wp:posOffset>
            </wp:positionV>
            <wp:extent cx="1464945" cy="1464945"/>
            <wp:effectExtent l="0" t="0" r="1905" b="1905"/>
            <wp:wrapNone/>
            <wp:docPr id="33" name="Obrázek 33" descr="C:\Users\Michal\AppData\Local\Microsoft\Windows\INetCache\Content.Word\uhoUP_regulativy_lokalit-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Michal\AppData\Local\Microsoft\Windows\INetCache\Content.Word\uhoUP_regulativy_lokalit-04.jp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464945" cy="146494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1BCBA79B" w14:textId="77777777" w:rsidR="00F37C4B" w:rsidRPr="00DF00E7" w:rsidRDefault="00F37C4B" w:rsidP="00F37C4B">
      <w:pPr>
        <w:tabs>
          <w:tab w:val="left" w:pos="567"/>
        </w:tabs>
        <w:ind w:left="5103"/>
        <w:rPr>
          <w:b/>
          <w:noProof/>
        </w:rPr>
      </w:pPr>
      <w:r w:rsidRPr="00DF00E7">
        <w:t>Střešní krajina zástavby je definována jako typická, rozvedena typy střech a to – sedlová, valbová, polovalbová</w:t>
      </w:r>
      <w:r>
        <w:t xml:space="preserve"> a</w:t>
      </w:r>
      <w:r w:rsidRPr="00DF00E7">
        <w:t xml:space="preserve"> pultová. Podmínky střešní krajiny jsou stanoveny za účelem zachování charakteru zástavby v jednotlivých lokalitách a za účelem ochrany urbanistických hodnot zástavby.</w:t>
      </w:r>
      <w:r w:rsidRPr="00DF00E7">
        <w:rPr>
          <w:b/>
          <w:noProof/>
        </w:rPr>
        <w:t xml:space="preserve"> </w:t>
      </w:r>
    </w:p>
    <w:p w14:paraId="6EE9ABF7" w14:textId="77777777" w:rsidR="00F37C4B" w:rsidRPr="00DF00E7" w:rsidRDefault="00F37C4B" w:rsidP="00F37C4B">
      <w:pPr>
        <w:tabs>
          <w:tab w:val="left" w:pos="567"/>
        </w:tabs>
        <w:ind w:left="0"/>
      </w:pPr>
    </w:p>
    <w:p w14:paraId="15770796" w14:textId="77777777" w:rsidR="00F37C4B" w:rsidRPr="00DF00E7" w:rsidRDefault="00F37C4B" w:rsidP="00F37C4B">
      <w:pPr>
        <w:tabs>
          <w:tab w:val="left" w:pos="567"/>
        </w:tabs>
        <w:ind w:left="5103"/>
        <w:rPr>
          <w:i/>
        </w:rPr>
      </w:pPr>
      <w:r w:rsidRPr="00DF00E7">
        <w:rPr>
          <w:noProof/>
        </w:rPr>
        <mc:AlternateContent>
          <mc:Choice Requires="wps">
            <w:drawing>
              <wp:anchor distT="0" distB="0" distL="114300" distR="114300" simplePos="0" relativeHeight="252005888" behindDoc="0" locked="0" layoutInCell="1" allowOverlap="1" wp14:anchorId="4A757784" wp14:editId="1776D95A">
                <wp:simplePos x="0" y="0"/>
                <wp:positionH relativeFrom="column">
                  <wp:posOffset>1546954</wp:posOffset>
                </wp:positionH>
                <wp:positionV relativeFrom="paragraph">
                  <wp:posOffset>207010</wp:posOffset>
                </wp:positionV>
                <wp:extent cx="1478604" cy="525294"/>
                <wp:effectExtent l="0" t="0" r="0" b="8255"/>
                <wp:wrapNone/>
                <wp:docPr id="28" name="Textové pole 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78604" cy="52529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DA5AB7" w14:textId="77777777" w:rsidR="00F37C4B" w:rsidRDefault="00F37C4B" w:rsidP="00F37C4B">
                            <w:pPr>
                              <w:ind w:left="0"/>
                              <w:jc w:val="center"/>
                              <w:rPr>
                                <w:b/>
                                <w:sz w:val="16"/>
                                <w:szCs w:val="16"/>
                              </w:rPr>
                            </w:pPr>
                            <w:r w:rsidRPr="00F06C70">
                              <w:rPr>
                                <w:b/>
                                <w:sz w:val="16"/>
                                <w:szCs w:val="16"/>
                              </w:rPr>
                              <w:t xml:space="preserve">Ilustrace </w:t>
                            </w:r>
                            <w:r>
                              <w:rPr>
                                <w:b/>
                                <w:sz w:val="16"/>
                                <w:szCs w:val="16"/>
                              </w:rPr>
                              <w:t>možných</w:t>
                            </w:r>
                          </w:p>
                          <w:p w14:paraId="0BD6CD3D" w14:textId="77777777" w:rsidR="00F37C4B" w:rsidRPr="00F06C70" w:rsidRDefault="00F37C4B" w:rsidP="00F37C4B">
                            <w:pPr>
                              <w:ind w:left="0"/>
                              <w:jc w:val="center"/>
                              <w:rPr>
                                <w:b/>
                                <w:sz w:val="16"/>
                                <w:szCs w:val="16"/>
                              </w:rPr>
                            </w:pPr>
                            <w:r>
                              <w:rPr>
                                <w:b/>
                                <w:sz w:val="16"/>
                                <w:szCs w:val="16"/>
                              </w:rPr>
                              <w:t>základních typů střech</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A757784" id="Textové pole 28" o:spid="_x0000_s1028" type="#_x0000_t202" style="position:absolute;left:0;text-align:left;margin-left:121.8pt;margin-top:16.3pt;width:116.45pt;height:41.35pt;z-index:25200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" filled="f" stroked="f">
                <v:textbox>
                  <w:txbxContent>
                    <w:p w14:paraId="18DA5AB7" w14:textId="77777777" w:rsidR="00F37C4B" w:rsidRDefault="00F37C4B" w:rsidP="00F37C4B">
                      <w:pPr>
                        <w:ind w:left="0"/>
                        <w:jc w:val="center"/>
                        <w:rPr>
                          <w:b/>
                          <w:sz w:val="16"/>
                          <w:szCs w:val="16"/>
                        </w:rPr>
                      </w:pPr>
                      <w:r w:rsidRPr="00F06C70">
                        <w:rPr>
                          <w:b/>
                          <w:sz w:val="16"/>
                          <w:szCs w:val="16"/>
                        </w:rPr>
                        <w:t xml:space="preserve">Ilustrace </w:t>
                      </w:r>
                      <w:r>
                        <w:rPr>
                          <w:b/>
                          <w:sz w:val="16"/>
                          <w:szCs w:val="16"/>
                        </w:rPr>
                        <w:t>možných</w:t>
                      </w:r>
                    </w:p>
                    <w:p w14:paraId="0BD6CD3D" w14:textId="77777777" w:rsidR="00F37C4B" w:rsidRPr="00F06C70" w:rsidRDefault="00F37C4B" w:rsidP="00F37C4B">
                      <w:pPr>
                        <w:ind w:left="0"/>
                        <w:jc w:val="center"/>
                        <w:rPr>
                          <w:b/>
                          <w:sz w:val="16"/>
                          <w:szCs w:val="16"/>
                        </w:rPr>
                      </w:pPr>
                      <w:r>
                        <w:rPr>
                          <w:b/>
                          <w:sz w:val="16"/>
                          <w:szCs w:val="16"/>
                        </w:rPr>
                        <w:t>základních typů střech</w:t>
                      </w:r>
                    </w:p>
                  </w:txbxContent>
                </v:textbox>
              </v:shape>
            </w:pict>
          </mc:Fallback>
        </mc:AlternateContent>
      </w:r>
      <w:r w:rsidRPr="00DF00E7">
        <w:rPr>
          <w:i/>
        </w:rPr>
        <w:t xml:space="preserve">Příklad: Výškové řešení zástavby je v dané lokalitě definováno </w:t>
      </w:r>
      <w:r w:rsidRPr="00DF00E7">
        <w:rPr>
          <w:b/>
          <w:i/>
        </w:rPr>
        <w:t>typická střešní krajina zástavby</w:t>
      </w:r>
      <w:r w:rsidRPr="00DF00E7">
        <w:rPr>
          <w:i/>
        </w:rPr>
        <w:t>, tzn., že hlavní stavba má typ střechy dle popisu typické střešní krajiny zástavby, tedy např. sedlovou a polovalbovou, případně pultovou.</w:t>
      </w:r>
    </w:p>
    <w:p w14:paraId="126ACBDA" w14:textId="77777777" w:rsidR="00F37C4B" w:rsidRDefault="00F37C4B" w:rsidP="00F37C4B">
      <w:pPr>
        <w:ind w:left="0"/>
        <w:rPr>
          <w:b/>
          <w:noProof/>
        </w:rPr>
      </w:pPr>
    </w:p>
    <w:p w14:paraId="261B332D" w14:textId="77777777" w:rsidR="00F37C4B" w:rsidRPr="00DF00E7" w:rsidRDefault="00F37C4B" w:rsidP="00F37C4B">
      <w:pPr>
        <w:ind w:left="0"/>
        <w:rPr>
          <w:b/>
          <w:noProof/>
        </w:rPr>
      </w:pPr>
    </w:p>
    <w:p w14:paraId="7C871C09" w14:textId="77777777" w:rsidR="00F37C4B" w:rsidRPr="00DF00E7" w:rsidRDefault="00F37C4B" w:rsidP="00F37C4B">
      <w:pPr>
        <w:tabs>
          <w:tab w:val="left" w:pos="567"/>
        </w:tabs>
        <w:ind w:left="2552" w:right="2550"/>
      </w:pPr>
      <w:r w:rsidRPr="00DF00E7">
        <w:rPr>
          <w:noProof/>
        </w:rPr>
        <w:drawing>
          <wp:anchor distT="0" distB="0" distL="114300" distR="114300" simplePos="0" relativeHeight="252001792" behindDoc="0" locked="0" layoutInCell="1" allowOverlap="1" wp14:anchorId="457D065F" wp14:editId="686A3896">
            <wp:simplePos x="0" y="0"/>
            <wp:positionH relativeFrom="margin">
              <wp:align>right</wp:align>
            </wp:positionH>
            <wp:positionV relativeFrom="paragraph">
              <wp:posOffset>10795</wp:posOffset>
            </wp:positionV>
            <wp:extent cx="1465200" cy="1465200"/>
            <wp:effectExtent l="0" t="0" r="1905" b="1905"/>
            <wp:wrapNone/>
            <wp:docPr id="27" name="Obrázek 27" descr="uhoUP_regulativy_lokalit-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descr="uhoUP_regulativy_lokalit-05"/>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465200" cy="1465200"/>
                    </a:xfrm>
                    <a:prstGeom prst="rect">
                      <a:avLst/>
                    </a:prstGeom>
                    <a:noFill/>
                  </pic:spPr>
                </pic:pic>
              </a:graphicData>
            </a:graphic>
            <wp14:sizeRelH relativeFrom="page">
              <wp14:pctWidth>0</wp14:pctWidth>
            </wp14:sizeRelH>
            <wp14:sizeRelV relativeFrom="page">
              <wp14:pctHeight>0</wp14:pctHeight>
            </wp14:sizeRelV>
          </wp:anchor>
        </w:drawing>
      </w:r>
      <w:r w:rsidRPr="00DF00E7">
        <w:rPr>
          <w:b/>
        </w:rPr>
        <w:t>Objemové řešení přírodních prvků</w:t>
      </w:r>
      <w:r w:rsidRPr="00DF00E7">
        <w:t xml:space="preserve"> – řeší typ přírodního prvku a jeho parametry. Podmínka definuje typ významných přírodních prvků v dané lokalitě. Tento typ je podmínkou pro práci s daným prvkem. Prvek je definován tímto způsobem pro udržení charakteru krajiny a přírodních prvků lokality.</w:t>
      </w:r>
    </w:p>
    <w:p w14:paraId="664B8B8A" w14:textId="77777777" w:rsidR="00F37C4B" w:rsidRPr="00DF00E7" w:rsidRDefault="00F37C4B" w:rsidP="00F37C4B">
      <w:pPr>
        <w:tabs>
          <w:tab w:val="left" w:pos="567"/>
        </w:tabs>
        <w:ind w:left="2552" w:right="2550" w:hanging="425"/>
      </w:pPr>
    </w:p>
    <w:p w14:paraId="7B351A26" w14:textId="77777777" w:rsidR="00F37C4B" w:rsidRPr="00DF00E7" w:rsidRDefault="00F37C4B" w:rsidP="00F37C4B">
      <w:pPr>
        <w:tabs>
          <w:tab w:val="left" w:pos="567"/>
        </w:tabs>
        <w:ind w:left="2552" w:right="2550"/>
        <w:rPr>
          <w:i/>
        </w:rPr>
      </w:pPr>
      <w:r w:rsidRPr="00DF00E7">
        <w:rPr>
          <w:i/>
          <w:noProof/>
        </w:rPr>
        <mc:AlternateContent>
          <mc:Choice Requires="wps">
            <w:drawing>
              <wp:anchor distT="0" distB="0" distL="114300" distR="114300" simplePos="0" relativeHeight="252006912" behindDoc="0" locked="0" layoutInCell="1" allowOverlap="1" wp14:anchorId="4E09B6AC" wp14:editId="65B1B8B4">
                <wp:simplePos x="0" y="0"/>
                <wp:positionH relativeFrom="column">
                  <wp:posOffset>4166950</wp:posOffset>
                </wp:positionH>
                <wp:positionV relativeFrom="paragraph">
                  <wp:posOffset>73890</wp:posOffset>
                </wp:positionV>
                <wp:extent cx="999409" cy="499353"/>
                <wp:effectExtent l="0" t="0" r="0" b="0"/>
                <wp:wrapNone/>
                <wp:docPr id="22" name="Textové pole 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99409" cy="49935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5F83821" w14:textId="77777777" w:rsidR="00F37C4B" w:rsidRPr="00F06C70" w:rsidRDefault="00F37C4B" w:rsidP="00F37C4B">
                            <w:pPr>
                              <w:ind w:left="0"/>
                              <w:jc w:val="center"/>
                              <w:rPr>
                                <w:b/>
                                <w:sz w:val="16"/>
                                <w:szCs w:val="16"/>
                              </w:rPr>
                            </w:pPr>
                            <w:r w:rsidRPr="00F06C70">
                              <w:rPr>
                                <w:b/>
                                <w:sz w:val="16"/>
                                <w:szCs w:val="16"/>
                              </w:rPr>
                              <w:t xml:space="preserve">Ilustrace </w:t>
                            </w:r>
                            <w:r>
                              <w:rPr>
                                <w:b/>
                                <w:sz w:val="16"/>
                                <w:szCs w:val="16"/>
                              </w:rPr>
                              <w:t>přírodního prvku</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E09B6AC" id="Textové pole 22" o:spid="_x0000_s1029" type="#_x0000_t202" style="position:absolute;left:0;text-align:left;margin-left:328.1pt;margin-top:5.8pt;width:78.7pt;height:39.3pt;z-index:25200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" filled="f" stroked="f">
                <v:textbox>
                  <w:txbxContent>
                    <w:p w14:paraId="05F83821" w14:textId="77777777" w:rsidR="00F37C4B" w:rsidRPr="00F06C70" w:rsidRDefault="00F37C4B" w:rsidP="00F37C4B">
                      <w:pPr>
                        <w:ind w:left="0"/>
                        <w:jc w:val="center"/>
                        <w:rPr>
                          <w:b/>
                          <w:sz w:val="16"/>
                          <w:szCs w:val="16"/>
                        </w:rPr>
                      </w:pPr>
                      <w:r w:rsidRPr="00F06C70">
                        <w:rPr>
                          <w:b/>
                          <w:sz w:val="16"/>
                          <w:szCs w:val="16"/>
                        </w:rPr>
                        <w:t xml:space="preserve">Ilustrace </w:t>
                      </w:r>
                      <w:r>
                        <w:rPr>
                          <w:b/>
                          <w:sz w:val="16"/>
                          <w:szCs w:val="16"/>
                        </w:rPr>
                        <w:t>přírodního prvku</w:t>
                      </w:r>
                    </w:p>
                  </w:txbxContent>
                </v:textbox>
              </v:shape>
            </w:pict>
          </mc:Fallback>
        </mc:AlternateContent>
      </w:r>
      <w:r w:rsidRPr="00DF00E7">
        <w:rPr>
          <w:i/>
        </w:rPr>
        <w:t xml:space="preserve">Příklad: Objemové řešení přírodních prvků je v dané lokalitě definováno </w:t>
      </w:r>
      <w:r w:rsidRPr="00DF00E7">
        <w:rPr>
          <w:b/>
          <w:i/>
        </w:rPr>
        <w:t>skupiny dřevin v severní části lokality</w:t>
      </w:r>
      <w:r w:rsidRPr="00DF00E7">
        <w:rPr>
          <w:i/>
        </w:rPr>
        <w:t>, tzn., že v dané lokalitě je nutné v severní časti lokality zachovat a podporovat novou výsadbu skupin dřevin.</w:t>
      </w:r>
    </w:p>
    <w:p w14:paraId="3F392F06" w14:textId="77777777" w:rsidR="00F37C4B" w:rsidRPr="00DF00E7" w:rsidRDefault="00F37C4B" w:rsidP="00F37C4B">
      <w:pPr>
        <w:tabs>
          <w:tab w:val="left" w:pos="567"/>
        </w:tabs>
        <w:ind w:left="2552" w:right="2550" w:hanging="425"/>
        <w:rPr>
          <w:i/>
        </w:rPr>
      </w:pPr>
    </w:p>
    <w:p w14:paraId="0FCDBF8A" w14:textId="77777777" w:rsidR="00F37C4B" w:rsidRPr="00DF00E7" w:rsidRDefault="00F37C4B" w:rsidP="00F37C4B">
      <w:pPr>
        <w:tabs>
          <w:tab w:val="left" w:pos="567"/>
        </w:tabs>
        <w:ind w:left="2552" w:hanging="425"/>
        <w:rPr>
          <w:b/>
        </w:rPr>
      </w:pPr>
      <w:r w:rsidRPr="00DF00E7">
        <w:rPr>
          <w:noProof/>
        </w:rPr>
        <w:drawing>
          <wp:anchor distT="0" distB="0" distL="114300" distR="114300" simplePos="0" relativeHeight="252002816" behindDoc="0" locked="0" layoutInCell="1" allowOverlap="1" wp14:anchorId="6E07B185" wp14:editId="38323D3E">
            <wp:simplePos x="0" y="0"/>
            <wp:positionH relativeFrom="column">
              <wp:posOffset>1547508</wp:posOffset>
            </wp:positionH>
            <wp:positionV relativeFrom="paragraph">
              <wp:posOffset>121069</wp:posOffset>
            </wp:positionV>
            <wp:extent cx="1465200" cy="1465200"/>
            <wp:effectExtent l="0" t="0" r="1905" b="1905"/>
            <wp:wrapNone/>
            <wp:docPr id="21" name="Obrázek 21" descr="uhoUP_regulativy_lokalit-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descr="uhoUP_regulativy_lokalit-06"/>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465200" cy="1465200"/>
                    </a:xfrm>
                    <a:prstGeom prst="rect">
                      <a:avLst/>
                    </a:prstGeom>
                    <a:noFill/>
                  </pic:spPr>
                </pic:pic>
              </a:graphicData>
            </a:graphic>
            <wp14:sizeRelH relativeFrom="page">
              <wp14:pctWidth>0</wp14:pctWidth>
            </wp14:sizeRelH>
            <wp14:sizeRelV relativeFrom="page">
              <wp14:pctHeight>0</wp14:pctHeight>
            </wp14:sizeRelV>
          </wp:anchor>
        </w:drawing>
      </w:r>
    </w:p>
    <w:p w14:paraId="6339DA1C" w14:textId="77777777" w:rsidR="00F37C4B" w:rsidRPr="00DF00E7" w:rsidRDefault="00F37C4B" w:rsidP="00F37C4B">
      <w:pPr>
        <w:tabs>
          <w:tab w:val="left" w:pos="567"/>
        </w:tabs>
        <w:ind w:left="5103"/>
        <w:rPr>
          <w:noProof/>
        </w:rPr>
      </w:pPr>
      <w:r w:rsidRPr="00DF00E7">
        <w:rPr>
          <w:i/>
          <w:noProof/>
        </w:rPr>
        <mc:AlternateContent>
          <mc:Choice Requires="wps">
            <w:drawing>
              <wp:anchor distT="0" distB="0" distL="114300" distR="114300" simplePos="0" relativeHeight="252007936" behindDoc="0" locked="0" layoutInCell="1" allowOverlap="1" wp14:anchorId="7A644C29" wp14:editId="74CABC86">
                <wp:simplePos x="0" y="0"/>
                <wp:positionH relativeFrom="column">
                  <wp:posOffset>1857429</wp:posOffset>
                </wp:positionH>
                <wp:positionV relativeFrom="paragraph">
                  <wp:posOffset>1378491</wp:posOffset>
                </wp:positionV>
                <wp:extent cx="927370" cy="544749"/>
                <wp:effectExtent l="0" t="0" r="0" b="8255"/>
                <wp:wrapNone/>
                <wp:docPr id="19" name="Textové pole 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27370" cy="54474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BA4A78" w14:textId="77777777" w:rsidR="00F37C4B" w:rsidRPr="00F06C70" w:rsidRDefault="00F37C4B" w:rsidP="00F37C4B">
                            <w:pPr>
                              <w:ind w:left="0"/>
                              <w:jc w:val="center"/>
                              <w:rPr>
                                <w:b/>
                                <w:sz w:val="16"/>
                                <w:szCs w:val="16"/>
                              </w:rPr>
                            </w:pPr>
                            <w:r w:rsidRPr="00F06C70">
                              <w:rPr>
                                <w:b/>
                                <w:sz w:val="16"/>
                                <w:szCs w:val="16"/>
                              </w:rPr>
                              <w:t xml:space="preserve">Ilustrace </w:t>
                            </w:r>
                            <w:r>
                              <w:rPr>
                                <w:b/>
                                <w:sz w:val="16"/>
                                <w:szCs w:val="16"/>
                              </w:rPr>
                              <w:t>specifického prvku</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7A644C29" id="Textové pole 19" o:spid="_x0000_s1030" type="#_x0000_t202" style="position:absolute;left:0;text-align:left;margin-left:146.25pt;margin-top:108.55pt;width:73pt;height:42.9pt;z-index:25200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" filled="f" stroked="f">
                <v:textbox>
                  <w:txbxContent>
                    <w:p w14:paraId="48BA4A78" w14:textId="77777777" w:rsidR="00F37C4B" w:rsidRPr="00F06C70" w:rsidRDefault="00F37C4B" w:rsidP="00F37C4B">
                      <w:pPr>
                        <w:ind w:left="0"/>
                        <w:jc w:val="center"/>
                        <w:rPr>
                          <w:b/>
                          <w:sz w:val="16"/>
                          <w:szCs w:val="16"/>
                        </w:rPr>
                      </w:pPr>
                      <w:r w:rsidRPr="00F06C70">
                        <w:rPr>
                          <w:b/>
                          <w:sz w:val="16"/>
                          <w:szCs w:val="16"/>
                        </w:rPr>
                        <w:t xml:space="preserve">Ilustrace </w:t>
                      </w:r>
                      <w:r>
                        <w:rPr>
                          <w:b/>
                          <w:sz w:val="16"/>
                          <w:szCs w:val="16"/>
                        </w:rPr>
                        <w:t>specifického prvku</w:t>
                      </w:r>
                    </w:p>
                  </w:txbxContent>
                </v:textbox>
              </v:shape>
            </w:pict>
          </mc:Fallback>
        </mc:AlternateContent>
      </w:r>
      <w:r w:rsidRPr="00DF00E7">
        <w:rPr>
          <w:b/>
        </w:rPr>
        <w:t>Specifické prvky</w:t>
      </w:r>
      <w:r w:rsidRPr="00DF00E7">
        <w:t xml:space="preserve"> – řeší atypické prvky lokality, výrazné prvky dané lokality, které nelze zařadit do ostatních podmínek prvků. Tato podmínka vymezuje objemovou, charakterovou, vztažnou rovinu tohoto prvku k ostatním podmínkám.</w:t>
      </w:r>
      <w:r w:rsidRPr="00DF00E7">
        <w:rPr>
          <w:b/>
          <w:noProof/>
        </w:rPr>
        <w:t xml:space="preserve"> </w:t>
      </w:r>
      <w:r w:rsidRPr="00DF00E7">
        <w:rPr>
          <w:noProof/>
        </w:rPr>
        <w:t>Jedná se například o specifické architektonické prvky (rizality, věže, nároží apod.), stavby pro</w:t>
      </w:r>
      <w:r>
        <w:rPr>
          <w:noProof/>
        </w:rPr>
        <w:t> </w:t>
      </w:r>
      <w:r w:rsidRPr="00DF00E7">
        <w:rPr>
          <w:noProof/>
        </w:rPr>
        <w:t xml:space="preserve">zabezpečení terénních úprav a další. </w:t>
      </w:r>
    </w:p>
    <w:p w14:paraId="3D71613A" w14:textId="77777777" w:rsidR="00F37C4B" w:rsidRPr="00DF00E7" w:rsidRDefault="00F37C4B" w:rsidP="00F37C4B">
      <w:pPr>
        <w:tabs>
          <w:tab w:val="left" w:pos="567"/>
        </w:tabs>
        <w:ind w:left="5103"/>
      </w:pPr>
    </w:p>
    <w:p w14:paraId="41ABCDFB" w14:textId="77777777" w:rsidR="00F37C4B" w:rsidRPr="00DF00E7" w:rsidRDefault="00F37C4B" w:rsidP="00F37C4B">
      <w:pPr>
        <w:tabs>
          <w:tab w:val="left" w:pos="567"/>
        </w:tabs>
        <w:ind w:left="5103"/>
        <w:rPr>
          <w:i/>
        </w:rPr>
      </w:pPr>
    </w:p>
    <w:p w14:paraId="7709DCD7" w14:textId="77777777" w:rsidR="00F37C4B" w:rsidRPr="00DF00E7" w:rsidRDefault="00F37C4B" w:rsidP="00F37C4B">
      <w:pPr>
        <w:tabs>
          <w:tab w:val="left" w:pos="567"/>
        </w:tabs>
        <w:ind w:left="2552" w:hanging="425"/>
      </w:pPr>
    </w:p>
    <w:p w14:paraId="506A08F5" w14:textId="77777777" w:rsidR="00F37C4B" w:rsidRPr="00DF00E7" w:rsidRDefault="00F37C4B" w:rsidP="00F37C4B">
      <w:pPr>
        <w:tabs>
          <w:tab w:val="left" w:pos="567"/>
        </w:tabs>
        <w:ind w:left="2552" w:hanging="425"/>
      </w:pPr>
      <w:r w:rsidRPr="00DF00E7">
        <w:br w:type="page"/>
      </w:r>
    </w:p>
    <w:p w14:paraId="0EE68BBA" w14:textId="77777777" w:rsidR="00F37C4B" w:rsidRPr="00DD24E2" w:rsidRDefault="00F37C4B" w:rsidP="00F37C4B">
      <w:pPr>
        <w:rPr>
          <w:b/>
          <w:bCs/>
        </w:rPr>
      </w:pPr>
      <w:r w:rsidRPr="00DD24E2">
        <w:rPr>
          <w:b/>
          <w:bCs/>
        </w:rPr>
        <w:lastRenderedPageBreak/>
        <w:t>Podmínky uspořádání</w:t>
      </w:r>
    </w:p>
    <w:p w14:paraId="3D8B278D" w14:textId="77777777" w:rsidR="00F37C4B" w:rsidRPr="00DF00E7" w:rsidRDefault="00F37C4B" w:rsidP="00F37C4B">
      <w:r w:rsidRPr="00DF00E7">
        <w:t>Jsou definovány jako vztahy prvků zástavby, přírodních prvků a jejich parametrů následovně:</w:t>
      </w:r>
    </w:p>
    <w:p w14:paraId="1E7922EB" w14:textId="77777777" w:rsidR="00F37C4B" w:rsidRPr="00DF00E7" w:rsidRDefault="00F37C4B" w:rsidP="00F37C4B">
      <w:pPr>
        <w:tabs>
          <w:tab w:val="left" w:pos="567"/>
        </w:tabs>
        <w:ind w:left="2552" w:hanging="425"/>
      </w:pPr>
      <w:r w:rsidRPr="00DF00E7">
        <w:rPr>
          <w:noProof/>
        </w:rPr>
        <w:drawing>
          <wp:anchor distT="0" distB="0" distL="114300" distR="114300" simplePos="0" relativeHeight="252008960" behindDoc="0" locked="0" layoutInCell="1" allowOverlap="1" wp14:anchorId="20AF55CB" wp14:editId="017B22FE">
            <wp:simplePos x="0" y="0"/>
            <wp:positionH relativeFrom="margin">
              <wp:posOffset>1455393</wp:posOffset>
            </wp:positionH>
            <wp:positionV relativeFrom="paragraph">
              <wp:posOffset>100317</wp:posOffset>
            </wp:positionV>
            <wp:extent cx="2026800" cy="2026800"/>
            <wp:effectExtent l="0" t="0" r="0" b="0"/>
            <wp:wrapNone/>
            <wp:docPr id="52" name="Obrázek 52" descr="uhoUP_regulativy_lokalit-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descr="uhoUP_regulativy_lokalit-07"/>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026800" cy="2026800"/>
                    </a:xfrm>
                    <a:prstGeom prst="rect">
                      <a:avLst/>
                    </a:prstGeom>
                    <a:noFill/>
                  </pic:spPr>
                </pic:pic>
              </a:graphicData>
            </a:graphic>
            <wp14:sizeRelH relativeFrom="page">
              <wp14:pctWidth>0</wp14:pctWidth>
            </wp14:sizeRelH>
            <wp14:sizeRelV relativeFrom="page">
              <wp14:pctHeight>0</wp14:pctHeight>
            </wp14:sizeRelV>
          </wp:anchor>
        </w:drawing>
      </w:r>
    </w:p>
    <w:p w14:paraId="283D4AEB" w14:textId="77777777" w:rsidR="00F37C4B" w:rsidRDefault="00F37C4B" w:rsidP="00F37C4B">
      <w:pPr>
        <w:tabs>
          <w:tab w:val="left" w:pos="567"/>
        </w:tabs>
        <w:ind w:left="5954"/>
      </w:pPr>
      <w:r w:rsidRPr="00DF00E7">
        <w:rPr>
          <w:noProof/>
        </w:rPr>
        <mc:AlternateContent>
          <mc:Choice Requires="wps">
            <w:drawing>
              <wp:anchor distT="0" distB="0" distL="114300" distR="114300" simplePos="0" relativeHeight="252016128" behindDoc="0" locked="0" layoutInCell="1" allowOverlap="1" wp14:anchorId="6BFA205F" wp14:editId="75B8BBE5">
                <wp:simplePos x="0" y="0"/>
                <wp:positionH relativeFrom="column">
                  <wp:posOffset>1091754</wp:posOffset>
                </wp:positionH>
                <wp:positionV relativeFrom="paragraph">
                  <wp:posOffset>1947775</wp:posOffset>
                </wp:positionV>
                <wp:extent cx="2337571" cy="654996"/>
                <wp:effectExtent l="0" t="0" r="0" b="0"/>
                <wp:wrapNone/>
                <wp:docPr id="51" name="Textové pole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37571" cy="65499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924F70" w14:textId="77777777" w:rsidR="00F37C4B" w:rsidRPr="00512BD0" w:rsidRDefault="00F37C4B" w:rsidP="00F37C4B">
                            <w:pPr>
                              <w:ind w:left="426"/>
                              <w:jc w:val="center"/>
                              <w:rPr>
                                <w:b/>
                                <w:sz w:val="16"/>
                                <w:szCs w:val="16"/>
                              </w:rPr>
                            </w:pPr>
                            <w:r w:rsidRPr="00512BD0">
                              <w:rPr>
                                <w:b/>
                                <w:sz w:val="16"/>
                                <w:szCs w:val="16"/>
                              </w:rPr>
                              <w:t xml:space="preserve">Ilustrace </w:t>
                            </w:r>
                            <w:r>
                              <w:rPr>
                                <w:b/>
                                <w:sz w:val="16"/>
                                <w:szCs w:val="16"/>
                              </w:rPr>
                              <w:t>zastavitelnosti pozemků, čárkovaně je vyznačen pozemek, hodnota max. % na červeném poli je HS a min. % KN</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6BFA205F" id="Textové pole 51" o:spid="_x0000_s1031" type="#_x0000_t202" style="position:absolute;left:0;text-align:left;margin-left:85.95pt;margin-top:153.35pt;width:184.05pt;height:51.55pt;z-index:252016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" filled="f" stroked="f">
                <v:textbox>
                  <w:txbxContent>
                    <w:p w14:paraId="64924F70" w14:textId="77777777" w:rsidR="00F37C4B" w:rsidRPr="00512BD0" w:rsidRDefault="00F37C4B" w:rsidP="00F37C4B">
                      <w:pPr>
                        <w:ind w:left="426"/>
                        <w:jc w:val="center"/>
                        <w:rPr>
                          <w:b/>
                          <w:sz w:val="16"/>
                          <w:szCs w:val="16"/>
                        </w:rPr>
                      </w:pPr>
                      <w:r w:rsidRPr="00512BD0">
                        <w:rPr>
                          <w:b/>
                          <w:sz w:val="16"/>
                          <w:szCs w:val="16"/>
                        </w:rPr>
                        <w:t xml:space="preserve">Ilustrace </w:t>
                      </w:r>
                      <w:r>
                        <w:rPr>
                          <w:b/>
                          <w:sz w:val="16"/>
                          <w:szCs w:val="16"/>
                        </w:rPr>
                        <w:t>zastavitelnosti pozemků, čárkovaně je vyznačen pozemek, hodnota max. % na červeném poli je HS a min. % KN</w:t>
                      </w:r>
                    </w:p>
                  </w:txbxContent>
                </v:textbox>
              </v:shape>
            </w:pict>
          </mc:Fallback>
        </mc:AlternateContent>
      </w:r>
      <w:r w:rsidRPr="00DF00E7">
        <w:rPr>
          <w:b/>
        </w:rPr>
        <w:t xml:space="preserve">Velikost a zastavitelnost pozemků zástavby </w:t>
      </w:r>
      <w:r w:rsidRPr="00DF00E7">
        <w:t>– řeší velikost a zastavitelnost pozemku. Tyto podmínky určují využitelnost pozemků ve vztahu k charakteru a zátěži lokality. Zátěž znamená možnost využití infrastruktury a vhodnost druhu zástavby. Tyto vztahy pak spoluurčují charakter zástavby pomocí podmínek velikosti a</w:t>
      </w:r>
      <w:r>
        <w:t> </w:t>
      </w:r>
      <w:r w:rsidRPr="00DF00E7">
        <w:t>zastavitelnosti pozemku s podílem maximální plochy k zastavění hlavní stavbou (HS) a podílem minimální nezpevněné plochy pozemku (KN), případně podílem maximální plochy k zastavění bez rozlišení staveb.</w:t>
      </w:r>
    </w:p>
    <w:p w14:paraId="526FE007" w14:textId="77777777" w:rsidR="00F37C4B" w:rsidRPr="00DF00E7" w:rsidRDefault="00F37C4B" w:rsidP="00F37C4B">
      <w:pPr>
        <w:tabs>
          <w:tab w:val="left" w:pos="567"/>
        </w:tabs>
        <w:ind w:left="5954"/>
      </w:pPr>
      <w:r>
        <w:rPr>
          <w:b/>
        </w:rPr>
        <w:t>Výpočet zastavitelnosti pozemku je součástí textové části územního plánu</w:t>
      </w:r>
      <w:r w:rsidRPr="00820D86">
        <w:t>.</w:t>
      </w:r>
    </w:p>
    <w:p w14:paraId="28F25166" w14:textId="77777777" w:rsidR="00F37C4B" w:rsidRPr="00DF00E7" w:rsidRDefault="00F37C4B" w:rsidP="00F37C4B">
      <w:pPr>
        <w:tabs>
          <w:tab w:val="left" w:pos="567"/>
        </w:tabs>
        <w:ind w:left="5103"/>
      </w:pPr>
    </w:p>
    <w:p w14:paraId="73297C42" w14:textId="77777777" w:rsidR="00F37C4B" w:rsidRPr="00DF00E7" w:rsidRDefault="00F37C4B" w:rsidP="00F37C4B">
      <w:pPr>
        <w:tabs>
          <w:tab w:val="left" w:pos="567"/>
        </w:tabs>
        <w:ind w:left="2552" w:hanging="425"/>
      </w:pPr>
      <w:r w:rsidRPr="00DF00E7">
        <w:rPr>
          <w:i/>
          <w:noProof/>
        </w:rPr>
        <w:drawing>
          <wp:anchor distT="0" distB="0" distL="114300" distR="114300" simplePos="0" relativeHeight="252009984" behindDoc="0" locked="0" layoutInCell="1" allowOverlap="1" wp14:anchorId="4B0D2E69" wp14:editId="53BA537A">
            <wp:simplePos x="0" y="0"/>
            <wp:positionH relativeFrom="margin">
              <wp:posOffset>3534997</wp:posOffset>
            </wp:positionH>
            <wp:positionV relativeFrom="paragraph">
              <wp:posOffset>42389</wp:posOffset>
            </wp:positionV>
            <wp:extent cx="1879636" cy="1879636"/>
            <wp:effectExtent l="0" t="0" r="6350" b="6350"/>
            <wp:wrapNone/>
            <wp:docPr id="50" name="Obrázek 50" descr="uhoUP_regulativy_lokalit-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descr="uhoUP_regulativy_lokalit-08"/>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879636" cy="1879636"/>
                    </a:xfrm>
                    <a:prstGeom prst="rect">
                      <a:avLst/>
                    </a:prstGeom>
                    <a:noFill/>
                  </pic:spPr>
                </pic:pic>
              </a:graphicData>
            </a:graphic>
            <wp14:sizeRelH relativeFrom="page">
              <wp14:pctWidth>0</wp14:pctWidth>
            </wp14:sizeRelH>
            <wp14:sizeRelV relativeFrom="page">
              <wp14:pctHeight>0</wp14:pctHeight>
            </wp14:sizeRelV>
          </wp:anchor>
        </w:drawing>
      </w:r>
    </w:p>
    <w:p w14:paraId="1990F7C0" w14:textId="77777777" w:rsidR="00F37C4B" w:rsidRPr="00DF00E7" w:rsidRDefault="00F37C4B" w:rsidP="00F37C4B">
      <w:pPr>
        <w:tabs>
          <w:tab w:val="left" w:pos="567"/>
        </w:tabs>
        <w:ind w:left="2552" w:hanging="425"/>
        <w:rPr>
          <w:b/>
        </w:rPr>
      </w:pPr>
    </w:p>
    <w:p w14:paraId="697D3952" w14:textId="77777777" w:rsidR="00F37C4B" w:rsidRPr="00DF00E7" w:rsidRDefault="00F37C4B" w:rsidP="00F37C4B">
      <w:pPr>
        <w:tabs>
          <w:tab w:val="left" w:pos="567"/>
        </w:tabs>
        <w:ind w:left="2552" w:right="3542" w:hanging="425"/>
      </w:pPr>
      <w:r w:rsidRPr="00DF00E7">
        <w:rPr>
          <w:noProof/>
        </w:rPr>
        <mc:AlternateContent>
          <mc:Choice Requires="wps">
            <w:drawing>
              <wp:anchor distT="0" distB="0" distL="114300" distR="114300" simplePos="0" relativeHeight="252021248" behindDoc="0" locked="0" layoutInCell="1" allowOverlap="1" wp14:anchorId="2E21474A" wp14:editId="4DB89ECD">
                <wp:simplePos x="0" y="0"/>
                <wp:positionH relativeFrom="margin">
                  <wp:posOffset>3522642</wp:posOffset>
                </wp:positionH>
                <wp:positionV relativeFrom="paragraph">
                  <wp:posOffset>1584325</wp:posOffset>
                </wp:positionV>
                <wp:extent cx="1894529" cy="778213"/>
                <wp:effectExtent l="0" t="0" r="0" b="3175"/>
                <wp:wrapNone/>
                <wp:docPr id="49" name="Textové pole 4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94529" cy="77821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9BFA3E" w14:textId="77777777" w:rsidR="00F37C4B" w:rsidRPr="00512BD0" w:rsidRDefault="00F37C4B" w:rsidP="00F37C4B">
                            <w:pPr>
                              <w:ind w:left="0"/>
                              <w:jc w:val="center"/>
                              <w:rPr>
                                <w:b/>
                                <w:sz w:val="16"/>
                                <w:szCs w:val="16"/>
                              </w:rPr>
                            </w:pPr>
                            <w:r w:rsidRPr="00512BD0">
                              <w:rPr>
                                <w:b/>
                                <w:sz w:val="16"/>
                                <w:szCs w:val="16"/>
                              </w:rPr>
                              <w:t xml:space="preserve">Ilustrace </w:t>
                            </w:r>
                            <w:r>
                              <w:rPr>
                                <w:b/>
                                <w:sz w:val="16"/>
                                <w:szCs w:val="16"/>
                              </w:rPr>
                              <w:t>uspořádaní prostranství, červenou plochou je vyznačeno nezpevněné prostranství, šipkou pak umístění lemů a dvoušipkou parkování</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2E21474A" id="Textové pole 49" o:spid="_x0000_s1032" type="#_x0000_t202" style="position:absolute;left:0;text-align:left;margin-left:277.35pt;margin-top:124.75pt;width:149.2pt;height:61.3pt;z-index:25202124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" filled="f" stroked="f">
                <v:textbox>
                  <w:txbxContent>
                    <w:p w14:paraId="4B9BFA3E" w14:textId="77777777" w:rsidR="00F37C4B" w:rsidRPr="00512BD0" w:rsidRDefault="00F37C4B" w:rsidP="00F37C4B">
                      <w:pPr>
                        <w:ind w:left="0"/>
                        <w:jc w:val="center"/>
                        <w:rPr>
                          <w:b/>
                          <w:sz w:val="16"/>
                          <w:szCs w:val="16"/>
                        </w:rPr>
                      </w:pPr>
                      <w:r w:rsidRPr="00512BD0">
                        <w:rPr>
                          <w:b/>
                          <w:sz w:val="16"/>
                          <w:szCs w:val="16"/>
                        </w:rPr>
                        <w:t xml:space="preserve">Ilustrace </w:t>
                      </w:r>
                      <w:r>
                        <w:rPr>
                          <w:b/>
                          <w:sz w:val="16"/>
                          <w:szCs w:val="16"/>
                        </w:rPr>
                        <w:t>uspořádaní prostranství, červenou plochou je vyznačeno nezpevněné prostranství, šipkou pak umístění lemů a dvoušipkou parkování</w:t>
                      </w:r>
                    </w:p>
                  </w:txbxContent>
                </v:textbox>
                <w10:wrap anchorx="margin"/>
              </v:shape>
            </w:pict>
          </mc:Fallback>
        </mc:AlternateContent>
      </w:r>
      <w:r w:rsidRPr="00DF00E7">
        <w:rPr>
          <w:b/>
        </w:rPr>
        <w:tab/>
        <w:t>Uspořádání prostranství</w:t>
      </w:r>
      <w:r w:rsidRPr="00DF00E7">
        <w:t xml:space="preserve"> – řeší obecné a specifické podmínky pro způsob řešení prostranství a jeho charakter. Specifické podmínky jsou stanoveny podle významu pro</w:t>
      </w:r>
      <w:r>
        <w:t> </w:t>
      </w:r>
      <w:r w:rsidRPr="00DF00E7">
        <w:t>kategorii VP nebo konkrétní prostranství. Tyto vztahy spoluurčují charakter struktury definováním poměru převažujících ploch (například zpevněných nebo nezpevněných ploch) a zásadami uspořádání (například parkování).</w:t>
      </w:r>
    </w:p>
    <w:p w14:paraId="040CDDF4" w14:textId="77777777" w:rsidR="00F37C4B" w:rsidRPr="00DF00E7" w:rsidRDefault="00F37C4B" w:rsidP="00F37C4B">
      <w:pPr>
        <w:tabs>
          <w:tab w:val="left" w:pos="567"/>
        </w:tabs>
        <w:ind w:left="2552" w:hanging="425"/>
      </w:pPr>
    </w:p>
    <w:p w14:paraId="7CAB80F9" w14:textId="77777777" w:rsidR="00F37C4B" w:rsidRPr="00DF00E7" w:rsidRDefault="00F37C4B" w:rsidP="00F37C4B">
      <w:pPr>
        <w:tabs>
          <w:tab w:val="left" w:pos="567"/>
        </w:tabs>
        <w:ind w:left="2552" w:hanging="425"/>
      </w:pPr>
    </w:p>
    <w:p w14:paraId="5A7FDE85" w14:textId="326967C4" w:rsidR="00F37C4B" w:rsidRPr="00DF00E7" w:rsidRDefault="00F37C4B" w:rsidP="00F37C4B">
      <w:pPr>
        <w:tabs>
          <w:tab w:val="left" w:pos="567"/>
        </w:tabs>
        <w:ind w:left="2552"/>
        <w:rPr>
          <w:i/>
        </w:rPr>
      </w:pPr>
      <w:r w:rsidRPr="00DF00E7">
        <w:rPr>
          <w:i/>
        </w:rPr>
        <w:t xml:space="preserve">Příklad: Uspořádání prostranství je v dané lokalitě definováno </w:t>
      </w:r>
      <w:r w:rsidRPr="00DD24E2">
        <w:rPr>
          <w:b/>
          <w:i/>
        </w:rPr>
        <w:t>pojízdné plochy v</w:t>
      </w:r>
      <w:r w:rsidR="00B23DE1">
        <w:rPr>
          <w:b/>
          <w:i/>
        </w:rPr>
        <w:t> </w:t>
      </w:r>
      <w:r w:rsidRPr="00DD24E2">
        <w:rPr>
          <w:b/>
          <w:i/>
        </w:rPr>
        <w:t>minimálních nezbytných dimenzích</w:t>
      </w:r>
      <w:r w:rsidRPr="00DF00E7">
        <w:rPr>
          <w:i/>
        </w:rPr>
        <w:t xml:space="preserve">, tzn., že </w:t>
      </w:r>
      <w:r>
        <w:rPr>
          <w:i/>
        </w:rPr>
        <w:t>hlavní dopraní prostor komunikací je požadováno řešit jako prostorově úsporný, případně komunikaci řešit jako sdílenou nebo obytnou zónu tam, kde je to z hlediska koncepce dopravního řešení možné.</w:t>
      </w:r>
    </w:p>
    <w:p w14:paraId="76887D23" w14:textId="77777777" w:rsidR="00F37C4B" w:rsidRPr="00DF00E7" w:rsidRDefault="00F37C4B" w:rsidP="00F37C4B">
      <w:pPr>
        <w:tabs>
          <w:tab w:val="left" w:pos="567"/>
        </w:tabs>
        <w:ind w:left="2552" w:hanging="425"/>
        <w:rPr>
          <w:b/>
        </w:rPr>
      </w:pPr>
      <w:r w:rsidRPr="00DF00E7">
        <w:rPr>
          <w:b/>
        </w:rPr>
        <w:br w:type="page"/>
      </w:r>
    </w:p>
    <w:p w14:paraId="6D35AC56" w14:textId="77777777" w:rsidR="00F37C4B" w:rsidRPr="00DF00E7" w:rsidRDefault="00F37C4B" w:rsidP="00F37C4B">
      <w:pPr>
        <w:tabs>
          <w:tab w:val="left" w:pos="567"/>
        </w:tabs>
        <w:ind w:left="2552" w:right="-1"/>
      </w:pPr>
      <w:r w:rsidRPr="00DF00E7">
        <w:rPr>
          <w:b/>
        </w:rPr>
        <w:lastRenderedPageBreak/>
        <w:t>Uspořádání zástavby</w:t>
      </w:r>
      <w:r w:rsidRPr="00DF00E7">
        <w:t xml:space="preserve"> – řeší uspořádání zástavby ve vztahu k veřejným prostranstvím i ostatní zástavbě. Tyto vztahy spoluurčují charakter zástavby stanovením orientace na plochu veřejného prostranství (kVP, sVP), vzdálenosti od plochy veřejného prostranství a formy zástavby. </w:t>
      </w:r>
    </w:p>
    <w:p w14:paraId="3F214C90" w14:textId="77777777" w:rsidR="00F37C4B" w:rsidRPr="00DF00E7" w:rsidRDefault="00F37C4B" w:rsidP="00F37C4B">
      <w:pPr>
        <w:tabs>
          <w:tab w:val="left" w:pos="567"/>
        </w:tabs>
        <w:ind w:left="2552" w:right="2834" w:hanging="425"/>
      </w:pPr>
    </w:p>
    <w:p w14:paraId="7B830ABF" w14:textId="77777777" w:rsidR="00F37C4B" w:rsidRPr="00DF00E7" w:rsidRDefault="00F37C4B" w:rsidP="00F37C4B">
      <w:pPr>
        <w:tabs>
          <w:tab w:val="left" w:pos="567"/>
        </w:tabs>
        <w:ind w:left="2552" w:right="2834" w:hanging="425"/>
        <w:rPr>
          <w:i/>
        </w:rPr>
      </w:pPr>
      <w:r w:rsidRPr="00DF00E7">
        <w:rPr>
          <w:i/>
          <w:noProof/>
        </w:rPr>
        <mc:AlternateContent>
          <mc:Choice Requires="wps">
            <w:drawing>
              <wp:anchor distT="0" distB="0" distL="114300" distR="114300" simplePos="0" relativeHeight="252017152" behindDoc="0" locked="0" layoutInCell="1" allowOverlap="1" wp14:anchorId="3EB0EBCD" wp14:editId="2452DC55">
                <wp:simplePos x="0" y="0"/>
                <wp:positionH relativeFrom="margin">
                  <wp:posOffset>3706495</wp:posOffset>
                </wp:positionH>
                <wp:positionV relativeFrom="paragraph">
                  <wp:posOffset>2119360</wp:posOffset>
                </wp:positionV>
                <wp:extent cx="1868556" cy="339725"/>
                <wp:effectExtent l="0" t="0" r="0" b="0"/>
                <wp:wrapNone/>
                <wp:docPr id="47" name="Textové pole 4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68556" cy="3397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7E00FF0" w14:textId="77777777" w:rsidR="00F37C4B" w:rsidRDefault="00F37C4B" w:rsidP="00F37C4B">
                            <w:pPr>
                              <w:ind w:left="0"/>
                              <w:jc w:val="center"/>
                              <w:rPr>
                                <w:b/>
                                <w:sz w:val="16"/>
                                <w:szCs w:val="16"/>
                              </w:rPr>
                            </w:pPr>
                            <w:r w:rsidRPr="00512BD0">
                              <w:rPr>
                                <w:b/>
                                <w:sz w:val="16"/>
                                <w:szCs w:val="16"/>
                              </w:rPr>
                              <w:t xml:space="preserve">Ilustrace </w:t>
                            </w:r>
                            <w:r>
                              <w:rPr>
                                <w:b/>
                                <w:sz w:val="16"/>
                                <w:szCs w:val="16"/>
                              </w:rPr>
                              <w:t>uspořádání zástavby</w:t>
                            </w:r>
                          </w:p>
                          <w:p w14:paraId="79D047C5" w14:textId="77777777" w:rsidR="00F37C4B" w:rsidRPr="00512BD0" w:rsidRDefault="00F37C4B" w:rsidP="00F37C4B">
                            <w:pPr>
                              <w:ind w:left="0"/>
                              <w:jc w:val="center"/>
                              <w:rPr>
                                <w:b/>
                                <w:sz w:val="16"/>
                                <w:szCs w:val="16"/>
                              </w:rPr>
                            </w:pPr>
                            <w:r>
                              <w:rPr>
                                <w:b/>
                                <w:sz w:val="16"/>
                                <w:szCs w:val="16"/>
                              </w:rPr>
                              <w:t>pozemku sVP</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w14:anchorId="3EB0EBCD" id="Textové pole 47" o:spid="_x0000_s1033" type="#_x0000_t202" style="position:absolute;left:0;text-align:left;margin-left:291.85pt;margin-top:166.9pt;width:147.15pt;height:26.75pt;z-index:252017152;visibility:visible;mso-wrap-style:square;mso-width-percent:0;mso-height-percent:200;mso-wrap-distance-left:9pt;mso-wrap-distance-top:0;mso-wrap-distance-right:9pt;mso-wrap-distance-bottom:0;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" filled="f" stroked="f">
                <v:textbox style="mso-fit-shape-to-text:t">
                  <w:txbxContent>
                    <w:p w14:paraId="47E00FF0" w14:textId="77777777" w:rsidR="00F37C4B" w:rsidRDefault="00F37C4B" w:rsidP="00F37C4B">
                      <w:pPr>
                        <w:ind w:left="0"/>
                        <w:jc w:val="center"/>
                        <w:rPr>
                          <w:b/>
                          <w:sz w:val="16"/>
                          <w:szCs w:val="16"/>
                        </w:rPr>
                      </w:pPr>
                      <w:r w:rsidRPr="00512BD0">
                        <w:rPr>
                          <w:b/>
                          <w:sz w:val="16"/>
                          <w:szCs w:val="16"/>
                        </w:rPr>
                        <w:t xml:space="preserve">Ilustrace </w:t>
                      </w:r>
                      <w:r>
                        <w:rPr>
                          <w:b/>
                          <w:sz w:val="16"/>
                          <w:szCs w:val="16"/>
                        </w:rPr>
                        <w:t>uspořádání zástavby</w:t>
                      </w:r>
                    </w:p>
                    <w:p w14:paraId="79D047C5" w14:textId="77777777" w:rsidR="00F37C4B" w:rsidRPr="00512BD0" w:rsidRDefault="00F37C4B" w:rsidP="00F37C4B">
                      <w:pPr>
                        <w:ind w:left="0"/>
                        <w:jc w:val="center"/>
                        <w:rPr>
                          <w:b/>
                          <w:sz w:val="16"/>
                          <w:szCs w:val="16"/>
                        </w:rPr>
                      </w:pPr>
                      <w:r>
                        <w:rPr>
                          <w:b/>
                          <w:sz w:val="16"/>
                          <w:szCs w:val="16"/>
                        </w:rPr>
                        <w:t>pozemku sVP</w:t>
                      </w:r>
                    </w:p>
                  </w:txbxContent>
                </v:textbox>
                <w10:wrap anchorx="margin"/>
              </v:shape>
            </w:pict>
          </mc:Fallback>
        </mc:AlternateContent>
      </w:r>
      <w:r w:rsidRPr="00DF00E7">
        <w:rPr>
          <w:noProof/>
        </w:rPr>
        <w:drawing>
          <wp:anchor distT="0" distB="0" distL="114300" distR="114300" simplePos="0" relativeHeight="252011008" behindDoc="0" locked="0" layoutInCell="1" allowOverlap="1" wp14:anchorId="19DB7FF3" wp14:editId="14C8434E">
            <wp:simplePos x="0" y="0"/>
            <wp:positionH relativeFrom="column">
              <wp:posOffset>3856769</wp:posOffset>
            </wp:positionH>
            <wp:positionV relativeFrom="paragraph">
              <wp:posOffset>324789</wp:posOffset>
            </wp:positionV>
            <wp:extent cx="1465200" cy="1465200"/>
            <wp:effectExtent l="0" t="0" r="1905" b="1905"/>
            <wp:wrapNone/>
            <wp:docPr id="48" name="Obrázek 48" descr="uhoUP_regulativy_lokalit-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descr="uhoUP_regulativy_lokalit-09"/>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465200" cy="1465200"/>
                    </a:xfrm>
                    <a:prstGeom prst="rect">
                      <a:avLst/>
                    </a:prstGeom>
                    <a:noFill/>
                  </pic:spPr>
                </pic:pic>
              </a:graphicData>
            </a:graphic>
            <wp14:sizeRelH relativeFrom="page">
              <wp14:pctWidth>0</wp14:pctWidth>
            </wp14:sizeRelH>
            <wp14:sizeRelV relativeFrom="page">
              <wp14:pctHeight>0</wp14:pctHeight>
            </wp14:sizeRelV>
          </wp:anchor>
        </w:drawing>
      </w:r>
      <w:r w:rsidRPr="00DF00E7">
        <w:tab/>
      </w:r>
      <w:r w:rsidRPr="00DF00E7">
        <w:rPr>
          <w:i/>
        </w:rPr>
        <w:t xml:space="preserve">Příklad: Orientace na plochu veřejného prostranství je stanovena orientací poměrově delší strany nebo hřebenu buď k veřejnému prostranství (kVP, dle ilustrace) nebo podélně s veřejným prostranstvím (sVP, dle ilustrace). Pokud je pro pozemek stanovena orientace kVP i sVP, nebo navazuje na plochu veřejného prostranství, která mu obě polohy umožňují, lze orientovat zástavbu oběma způsoby. Pokud pro pozemek není stanovena orientace, lze zástavbu orientovat libovolným směrem. </w:t>
      </w:r>
    </w:p>
    <w:p w14:paraId="6D404ACE" w14:textId="77777777" w:rsidR="00F37C4B" w:rsidRPr="00DF00E7" w:rsidRDefault="00F37C4B" w:rsidP="00F37C4B">
      <w:pPr>
        <w:tabs>
          <w:tab w:val="left" w:pos="567"/>
        </w:tabs>
        <w:ind w:left="2552" w:right="2834" w:hanging="425"/>
      </w:pPr>
    </w:p>
    <w:p w14:paraId="56829FC5" w14:textId="77777777" w:rsidR="00F37C4B" w:rsidRPr="00DF00E7" w:rsidRDefault="00F37C4B" w:rsidP="00F37C4B">
      <w:pPr>
        <w:tabs>
          <w:tab w:val="left" w:pos="567"/>
        </w:tabs>
        <w:ind w:left="2552" w:right="2834" w:hanging="425"/>
        <w:rPr>
          <w:i/>
        </w:rPr>
      </w:pPr>
      <w:r w:rsidRPr="00DF00E7">
        <w:tab/>
      </w:r>
      <w:r w:rsidRPr="00DF00E7">
        <w:rPr>
          <w:i/>
        </w:rPr>
        <w:t xml:space="preserve">Příklad: Uspořádání zástavby je v dané lokalitě definováno </w:t>
      </w:r>
      <w:r w:rsidRPr="00DF00E7">
        <w:rPr>
          <w:b/>
          <w:i/>
        </w:rPr>
        <w:t>sVP</w:t>
      </w:r>
      <w:r w:rsidRPr="00DF00E7">
        <w:rPr>
          <w:i/>
        </w:rPr>
        <w:t>, tzn., že hlavní objekt pozemku musí být orientován podélně s veřejným prostranstvím ulice.</w:t>
      </w:r>
    </w:p>
    <w:p w14:paraId="6C3827CC" w14:textId="77777777" w:rsidR="00F37C4B" w:rsidRDefault="00F37C4B" w:rsidP="00F37C4B">
      <w:pPr>
        <w:tabs>
          <w:tab w:val="left" w:pos="567"/>
        </w:tabs>
        <w:ind w:left="0"/>
      </w:pPr>
    </w:p>
    <w:p w14:paraId="415BB824" w14:textId="77777777" w:rsidR="00F37C4B" w:rsidRPr="00DF00E7" w:rsidRDefault="00F37C4B" w:rsidP="00F37C4B">
      <w:pPr>
        <w:tabs>
          <w:tab w:val="left" w:pos="567"/>
        </w:tabs>
        <w:ind w:left="0"/>
      </w:pPr>
    </w:p>
    <w:p w14:paraId="76B420CE" w14:textId="77777777" w:rsidR="00F37C4B" w:rsidRPr="00DF00E7" w:rsidRDefault="00F37C4B" w:rsidP="00F37C4B">
      <w:pPr>
        <w:tabs>
          <w:tab w:val="left" w:pos="567"/>
        </w:tabs>
        <w:ind w:left="2552" w:hanging="425"/>
      </w:pPr>
      <w:r w:rsidRPr="00DF00E7">
        <w:rPr>
          <w:noProof/>
        </w:rPr>
        <w:drawing>
          <wp:anchor distT="0" distB="0" distL="114300" distR="114300" simplePos="0" relativeHeight="252012032" behindDoc="0" locked="0" layoutInCell="1" allowOverlap="1" wp14:anchorId="61CAB963" wp14:editId="3936F1B1">
            <wp:simplePos x="0" y="0"/>
            <wp:positionH relativeFrom="column">
              <wp:posOffset>1584960</wp:posOffset>
            </wp:positionH>
            <wp:positionV relativeFrom="paragraph">
              <wp:posOffset>179070</wp:posOffset>
            </wp:positionV>
            <wp:extent cx="1465200" cy="1465200"/>
            <wp:effectExtent l="0" t="0" r="1905" b="1905"/>
            <wp:wrapNone/>
            <wp:docPr id="46" name="Obrázek 46" descr="uhoUP_regulativy_lokalit-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descr="uhoUP_regulativy_lokalit-10"/>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465200" cy="1465200"/>
                    </a:xfrm>
                    <a:prstGeom prst="rect">
                      <a:avLst/>
                    </a:prstGeom>
                    <a:noFill/>
                  </pic:spPr>
                </pic:pic>
              </a:graphicData>
            </a:graphic>
            <wp14:sizeRelH relativeFrom="page">
              <wp14:pctWidth>0</wp14:pctWidth>
            </wp14:sizeRelH>
            <wp14:sizeRelV relativeFrom="page">
              <wp14:pctHeight>0</wp14:pctHeight>
            </wp14:sizeRelV>
          </wp:anchor>
        </w:drawing>
      </w:r>
    </w:p>
    <w:p w14:paraId="775B75F8" w14:textId="3C4117EF" w:rsidR="00F37C4B" w:rsidRDefault="00F37C4B" w:rsidP="00F37C4B">
      <w:pPr>
        <w:tabs>
          <w:tab w:val="left" w:pos="567"/>
        </w:tabs>
        <w:ind w:left="5103"/>
        <w:rPr>
          <w:noProof/>
        </w:rPr>
      </w:pPr>
      <w:r w:rsidRPr="00DF00E7">
        <w:t>Maximální vzdálenost hlavní stavby od plochy veřejného prostranství je doporučena dle navazující sousední, případně okolní zástavby v lokalitě. Měří se od hranice navazující plochy veřejného prostranství.</w:t>
      </w:r>
      <w:r w:rsidRPr="00DF00E7">
        <w:rPr>
          <w:b/>
          <w:noProof/>
        </w:rPr>
        <w:t xml:space="preserve"> </w:t>
      </w:r>
    </w:p>
    <w:p w14:paraId="38ADB8E2" w14:textId="77777777" w:rsidR="00B23DE1" w:rsidRPr="00DF00E7" w:rsidRDefault="00B23DE1" w:rsidP="00F37C4B">
      <w:pPr>
        <w:tabs>
          <w:tab w:val="left" w:pos="567"/>
        </w:tabs>
        <w:ind w:left="5103"/>
        <w:rPr>
          <w:b/>
          <w:noProof/>
        </w:rPr>
      </w:pPr>
    </w:p>
    <w:p w14:paraId="0AC9A41B" w14:textId="77777777" w:rsidR="00F37C4B" w:rsidRPr="00DF00E7" w:rsidRDefault="00F37C4B" w:rsidP="00F37C4B">
      <w:pPr>
        <w:tabs>
          <w:tab w:val="left" w:pos="567"/>
        </w:tabs>
        <w:ind w:left="5103"/>
        <w:rPr>
          <w:b/>
          <w:noProof/>
        </w:rPr>
      </w:pPr>
    </w:p>
    <w:p w14:paraId="74A960C5" w14:textId="77777777" w:rsidR="00F37C4B" w:rsidRPr="00DF00E7" w:rsidRDefault="00F37C4B" w:rsidP="00F37C4B">
      <w:pPr>
        <w:tabs>
          <w:tab w:val="left" w:pos="567"/>
        </w:tabs>
        <w:ind w:left="5103"/>
        <w:rPr>
          <w:i/>
        </w:rPr>
      </w:pPr>
      <w:r w:rsidRPr="00DF00E7">
        <w:rPr>
          <w:noProof/>
        </w:rPr>
        <mc:AlternateContent>
          <mc:Choice Requires="wps">
            <w:drawing>
              <wp:anchor distT="0" distB="0" distL="114300" distR="114300" simplePos="0" relativeHeight="252018176" behindDoc="0" locked="0" layoutInCell="1" allowOverlap="1" wp14:anchorId="0BE2EE44" wp14:editId="1BDB6DD0">
                <wp:simplePos x="0" y="0"/>
                <wp:positionH relativeFrom="margin">
                  <wp:posOffset>1438855</wp:posOffset>
                </wp:positionH>
                <wp:positionV relativeFrom="paragraph">
                  <wp:posOffset>257258</wp:posOffset>
                </wp:positionV>
                <wp:extent cx="1695395" cy="339725"/>
                <wp:effectExtent l="0" t="0" r="0" b="3175"/>
                <wp:wrapNone/>
                <wp:docPr id="45" name="Textové pole 4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95395" cy="3397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8CCFE8" w14:textId="77777777" w:rsidR="00F37C4B" w:rsidRDefault="00F37C4B" w:rsidP="00F37C4B">
                            <w:pPr>
                              <w:ind w:left="0"/>
                              <w:jc w:val="center"/>
                              <w:rPr>
                                <w:b/>
                                <w:sz w:val="16"/>
                                <w:szCs w:val="16"/>
                              </w:rPr>
                            </w:pPr>
                            <w:r w:rsidRPr="00512BD0">
                              <w:rPr>
                                <w:b/>
                                <w:sz w:val="16"/>
                                <w:szCs w:val="16"/>
                              </w:rPr>
                              <w:t xml:space="preserve">Ilustrace </w:t>
                            </w:r>
                            <w:r>
                              <w:rPr>
                                <w:b/>
                                <w:sz w:val="16"/>
                                <w:szCs w:val="16"/>
                              </w:rPr>
                              <w:t>uspořádání zástavby</w:t>
                            </w:r>
                          </w:p>
                          <w:p w14:paraId="7710B1DF" w14:textId="77777777" w:rsidR="00F37C4B" w:rsidRPr="00512BD0" w:rsidRDefault="00F37C4B" w:rsidP="00F37C4B">
                            <w:pPr>
                              <w:ind w:left="0"/>
                              <w:jc w:val="center"/>
                              <w:rPr>
                                <w:b/>
                                <w:sz w:val="16"/>
                                <w:szCs w:val="16"/>
                              </w:rPr>
                            </w:pPr>
                            <w:r>
                              <w:rPr>
                                <w:b/>
                                <w:sz w:val="16"/>
                                <w:szCs w:val="16"/>
                              </w:rPr>
                              <w:t>pozemku kVP</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w14:anchorId="0BE2EE44" id="Textové pole 45" o:spid="_x0000_s1034" type="#_x0000_t202" style="position:absolute;left:0;text-align:left;margin-left:113.3pt;margin-top:20.25pt;width:133.5pt;height:26.75pt;z-index:252018176;visibility:visible;mso-wrap-style:square;mso-width-percent:0;mso-height-percent:200;mso-wrap-distance-left:9pt;mso-wrap-distance-top:0;mso-wrap-distance-right:9pt;mso-wrap-distance-bottom:0;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" filled="f" stroked="f">
                <v:textbox style="mso-fit-shape-to-text:t">
                  <w:txbxContent>
                    <w:p w14:paraId="2A8CCFE8" w14:textId="77777777" w:rsidR="00F37C4B" w:rsidRDefault="00F37C4B" w:rsidP="00F37C4B">
                      <w:pPr>
                        <w:ind w:left="0"/>
                        <w:jc w:val="center"/>
                        <w:rPr>
                          <w:b/>
                          <w:sz w:val="16"/>
                          <w:szCs w:val="16"/>
                        </w:rPr>
                      </w:pPr>
                      <w:r w:rsidRPr="00512BD0">
                        <w:rPr>
                          <w:b/>
                          <w:sz w:val="16"/>
                          <w:szCs w:val="16"/>
                        </w:rPr>
                        <w:t xml:space="preserve">Ilustrace </w:t>
                      </w:r>
                      <w:r>
                        <w:rPr>
                          <w:b/>
                          <w:sz w:val="16"/>
                          <w:szCs w:val="16"/>
                        </w:rPr>
                        <w:t>uspořádání zástavby</w:t>
                      </w:r>
                    </w:p>
                    <w:p w14:paraId="7710B1DF" w14:textId="77777777" w:rsidR="00F37C4B" w:rsidRPr="00512BD0" w:rsidRDefault="00F37C4B" w:rsidP="00F37C4B">
                      <w:pPr>
                        <w:ind w:left="0"/>
                        <w:jc w:val="center"/>
                        <w:rPr>
                          <w:b/>
                          <w:sz w:val="16"/>
                          <w:szCs w:val="16"/>
                        </w:rPr>
                      </w:pPr>
                      <w:r>
                        <w:rPr>
                          <w:b/>
                          <w:sz w:val="16"/>
                          <w:szCs w:val="16"/>
                        </w:rPr>
                        <w:t>pozemku kVP</w:t>
                      </w:r>
                    </w:p>
                  </w:txbxContent>
                </v:textbox>
                <w10:wrap anchorx="margin"/>
              </v:shape>
            </w:pict>
          </mc:Fallback>
        </mc:AlternateContent>
      </w:r>
      <w:r w:rsidRPr="00DF00E7">
        <w:rPr>
          <w:i/>
        </w:rPr>
        <w:t>Příklad: V dané lokalitě je na sousedních pozemcích vzdálenost hlavní stavby od VP 7 a 5 m. V lokalitě je doporučena max. vzdálenost od VP 6 m. Hlavní stavba na</w:t>
      </w:r>
      <w:r>
        <w:rPr>
          <w:i/>
        </w:rPr>
        <w:t> </w:t>
      </w:r>
      <w:r w:rsidRPr="00DF00E7">
        <w:rPr>
          <w:i/>
        </w:rPr>
        <w:t>předmětném pozemku má danou max. vzdálenost od veřejného prostranství mezi 5 až 7 m, optimálně 6 m.</w:t>
      </w:r>
    </w:p>
    <w:p w14:paraId="20F251EA" w14:textId="77777777" w:rsidR="00F37C4B" w:rsidRPr="00DF00E7" w:rsidRDefault="00F37C4B" w:rsidP="00F37C4B">
      <w:pPr>
        <w:tabs>
          <w:tab w:val="left" w:pos="567"/>
        </w:tabs>
        <w:ind w:left="5103"/>
        <w:rPr>
          <w:i/>
          <w:highlight w:val="yellow"/>
        </w:rPr>
      </w:pPr>
    </w:p>
    <w:p w14:paraId="0B3D4AAA" w14:textId="77777777" w:rsidR="00F37C4B" w:rsidRDefault="00F37C4B" w:rsidP="00F37C4B">
      <w:pPr>
        <w:tabs>
          <w:tab w:val="left" w:pos="567"/>
        </w:tabs>
        <w:ind w:left="2552" w:hanging="425"/>
      </w:pPr>
      <w:r w:rsidRPr="00DF00E7">
        <w:tab/>
      </w:r>
    </w:p>
    <w:p w14:paraId="49660844" w14:textId="77777777" w:rsidR="00F37C4B" w:rsidRDefault="00F37C4B" w:rsidP="00F37C4B">
      <w:pPr>
        <w:spacing w:before="0" w:after="0"/>
        <w:ind w:left="0"/>
        <w:jc w:val="left"/>
      </w:pPr>
      <w:r>
        <w:br w:type="page"/>
      </w:r>
    </w:p>
    <w:p w14:paraId="6A57EE7E" w14:textId="77777777" w:rsidR="00F37C4B" w:rsidRPr="00DF00E7" w:rsidRDefault="00F37C4B" w:rsidP="00F37C4B">
      <w:pPr>
        <w:tabs>
          <w:tab w:val="left" w:pos="567"/>
        </w:tabs>
        <w:ind w:left="2552" w:hanging="425"/>
      </w:pPr>
    </w:p>
    <w:p w14:paraId="4A655727" w14:textId="77777777" w:rsidR="00F37C4B" w:rsidRPr="00DF00E7" w:rsidRDefault="00F37C4B" w:rsidP="00F37C4B">
      <w:pPr>
        <w:tabs>
          <w:tab w:val="left" w:pos="567"/>
        </w:tabs>
        <w:ind w:left="2552" w:right="2834" w:hanging="425"/>
      </w:pPr>
      <w:r w:rsidRPr="00DF00E7">
        <w:rPr>
          <w:noProof/>
        </w:rPr>
        <w:drawing>
          <wp:anchor distT="0" distB="0" distL="114300" distR="114300" simplePos="0" relativeHeight="252013056" behindDoc="0" locked="0" layoutInCell="1" allowOverlap="1" wp14:anchorId="4C108680" wp14:editId="3104B059">
            <wp:simplePos x="0" y="0"/>
            <wp:positionH relativeFrom="margin">
              <wp:align>right</wp:align>
            </wp:positionH>
            <wp:positionV relativeFrom="paragraph">
              <wp:posOffset>6323</wp:posOffset>
            </wp:positionV>
            <wp:extent cx="1465200" cy="1465200"/>
            <wp:effectExtent l="0" t="0" r="1905" b="1905"/>
            <wp:wrapNone/>
            <wp:docPr id="44" name="Obrázek 44" descr="uhoUP_regulativy_lokalit-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descr="uhoUP_regulativy_lokalit-1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465200" cy="1465200"/>
                    </a:xfrm>
                    <a:prstGeom prst="rect">
                      <a:avLst/>
                    </a:prstGeom>
                    <a:noFill/>
                  </pic:spPr>
                </pic:pic>
              </a:graphicData>
            </a:graphic>
            <wp14:sizeRelH relativeFrom="page">
              <wp14:pctWidth>0</wp14:pctWidth>
            </wp14:sizeRelH>
            <wp14:sizeRelV relativeFrom="page">
              <wp14:pctHeight>0</wp14:pctHeight>
            </wp14:sizeRelV>
          </wp:anchor>
        </w:drawing>
      </w:r>
      <w:r w:rsidRPr="00DF00E7">
        <w:tab/>
        <w:t>Forma zástavby určuje typologii zástavby, a to buď jako zástavbu samostatnou (zástavba jednotlivými objekty), skupinovou (zástavba dvojicemi a trojicemi objektů), řadovou (zástavba řadou objektů – tj. více než třemi), blokem/ dvorcovým uspořádáním (zástavba tvořící převážně kompaktní skupiny domů kolem vnitřního prostranství).</w:t>
      </w:r>
    </w:p>
    <w:p w14:paraId="2CCD44EB" w14:textId="77777777" w:rsidR="00F37C4B" w:rsidRPr="00DF00E7" w:rsidRDefault="00F37C4B" w:rsidP="00F37C4B">
      <w:pPr>
        <w:tabs>
          <w:tab w:val="left" w:pos="567"/>
        </w:tabs>
        <w:ind w:left="2552" w:right="2834" w:hanging="425"/>
      </w:pPr>
    </w:p>
    <w:p w14:paraId="59D9A55D" w14:textId="77777777" w:rsidR="00F37C4B" w:rsidRPr="00DF00E7" w:rsidRDefault="00F37C4B" w:rsidP="00F37C4B">
      <w:pPr>
        <w:tabs>
          <w:tab w:val="left" w:pos="567"/>
        </w:tabs>
        <w:ind w:left="2552" w:right="2834" w:hanging="425"/>
        <w:rPr>
          <w:i/>
        </w:rPr>
      </w:pPr>
      <w:r w:rsidRPr="00DF00E7">
        <w:rPr>
          <w:noProof/>
        </w:rPr>
        <mc:AlternateContent>
          <mc:Choice Requires="wps">
            <w:drawing>
              <wp:anchor distT="0" distB="0" distL="114300" distR="114300" simplePos="0" relativeHeight="252019200" behindDoc="0" locked="0" layoutInCell="1" allowOverlap="1" wp14:anchorId="1BEE03A0" wp14:editId="150DDAEF">
                <wp:simplePos x="0" y="0"/>
                <wp:positionH relativeFrom="column">
                  <wp:posOffset>3928745</wp:posOffset>
                </wp:positionH>
                <wp:positionV relativeFrom="paragraph">
                  <wp:posOffset>18023</wp:posOffset>
                </wp:positionV>
                <wp:extent cx="1560223" cy="339725"/>
                <wp:effectExtent l="0" t="0" r="0" b="3175"/>
                <wp:wrapNone/>
                <wp:docPr id="43" name="Textové pole 4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60223" cy="3397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CDB24E2" w14:textId="77777777" w:rsidR="00F37C4B" w:rsidRDefault="00F37C4B" w:rsidP="00F37C4B">
                            <w:pPr>
                              <w:ind w:left="0"/>
                              <w:jc w:val="center"/>
                              <w:rPr>
                                <w:b/>
                                <w:sz w:val="16"/>
                                <w:szCs w:val="16"/>
                              </w:rPr>
                            </w:pPr>
                            <w:r w:rsidRPr="00512BD0">
                              <w:rPr>
                                <w:b/>
                                <w:sz w:val="16"/>
                                <w:szCs w:val="16"/>
                              </w:rPr>
                              <w:t xml:space="preserve">Ilustrace </w:t>
                            </w:r>
                            <w:r>
                              <w:rPr>
                                <w:b/>
                                <w:sz w:val="16"/>
                                <w:szCs w:val="16"/>
                              </w:rPr>
                              <w:t>uspořádání zástavby</w:t>
                            </w:r>
                          </w:p>
                          <w:p w14:paraId="3E22C486" w14:textId="77777777" w:rsidR="00F37C4B" w:rsidRPr="00512BD0" w:rsidRDefault="00F37C4B" w:rsidP="00F37C4B">
                            <w:pPr>
                              <w:ind w:left="0"/>
                              <w:jc w:val="center"/>
                              <w:rPr>
                                <w:b/>
                                <w:sz w:val="16"/>
                                <w:szCs w:val="16"/>
                              </w:rPr>
                            </w:pPr>
                            <w:r>
                              <w:rPr>
                                <w:b/>
                                <w:sz w:val="16"/>
                                <w:szCs w:val="16"/>
                              </w:rPr>
                              <w:t>a její různé typologie</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w14:anchorId="1BEE03A0" id="Textové pole 43" o:spid="_x0000_s1035" type="#_x0000_t202" style="position:absolute;left:0;text-align:left;margin-left:309.35pt;margin-top:1.4pt;width:122.85pt;height:26.75pt;z-index:252019200;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" filled="f" stroked="f">
                <v:textbox style="mso-fit-shape-to-text:t">
                  <w:txbxContent>
                    <w:p w14:paraId="3CDB24E2" w14:textId="77777777" w:rsidR="00F37C4B" w:rsidRDefault="00F37C4B" w:rsidP="00F37C4B">
                      <w:pPr>
                        <w:ind w:left="0"/>
                        <w:jc w:val="center"/>
                        <w:rPr>
                          <w:b/>
                          <w:sz w:val="16"/>
                          <w:szCs w:val="16"/>
                        </w:rPr>
                      </w:pPr>
                      <w:r w:rsidRPr="00512BD0">
                        <w:rPr>
                          <w:b/>
                          <w:sz w:val="16"/>
                          <w:szCs w:val="16"/>
                        </w:rPr>
                        <w:t xml:space="preserve">Ilustrace </w:t>
                      </w:r>
                      <w:r>
                        <w:rPr>
                          <w:b/>
                          <w:sz w:val="16"/>
                          <w:szCs w:val="16"/>
                        </w:rPr>
                        <w:t>uspořádání zástavby</w:t>
                      </w:r>
                    </w:p>
                    <w:p w14:paraId="3E22C486" w14:textId="77777777" w:rsidR="00F37C4B" w:rsidRPr="00512BD0" w:rsidRDefault="00F37C4B" w:rsidP="00F37C4B">
                      <w:pPr>
                        <w:ind w:left="0"/>
                        <w:jc w:val="center"/>
                        <w:rPr>
                          <w:b/>
                          <w:sz w:val="16"/>
                          <w:szCs w:val="16"/>
                        </w:rPr>
                      </w:pPr>
                      <w:r>
                        <w:rPr>
                          <w:b/>
                          <w:sz w:val="16"/>
                          <w:szCs w:val="16"/>
                        </w:rPr>
                        <w:t>a její různé typologie</w:t>
                      </w:r>
                    </w:p>
                  </w:txbxContent>
                </v:textbox>
              </v:shape>
            </w:pict>
          </mc:Fallback>
        </mc:AlternateContent>
      </w:r>
      <w:r w:rsidRPr="00DF00E7">
        <w:tab/>
      </w:r>
      <w:r w:rsidRPr="00DF00E7">
        <w:rPr>
          <w:i/>
        </w:rPr>
        <w:t xml:space="preserve">Příklad: Uspořádání zástavby je v dané lokalitě stanoveno </w:t>
      </w:r>
      <w:r w:rsidRPr="00DF00E7">
        <w:rPr>
          <w:b/>
          <w:i/>
        </w:rPr>
        <w:t xml:space="preserve">řadová zástavba není </w:t>
      </w:r>
      <w:r>
        <w:rPr>
          <w:b/>
          <w:i/>
        </w:rPr>
        <w:t>přípustná</w:t>
      </w:r>
      <w:r w:rsidRPr="00DF00E7">
        <w:rPr>
          <w:i/>
        </w:rPr>
        <w:t>, tzn., že hlavní stavby zástavby nemůžou vytvářet řadovou zástavbu.</w:t>
      </w:r>
    </w:p>
    <w:p w14:paraId="0DA9D142" w14:textId="77777777" w:rsidR="00F37C4B" w:rsidRPr="00DF00E7" w:rsidRDefault="00F37C4B" w:rsidP="00F37C4B">
      <w:pPr>
        <w:tabs>
          <w:tab w:val="left" w:pos="567"/>
        </w:tabs>
        <w:ind w:left="2552" w:hanging="425"/>
        <w:rPr>
          <w:b/>
        </w:rPr>
      </w:pPr>
    </w:p>
    <w:p w14:paraId="46CD76BE" w14:textId="77777777" w:rsidR="00F37C4B" w:rsidRPr="00DF00E7" w:rsidRDefault="00F37C4B" w:rsidP="00F37C4B">
      <w:pPr>
        <w:tabs>
          <w:tab w:val="left" w:pos="567"/>
        </w:tabs>
        <w:ind w:left="2552" w:right="2834"/>
        <w:rPr>
          <w:b/>
          <w:noProof/>
        </w:rPr>
      </w:pPr>
      <w:r w:rsidRPr="00DF00E7">
        <w:rPr>
          <w:i/>
          <w:noProof/>
        </w:rPr>
        <mc:AlternateContent>
          <mc:Choice Requires="wps">
            <w:drawing>
              <wp:anchor distT="0" distB="0" distL="114300" distR="114300" simplePos="0" relativeHeight="252020224" behindDoc="0" locked="0" layoutInCell="1" allowOverlap="1" wp14:anchorId="4F94B314" wp14:editId="16A6DF35">
                <wp:simplePos x="0" y="0"/>
                <wp:positionH relativeFrom="column">
                  <wp:posOffset>3562701</wp:posOffset>
                </wp:positionH>
                <wp:positionV relativeFrom="paragraph">
                  <wp:posOffset>1576502</wp:posOffset>
                </wp:positionV>
                <wp:extent cx="2089069" cy="339725"/>
                <wp:effectExtent l="0" t="0" r="0" b="3175"/>
                <wp:wrapNone/>
                <wp:docPr id="41" name="Textové pole 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89069" cy="3397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84BA6ED" w14:textId="77777777" w:rsidR="00F37C4B" w:rsidRDefault="00F37C4B" w:rsidP="00F37C4B">
                            <w:pPr>
                              <w:ind w:left="0"/>
                              <w:jc w:val="center"/>
                              <w:rPr>
                                <w:b/>
                                <w:sz w:val="16"/>
                                <w:szCs w:val="16"/>
                              </w:rPr>
                            </w:pPr>
                            <w:r w:rsidRPr="00512BD0">
                              <w:rPr>
                                <w:b/>
                                <w:sz w:val="16"/>
                                <w:szCs w:val="16"/>
                              </w:rPr>
                              <w:t xml:space="preserve">Ilustrace </w:t>
                            </w:r>
                            <w:r>
                              <w:rPr>
                                <w:b/>
                                <w:sz w:val="16"/>
                                <w:szCs w:val="16"/>
                              </w:rPr>
                              <w:t>uspořádání přírodních</w:t>
                            </w:r>
                          </w:p>
                          <w:p w14:paraId="594F7B3B" w14:textId="77777777" w:rsidR="00F37C4B" w:rsidRPr="00512BD0" w:rsidRDefault="00F37C4B" w:rsidP="00F37C4B">
                            <w:pPr>
                              <w:ind w:left="0"/>
                              <w:jc w:val="center"/>
                              <w:rPr>
                                <w:b/>
                                <w:sz w:val="16"/>
                                <w:szCs w:val="16"/>
                              </w:rPr>
                            </w:pPr>
                            <w:r>
                              <w:rPr>
                                <w:b/>
                                <w:sz w:val="16"/>
                                <w:szCs w:val="16"/>
                              </w:rPr>
                              <w:t>prvků a jejich různé typologie</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w14:anchorId="4F94B314" id="Textové pole 41" o:spid="_x0000_s1036" type="#_x0000_t202" style="position:absolute;left:0;text-align:left;margin-left:280.55pt;margin-top:124.15pt;width:164.5pt;height:26.75pt;z-index:252020224;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" filled="f" stroked="f">
                <v:textbox style="mso-fit-shape-to-text:t">
                  <w:txbxContent>
                    <w:p w14:paraId="084BA6ED" w14:textId="77777777" w:rsidR="00F37C4B" w:rsidRDefault="00F37C4B" w:rsidP="00F37C4B">
                      <w:pPr>
                        <w:ind w:left="0"/>
                        <w:jc w:val="center"/>
                        <w:rPr>
                          <w:b/>
                          <w:sz w:val="16"/>
                          <w:szCs w:val="16"/>
                        </w:rPr>
                      </w:pPr>
                      <w:r w:rsidRPr="00512BD0">
                        <w:rPr>
                          <w:b/>
                          <w:sz w:val="16"/>
                          <w:szCs w:val="16"/>
                        </w:rPr>
                        <w:t xml:space="preserve">Ilustrace </w:t>
                      </w:r>
                      <w:r>
                        <w:rPr>
                          <w:b/>
                          <w:sz w:val="16"/>
                          <w:szCs w:val="16"/>
                        </w:rPr>
                        <w:t>uspořádání přírodních</w:t>
                      </w:r>
                    </w:p>
                    <w:p w14:paraId="594F7B3B" w14:textId="77777777" w:rsidR="00F37C4B" w:rsidRPr="00512BD0" w:rsidRDefault="00F37C4B" w:rsidP="00F37C4B">
                      <w:pPr>
                        <w:ind w:left="0"/>
                        <w:jc w:val="center"/>
                        <w:rPr>
                          <w:b/>
                          <w:sz w:val="16"/>
                          <w:szCs w:val="16"/>
                        </w:rPr>
                      </w:pPr>
                      <w:r>
                        <w:rPr>
                          <w:b/>
                          <w:sz w:val="16"/>
                          <w:szCs w:val="16"/>
                        </w:rPr>
                        <w:t>prvků a jejich různé typologie</w:t>
                      </w:r>
                    </w:p>
                  </w:txbxContent>
                </v:textbox>
              </v:shape>
            </w:pict>
          </mc:Fallback>
        </mc:AlternateContent>
      </w:r>
      <w:r w:rsidRPr="00DF00E7">
        <w:rPr>
          <w:noProof/>
        </w:rPr>
        <w:drawing>
          <wp:anchor distT="0" distB="0" distL="114300" distR="114300" simplePos="0" relativeHeight="252014080" behindDoc="0" locked="0" layoutInCell="1" allowOverlap="1" wp14:anchorId="1ACDBF09" wp14:editId="62267A62">
            <wp:simplePos x="0" y="0"/>
            <wp:positionH relativeFrom="column">
              <wp:posOffset>3933933</wp:posOffset>
            </wp:positionH>
            <wp:positionV relativeFrom="paragraph">
              <wp:posOffset>60109</wp:posOffset>
            </wp:positionV>
            <wp:extent cx="1465200" cy="1465200"/>
            <wp:effectExtent l="0" t="0" r="1905" b="1905"/>
            <wp:wrapNone/>
            <wp:docPr id="42" name="Obrázek 42" descr="uhoUP_regulativy_lokalit-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descr="uhoUP_regulativy_lokalit-12"/>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465200" cy="1465200"/>
                    </a:xfrm>
                    <a:prstGeom prst="rect">
                      <a:avLst/>
                    </a:prstGeom>
                    <a:noFill/>
                  </pic:spPr>
                </pic:pic>
              </a:graphicData>
            </a:graphic>
            <wp14:sizeRelH relativeFrom="page">
              <wp14:pctWidth>0</wp14:pctWidth>
            </wp14:sizeRelH>
            <wp14:sizeRelV relativeFrom="page">
              <wp14:pctHeight>0</wp14:pctHeight>
            </wp14:sizeRelV>
          </wp:anchor>
        </w:drawing>
      </w:r>
      <w:r w:rsidRPr="00DF00E7">
        <w:rPr>
          <w:b/>
        </w:rPr>
        <w:t>Uspořádání přírodních prvků</w:t>
      </w:r>
      <w:r w:rsidRPr="00DF00E7">
        <w:t xml:space="preserve"> – řeší uspořádání přírodních prvků a jeho parametry. Podmínka definuje uspořádání významných přírodních prvků v dané lokalitě. Toto uspořádání je podmínkou pro práci s umísťováním prvků ve vztahu k ostatním prvkům a morfologii lokality. Uspořádání je definováno tímto způsobem pro udržení charakteru krajiny a přírodních prvků lokality a uspořádání kulturní krajiny.</w:t>
      </w:r>
      <w:r w:rsidRPr="00DF00E7">
        <w:rPr>
          <w:b/>
          <w:noProof/>
        </w:rPr>
        <w:t xml:space="preserve"> </w:t>
      </w:r>
    </w:p>
    <w:p w14:paraId="53511F7A" w14:textId="77777777" w:rsidR="00F37C4B" w:rsidRPr="00DF00E7" w:rsidRDefault="00F37C4B" w:rsidP="00F37C4B">
      <w:pPr>
        <w:tabs>
          <w:tab w:val="left" w:pos="567"/>
        </w:tabs>
        <w:ind w:left="0" w:right="2834"/>
      </w:pPr>
    </w:p>
    <w:p w14:paraId="6A317DF5" w14:textId="77777777" w:rsidR="00F37C4B" w:rsidRPr="00DF00E7" w:rsidRDefault="00F37C4B" w:rsidP="00F37C4B">
      <w:pPr>
        <w:tabs>
          <w:tab w:val="left" w:pos="567"/>
        </w:tabs>
        <w:ind w:left="2552" w:right="2834"/>
        <w:rPr>
          <w:i/>
        </w:rPr>
      </w:pPr>
      <w:r w:rsidRPr="00DF00E7">
        <w:rPr>
          <w:i/>
        </w:rPr>
        <w:t>Příklad: Uspořádání přírodních prvků</w:t>
      </w:r>
      <w:r w:rsidRPr="00DF00E7">
        <w:rPr>
          <w:b/>
          <w:i/>
        </w:rPr>
        <w:t xml:space="preserve"> </w:t>
      </w:r>
      <w:r w:rsidRPr="00DF00E7">
        <w:rPr>
          <w:i/>
        </w:rPr>
        <w:t xml:space="preserve">je v dané lokalitě definováno </w:t>
      </w:r>
      <w:r w:rsidRPr="00DF00E7">
        <w:rPr>
          <w:b/>
          <w:i/>
        </w:rPr>
        <w:t>stromořadí/ aleje podél cest</w:t>
      </w:r>
      <w:r w:rsidRPr="00DF00E7">
        <w:rPr>
          <w:i/>
        </w:rPr>
        <w:t>, tzn., že při umísťování přírodních prvků je nutné vytvářet stromořadí nebo aleje v blízkosti cest.</w:t>
      </w:r>
    </w:p>
    <w:p w14:paraId="07BA1CC3" w14:textId="77777777" w:rsidR="00F37C4B" w:rsidRPr="00DF00E7" w:rsidRDefault="00F37C4B" w:rsidP="00F37C4B">
      <w:pPr>
        <w:tabs>
          <w:tab w:val="left" w:pos="567"/>
        </w:tabs>
        <w:ind w:left="2552" w:hanging="425"/>
      </w:pPr>
      <w:r w:rsidRPr="00DF00E7">
        <w:rPr>
          <w:noProof/>
        </w:rPr>
        <w:drawing>
          <wp:anchor distT="0" distB="0" distL="114300" distR="114300" simplePos="0" relativeHeight="252015104" behindDoc="0" locked="0" layoutInCell="1" allowOverlap="1" wp14:anchorId="7931F1B1" wp14:editId="0C120951">
            <wp:simplePos x="0" y="0"/>
            <wp:positionH relativeFrom="column">
              <wp:posOffset>1516893</wp:posOffset>
            </wp:positionH>
            <wp:positionV relativeFrom="paragraph">
              <wp:posOffset>111639</wp:posOffset>
            </wp:positionV>
            <wp:extent cx="1465200" cy="1465200"/>
            <wp:effectExtent l="0" t="0" r="1905" b="1905"/>
            <wp:wrapNone/>
            <wp:docPr id="40" name="Obrázek 40" descr="uhoUP_regulativy_lokalit-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descr="uhoUP_regulativy_lokalit-1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465200" cy="1465200"/>
                    </a:xfrm>
                    <a:prstGeom prst="rect">
                      <a:avLst/>
                    </a:prstGeom>
                    <a:noFill/>
                  </pic:spPr>
                </pic:pic>
              </a:graphicData>
            </a:graphic>
            <wp14:sizeRelH relativeFrom="page">
              <wp14:pctWidth>0</wp14:pctWidth>
            </wp14:sizeRelH>
            <wp14:sizeRelV relativeFrom="page">
              <wp14:pctHeight>0</wp14:pctHeight>
            </wp14:sizeRelV>
          </wp:anchor>
        </w:drawing>
      </w:r>
    </w:p>
    <w:p w14:paraId="09EE28E1" w14:textId="71633B4F" w:rsidR="00F37C4B" w:rsidRPr="00DF00E7" w:rsidRDefault="00F37C4B" w:rsidP="00F37C4B">
      <w:pPr>
        <w:tabs>
          <w:tab w:val="left" w:pos="567"/>
        </w:tabs>
        <w:ind w:left="5245"/>
      </w:pPr>
      <w:r w:rsidRPr="00DF00E7">
        <w:rPr>
          <w:b/>
        </w:rPr>
        <w:t>Specifické uspořádání</w:t>
      </w:r>
      <w:r w:rsidRPr="00DF00E7">
        <w:t xml:space="preserve"> – řeší atypické uspořádaní lokality, výrazné uspořádání dané lokality, které nelze zařadit do</w:t>
      </w:r>
      <w:r w:rsidR="00B23DE1">
        <w:t> </w:t>
      </w:r>
      <w:r w:rsidRPr="00DF00E7">
        <w:t>ostatních podmínek uspořádání.  Tato podmínka vymezuje vztahovou i vztažnou rovinu tohoto uspořádání k ostatním podmínkám.</w:t>
      </w:r>
    </w:p>
    <w:p w14:paraId="10A2F085" w14:textId="77777777" w:rsidR="00F37C4B" w:rsidRPr="00DF00E7" w:rsidRDefault="00F37C4B" w:rsidP="00F37C4B">
      <w:pPr>
        <w:tabs>
          <w:tab w:val="left" w:pos="567"/>
        </w:tabs>
        <w:ind w:left="5245"/>
      </w:pPr>
    </w:p>
    <w:p w14:paraId="55F1DB4F" w14:textId="77777777" w:rsidR="00F37C4B" w:rsidRPr="00DF00E7" w:rsidRDefault="00F37C4B" w:rsidP="00F37C4B">
      <w:pPr>
        <w:tabs>
          <w:tab w:val="left" w:pos="567"/>
        </w:tabs>
        <w:ind w:left="5245"/>
        <w:rPr>
          <w:i/>
        </w:rPr>
      </w:pPr>
      <w:r w:rsidRPr="00DF00E7">
        <w:rPr>
          <w:i/>
          <w:noProof/>
        </w:rPr>
        <mc:AlternateContent>
          <mc:Choice Requires="wps">
            <w:drawing>
              <wp:anchor distT="0" distB="0" distL="114300" distR="114300" simplePos="0" relativeHeight="252022272" behindDoc="0" locked="0" layoutInCell="1" allowOverlap="1" wp14:anchorId="2AFC1F33" wp14:editId="2545B8E7">
                <wp:simplePos x="0" y="0"/>
                <wp:positionH relativeFrom="column">
                  <wp:posOffset>1551994</wp:posOffset>
                </wp:positionH>
                <wp:positionV relativeFrom="paragraph">
                  <wp:posOffset>78348</wp:posOffset>
                </wp:positionV>
                <wp:extent cx="1232170" cy="471508"/>
                <wp:effectExtent l="0" t="0" r="0" b="5080"/>
                <wp:wrapNone/>
                <wp:docPr id="17" name="Textové pole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32170" cy="4715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099DF61" w14:textId="77777777" w:rsidR="00F37C4B" w:rsidRPr="00F06C70" w:rsidRDefault="00F37C4B" w:rsidP="00F37C4B">
                            <w:pPr>
                              <w:ind w:left="0"/>
                              <w:jc w:val="center"/>
                              <w:rPr>
                                <w:b/>
                                <w:sz w:val="16"/>
                                <w:szCs w:val="16"/>
                              </w:rPr>
                            </w:pPr>
                            <w:r w:rsidRPr="00F06C70">
                              <w:rPr>
                                <w:b/>
                                <w:sz w:val="16"/>
                                <w:szCs w:val="16"/>
                              </w:rPr>
                              <w:t xml:space="preserve">Ilustrace </w:t>
                            </w:r>
                            <w:r>
                              <w:rPr>
                                <w:b/>
                                <w:sz w:val="16"/>
                                <w:szCs w:val="16"/>
                              </w:rPr>
                              <w:t>specifického uspořádání</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2AFC1F33" id="Textové pole 17" o:spid="_x0000_s1037" type="#_x0000_t202" style="position:absolute;left:0;text-align:left;margin-left:122.2pt;margin-top:6.15pt;width:97pt;height:37.15pt;z-index:252022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" filled="f" stroked="f">
                <v:textbox>
                  <w:txbxContent>
                    <w:p w14:paraId="4099DF61" w14:textId="77777777" w:rsidR="00F37C4B" w:rsidRPr="00F06C70" w:rsidRDefault="00F37C4B" w:rsidP="00F37C4B">
                      <w:pPr>
                        <w:ind w:left="0"/>
                        <w:jc w:val="center"/>
                        <w:rPr>
                          <w:b/>
                          <w:sz w:val="16"/>
                          <w:szCs w:val="16"/>
                        </w:rPr>
                      </w:pPr>
                      <w:r w:rsidRPr="00F06C70">
                        <w:rPr>
                          <w:b/>
                          <w:sz w:val="16"/>
                          <w:szCs w:val="16"/>
                        </w:rPr>
                        <w:t xml:space="preserve">Ilustrace </w:t>
                      </w:r>
                      <w:r>
                        <w:rPr>
                          <w:b/>
                          <w:sz w:val="16"/>
                          <w:szCs w:val="16"/>
                        </w:rPr>
                        <w:t>specifického uspořádání</w:t>
                      </w:r>
                    </w:p>
                  </w:txbxContent>
                </v:textbox>
              </v:shape>
            </w:pict>
          </mc:Fallback>
        </mc:AlternateContent>
      </w:r>
      <w:r w:rsidRPr="00DF00E7">
        <w:rPr>
          <w:i/>
        </w:rPr>
        <w:t xml:space="preserve">Příklad: Specifické uspořádání je v dané lokalitě definováno </w:t>
      </w:r>
      <w:r w:rsidRPr="00DF00E7">
        <w:rPr>
          <w:b/>
          <w:i/>
        </w:rPr>
        <w:t>specifické terasovité uspořádání</w:t>
      </w:r>
      <w:r w:rsidRPr="00DF00E7">
        <w:rPr>
          <w:i/>
        </w:rPr>
        <w:t>, tzn., že při vytváření zástavby ve spojitosti s přírodními prvky je nutné dbát dodržení terasovitého uspořádání okolního charakteru.</w:t>
      </w:r>
    </w:p>
    <w:p w14:paraId="3A7739FF" w14:textId="77777777" w:rsidR="00F37C4B" w:rsidRDefault="00F37C4B" w:rsidP="00F37C4B">
      <w:r>
        <w:br w:type="page"/>
      </w:r>
    </w:p>
    <w:p w14:paraId="6A8AEFE6" w14:textId="37A56DB2" w:rsidR="00094FC2" w:rsidRDefault="00094FC2" w:rsidP="00094FC2">
      <w:pPr>
        <w:pStyle w:val="Nadpis6"/>
      </w:pPr>
      <w:r>
        <w:lastRenderedPageBreak/>
        <w:t>Podmínky charakteru zástavby</w:t>
      </w:r>
    </w:p>
    <w:p w14:paraId="00F9B652" w14:textId="474CB8A6" w:rsidR="00F37C4B" w:rsidRDefault="00F37C4B">
      <w:pPr>
        <w:pStyle w:val="normalni-cisla"/>
        <w:numPr>
          <w:ilvl w:val="0"/>
          <w:numId w:val="22"/>
        </w:numPr>
        <w:ind w:left="709"/>
      </w:pPr>
      <w:r w:rsidRPr="00DF00E7">
        <w:t>Podmínky prvků platí pouze pro hlavní stavbu a podmínky uspořádání platí pouze pro pozemky určené pro</w:t>
      </w:r>
      <w:r w:rsidR="009E4189">
        <w:t> </w:t>
      </w:r>
      <w:r w:rsidRPr="00DF00E7">
        <w:t>hlavní stavbu proto, aby byl zachován a</w:t>
      </w:r>
      <w:r>
        <w:t> </w:t>
      </w:r>
      <w:r w:rsidRPr="00DF00E7">
        <w:t xml:space="preserve">rozvíjen charakter zástavby lokality, ale zároveň bylo maximálně umožněno individuální využití pozemků. </w:t>
      </w:r>
      <w:r>
        <w:t>Podmínky prostorového uspořádání byly stanoveny na základě podrobné analýzy zastavěnost pozemků a výšky zástavby.</w:t>
      </w:r>
    </w:p>
    <w:p w14:paraId="4EDDA20C" w14:textId="77777777" w:rsidR="009E4189" w:rsidRPr="00DF00E7" w:rsidRDefault="009E4189">
      <w:pPr>
        <w:pStyle w:val="normalni-cisla"/>
        <w:numPr>
          <w:ilvl w:val="0"/>
          <w:numId w:val="22"/>
        </w:numPr>
        <w:ind w:left="709"/>
      </w:pPr>
      <w:r w:rsidRPr="00DF00E7">
        <w:t xml:space="preserve">Podmínka, že </w:t>
      </w:r>
      <w:r w:rsidRPr="00310951">
        <w:t xml:space="preserve">stávající zastavěné pozemky </w:t>
      </w:r>
      <w:r>
        <w:t xml:space="preserve">se </w:t>
      </w:r>
      <w:r w:rsidRPr="00310951">
        <w:t xml:space="preserve">podmínky uspořádání </w:t>
      </w:r>
      <w:r>
        <w:t xml:space="preserve">(podmínky velikosti a zastavitelnosti pozemků a podmínky uspořádání zástavby) </w:t>
      </w:r>
      <w:r w:rsidRPr="00310951">
        <w:t>použijí přiměřeně</w:t>
      </w:r>
      <w:r w:rsidRPr="00DF00E7">
        <w:t>, je stanovena s ohledem na různorodost pozemků v zastavěném území, která by mohla vést v jednotlivých případech k nevyužitelnosti zastavitelných ploch, resp. stávajících zastavěných pozemků.</w:t>
      </w:r>
    </w:p>
    <w:p w14:paraId="2D840D71" w14:textId="07978B78" w:rsidR="00F37C4B" w:rsidRDefault="00F37C4B">
      <w:pPr>
        <w:pStyle w:val="normalni-cisla"/>
        <w:numPr>
          <w:ilvl w:val="0"/>
          <w:numId w:val="22"/>
        </w:numPr>
        <w:ind w:left="709"/>
      </w:pPr>
      <w:r w:rsidRPr="00DF00E7">
        <w:t>Stavby občanského vybavení mají jiné provozní nároky než obytná zástavba, proto se podmínky prvků a</w:t>
      </w:r>
      <w:r w:rsidR="009E4189">
        <w:t> </w:t>
      </w:r>
      <w:r w:rsidRPr="00DF00E7">
        <w:t>podmínky uspořádání použijí přiměřeně.</w:t>
      </w:r>
    </w:p>
    <w:p w14:paraId="4D09443C" w14:textId="77777777" w:rsidR="00F37C4B" w:rsidRPr="00DF00E7" w:rsidRDefault="00F37C4B">
      <w:pPr>
        <w:pStyle w:val="normalni-cisla"/>
        <w:numPr>
          <w:ilvl w:val="0"/>
          <w:numId w:val="22"/>
        </w:numPr>
        <w:ind w:left="709"/>
      </w:pPr>
      <w:r w:rsidRPr="00DF00E7">
        <w:t>Podmínka přesnosti, resp. tolerance parametrů podmínek prvků a uspořádání je stanovena z důvodu limitů podrobnosti územně plánovací dokumentace řešené nad katastrální mapou v podrobnosti měřítka 1:5 000.</w:t>
      </w:r>
    </w:p>
    <w:p w14:paraId="778B87F6" w14:textId="77777777" w:rsidR="00F37C4B" w:rsidRDefault="00F37C4B">
      <w:pPr>
        <w:pStyle w:val="normalni-cisla"/>
        <w:numPr>
          <w:ilvl w:val="0"/>
          <w:numId w:val="22"/>
        </w:numPr>
        <w:ind w:left="709"/>
      </w:pPr>
      <w:r w:rsidRPr="00DF00E7">
        <w:t>Limitní velikosti pozemků pro umístění hlavní stavby a pro výpočet zastavitelnosti pozemků zástavby jsou stanoveny s ohledem na udržení a rozvoj charakteru struktury zástavby a zamezení nepřiměřeně plošně rozsáhlé zástavby. Požadavky na limitní velikosti pozemků zohledňují místní specifika charakteru zástavby jednotlivých místních částí včetně požadavků vyplývajících z hospodářského využití.</w:t>
      </w:r>
    </w:p>
    <w:p w14:paraId="4ABED3B8" w14:textId="36FC0270" w:rsidR="00F37C4B" w:rsidRDefault="00F37C4B">
      <w:pPr>
        <w:pStyle w:val="normalni-cisla"/>
        <w:numPr>
          <w:ilvl w:val="0"/>
          <w:numId w:val="22"/>
        </w:numPr>
        <w:ind w:left="709"/>
      </w:pPr>
      <w:r w:rsidRPr="00DF00E7">
        <w:t xml:space="preserve">Podmínka, že </w:t>
      </w:r>
      <w:r w:rsidR="009E4189">
        <w:t>z</w:t>
      </w:r>
      <w:r w:rsidR="009E4189" w:rsidRPr="00FF5FBE">
        <w:t>astavitelnost pozemku je stanovena pouze z části pozemku, která je umístěna v</w:t>
      </w:r>
      <w:r w:rsidR="009E4189">
        <w:t> ploše s rozdílným způsobem využití umožňující stavební využití</w:t>
      </w:r>
      <w:r w:rsidRPr="00DF00E7">
        <w:t xml:space="preserve"> je stanovena s ohledem na </w:t>
      </w:r>
      <w:r w:rsidR="009E4189">
        <w:t>zamezení</w:t>
      </w:r>
      <w:r w:rsidRPr="00DF00E7">
        <w:t xml:space="preserve"> možnosti uměle zvyšovat kapacitu zastavitelné plochy na úkor záboru nezastavitelných ploch.</w:t>
      </w:r>
    </w:p>
    <w:p w14:paraId="779B70B1" w14:textId="77777777" w:rsidR="00F37C4B" w:rsidRPr="00193516" w:rsidRDefault="00F37C4B">
      <w:pPr>
        <w:pStyle w:val="normalni-cisla"/>
        <w:numPr>
          <w:ilvl w:val="0"/>
          <w:numId w:val="22"/>
        </w:numPr>
        <w:ind w:left="709"/>
      </w:pPr>
      <w:r w:rsidRPr="00193516">
        <w:t xml:space="preserve">Stavba garáže je vyjmuta z maximální </w:t>
      </w:r>
      <w:r w:rsidRPr="00DF00E7">
        <w:t>zastavitelnosti pozemku hlavní stavbou z důvodu vyváženosti podmínek využití území s ohledem na různorodou strukturu pozemků, a tedy i možností řešení parkování na vlastním pozemku.</w:t>
      </w:r>
    </w:p>
    <w:p w14:paraId="213F2AF7" w14:textId="477C1B42" w:rsidR="00F37C4B" w:rsidRDefault="00F37C4B">
      <w:pPr>
        <w:pStyle w:val="normalni-cisla"/>
        <w:numPr>
          <w:ilvl w:val="0"/>
          <w:numId w:val="22"/>
        </w:numPr>
        <w:ind w:left="709"/>
      </w:pPr>
      <w:r w:rsidRPr="00DF00E7">
        <w:t xml:space="preserve">Podmínka umisťování zástavby pouze na pozemcích s návazností na plochu veřejných prostranství, jejíž součástí je </w:t>
      </w:r>
      <w:r w:rsidR="009E4189">
        <w:t xml:space="preserve">pozemní komunikace </w:t>
      </w:r>
      <w:r w:rsidR="009E4189" w:rsidRPr="00FF5FBE">
        <w:rPr>
          <w:rFonts w:asciiTheme="minorHAnsi" w:hAnsiTheme="minorHAnsi" w:cstheme="minorHAnsi"/>
          <w:spacing w:val="-1"/>
          <w:szCs w:val="18"/>
        </w:rPr>
        <w:t>funkční skupiny minimálně C nebo D1</w:t>
      </w:r>
      <w:r w:rsidR="009E4189">
        <w:rPr>
          <w:rFonts w:asciiTheme="minorHAnsi" w:hAnsiTheme="minorHAnsi" w:cstheme="minorHAnsi"/>
          <w:spacing w:val="-1"/>
          <w:szCs w:val="18"/>
        </w:rPr>
        <w:t xml:space="preserve"> </w:t>
      </w:r>
      <w:r w:rsidRPr="00DF00E7">
        <w:t>je stanovena s ohledem na zamezení umisťování zástavby v návaznosti na plochu veřejných prostranství, jejíž součástí je pouze pěší nebo cyklo komunikace</w:t>
      </w:r>
      <w:r w:rsidR="00BF24A8">
        <w:t xml:space="preserve"> a dále z důvodu zajištění přístupnosti zástavby pro složky integrovaného záchranného systému a pro zajištění odpadového hospodářství</w:t>
      </w:r>
      <w:r w:rsidRPr="00DF00E7">
        <w:t xml:space="preserve">. </w:t>
      </w:r>
      <w:r w:rsidR="009E4189">
        <w:t>Ustanovení neplatí pro solitérní zástavbu (resp. zástavbu bytových domů), kdy je může být obsluha zástavby zajištěna jiným způsobem,</w:t>
      </w:r>
      <w:r w:rsidR="00BF24A8">
        <w:t xml:space="preserve"> </w:t>
      </w:r>
      <w:r w:rsidR="009E4189">
        <w:t xml:space="preserve">a v plochách, kde je za účelem jejich obsluhy vybudována </w:t>
      </w:r>
      <w:r w:rsidR="009E4189" w:rsidRPr="00FF5FBE">
        <w:t>veřejná, resp. veřejně přístupná, komunikace ve</w:t>
      </w:r>
      <w:r w:rsidR="009E4189">
        <w:t> </w:t>
      </w:r>
      <w:r w:rsidR="009E4189" w:rsidRPr="00FF5FBE">
        <w:t>veřejném prostranství funkční skupiny minimálně C nebo D1</w:t>
      </w:r>
      <w:r w:rsidR="009E4189">
        <w:t xml:space="preserve"> nebo je řešení dopravní obsluhy zajištěno zpracováním územní studie nebo uzavřením plánovací smlouvy.</w:t>
      </w:r>
    </w:p>
    <w:p w14:paraId="4D7041D9" w14:textId="79B95320" w:rsidR="009E4189" w:rsidRPr="00DF00E7" w:rsidRDefault="009E4189">
      <w:pPr>
        <w:pStyle w:val="normalni-cisla"/>
        <w:numPr>
          <w:ilvl w:val="0"/>
          <w:numId w:val="22"/>
        </w:numPr>
        <w:ind w:left="709"/>
      </w:pPr>
      <w:r w:rsidRPr="00DF00E7">
        <w:t xml:space="preserve">Maximální zastavitelnost hlavní stavbou pro pozemky individuální zástavby je stanovena z důvodu ochrany charakteru venkovské zástavby, typické drobnou objemovou sktrukturou individuální zástavby, resp. zastavěnou plochou hlavní stavby kolem </w:t>
      </w:r>
      <w:r w:rsidR="00A55861" w:rsidRPr="00DF00E7">
        <w:t>140–160</w:t>
      </w:r>
      <w:r w:rsidRPr="00DF00E7">
        <w:t xml:space="preserve"> m</w:t>
      </w:r>
      <w:r w:rsidRPr="00193516">
        <w:t>2</w:t>
      </w:r>
      <w:r w:rsidRPr="00DF00E7">
        <w:t xml:space="preserve">. </w:t>
      </w:r>
    </w:p>
    <w:p w14:paraId="0F601888" w14:textId="4D2CD268" w:rsidR="00F37C4B" w:rsidRDefault="00A55861">
      <w:pPr>
        <w:pStyle w:val="normalni-cisla"/>
        <w:numPr>
          <w:ilvl w:val="0"/>
          <w:numId w:val="22"/>
        </w:numPr>
        <w:ind w:left="709"/>
      </w:pPr>
      <w:r>
        <w:t>Podmínky zastavitelnosti</w:t>
      </w:r>
      <w:r w:rsidR="00F37C4B" w:rsidRPr="00DF00E7">
        <w:t xml:space="preserve"> jsou </w:t>
      </w:r>
      <w:r>
        <w:t xml:space="preserve">specificky </w:t>
      </w:r>
      <w:r w:rsidR="00F37C4B" w:rsidRPr="00DF00E7">
        <w:t>stanoveny pro atypické případy struktury zástavby např. pro</w:t>
      </w:r>
      <w:r>
        <w:t> </w:t>
      </w:r>
      <w:r w:rsidR="00F37C4B" w:rsidRPr="00DF00E7">
        <w:t>solitérní zástavbu, nebo pro rozlehlé pozemky ve stabilizovaném území, typické velkou plochou zahrad, a dále pro případy, kdy je nová veřejná komunikace ve veřejném prostranství předána do vlastnictví obce tak, aby mohla být zajištěna její údržba a byla plnohodnotně začleněna do systému veřejných prostranství sídla.</w:t>
      </w:r>
    </w:p>
    <w:p w14:paraId="0AC353B6" w14:textId="710D7529" w:rsidR="00A55861" w:rsidRPr="00DF00E7" w:rsidRDefault="00A55861">
      <w:pPr>
        <w:pStyle w:val="normalni-cisla"/>
        <w:numPr>
          <w:ilvl w:val="0"/>
          <w:numId w:val="22"/>
        </w:numPr>
        <w:ind w:left="709"/>
      </w:pPr>
      <w:r>
        <w:t xml:space="preserve">Podmínka nepřípustnosti charakterově nevhodného typu zástavby je stanovena z důvodu ochrany </w:t>
      </w:r>
      <w:r w:rsidR="00FC1C05">
        <w:t xml:space="preserve">stávajícího </w:t>
      </w:r>
      <w:r>
        <w:t xml:space="preserve">charakteru zástavby </w:t>
      </w:r>
      <w:r w:rsidR="00FC1C05">
        <w:t>obce, typického převážně tradičními formami staveb s klasickými šikmými střechami sklonu 35-45°.</w:t>
      </w:r>
    </w:p>
    <w:p w14:paraId="49AF3EC9" w14:textId="2E88F9A3" w:rsidR="00F37C4B" w:rsidRPr="00DF00E7" w:rsidRDefault="00F37C4B">
      <w:pPr>
        <w:pStyle w:val="normalni-cisla"/>
        <w:numPr>
          <w:ilvl w:val="0"/>
          <w:numId w:val="22"/>
        </w:numPr>
        <w:ind w:left="709"/>
      </w:pPr>
      <w:r w:rsidRPr="00DF00E7">
        <w:t>Otevřená hřiště a sportoviště mají jiné provozní nároky než obytná zástavba, včetně vedlejších staveb a</w:t>
      </w:r>
      <w:r w:rsidR="00BF24A8">
        <w:t> </w:t>
      </w:r>
      <w:r w:rsidRPr="00DF00E7">
        <w:t>drobné architektury, proto se podmínky uspořádání použijí přiměřeně.</w:t>
      </w:r>
    </w:p>
    <w:p w14:paraId="63087677" w14:textId="77777777" w:rsidR="00F37C4B" w:rsidRDefault="00F37C4B">
      <w:pPr>
        <w:pStyle w:val="normalni-cisla"/>
        <w:numPr>
          <w:ilvl w:val="0"/>
          <w:numId w:val="22"/>
        </w:numPr>
        <w:ind w:left="709"/>
      </w:pPr>
      <w:r w:rsidRPr="00DF00E7">
        <w:t xml:space="preserve">Podmínka, že maximální vzdálenost hlavní stavby </w:t>
      </w:r>
      <w:r>
        <w:t xml:space="preserve">od </w:t>
      </w:r>
      <w:r w:rsidRPr="00310951">
        <w:t xml:space="preserve">hranice veřejného prostranství </w:t>
      </w:r>
      <w:r w:rsidRPr="00DF00E7">
        <w:t>dle navazující zástavby je stanovena podle charakteru zástavby lokality, je stanovena pro udržení charakteru struktury zástavby a jejího uspořádání ve vztahu k veřejným prostranstvím (uliční a stavební linie zástavby).</w:t>
      </w:r>
    </w:p>
    <w:p w14:paraId="280A6EF2" w14:textId="6A995CA7" w:rsidR="00BF24A8" w:rsidRDefault="00BF24A8">
      <w:pPr>
        <w:pStyle w:val="normalni-cisla"/>
        <w:numPr>
          <w:ilvl w:val="0"/>
          <w:numId w:val="22"/>
        </w:numPr>
        <w:ind w:left="709"/>
      </w:pPr>
      <w:r>
        <w:t>Stavby tzv. výminků, tedy druhé hlavní stavby na pozemku, jsou nepřípustné z důvodu zamezení systémového umisťování zástavby do zadních, resp. zahradních pozic pozemků bez přímé návaznosti na veřejná prostranství. Dostupnost a obsluha hlavní stavby není garantována ze systému veřejných prostranství, což představuje pro obec neudržitelný způsob rozvoje území.</w:t>
      </w:r>
    </w:p>
    <w:p w14:paraId="2F89F962" w14:textId="296072AD" w:rsidR="00900D69" w:rsidRDefault="00900D69">
      <w:pPr>
        <w:pStyle w:val="normalni-cisla"/>
        <w:numPr>
          <w:ilvl w:val="0"/>
          <w:numId w:val="22"/>
        </w:numPr>
        <w:ind w:left="709"/>
        <w:rPr>
          <w:rStyle w:val="noveChar"/>
          <w:color w:val="auto"/>
        </w:rPr>
      </w:pPr>
      <w:r>
        <w:t xml:space="preserve">Podmínka, že pro stavby technické infrastruktury, např. </w:t>
      </w:r>
      <w:r w:rsidRPr="00900D69">
        <w:t>GSM radiotelefonní sítě, základnové stanice (BTS), antény, vysílače, přijímače a zařízení související s mobilními sítěmi,</w:t>
      </w:r>
      <w:r>
        <w:t xml:space="preserve"> se neuplatní podmínky výškového uspořádání, pokud </w:t>
      </w:r>
      <w:r>
        <w:rPr>
          <w:rStyle w:val="noveChar"/>
          <w:color w:val="auto"/>
        </w:rPr>
        <w:t xml:space="preserve">tyto stavby nenaruší </w:t>
      </w:r>
      <w:r w:rsidRPr="001573DD">
        <w:rPr>
          <w:rStyle w:val="noveChar"/>
          <w:color w:val="auto"/>
        </w:rPr>
        <w:t>kulturní hodnotu a harmonický ráz krajiny</w:t>
      </w:r>
      <w:r>
        <w:rPr>
          <w:rStyle w:val="noveChar"/>
          <w:color w:val="auto"/>
        </w:rPr>
        <w:t>, je stanovena z důvodu přiměřené možnosti rozvoje výše uvedených zařízení technické infrastruktury při ochraně hodnot kulturní krajiny v souladu se ZÚR OK.</w:t>
      </w:r>
    </w:p>
    <w:p w14:paraId="739C7A1F" w14:textId="5505F4EA" w:rsidR="00900D69" w:rsidRDefault="00900D69">
      <w:pPr>
        <w:spacing w:before="0" w:after="0"/>
        <w:ind w:left="0"/>
        <w:jc w:val="left"/>
        <w:rPr>
          <w:rStyle w:val="noveChar"/>
          <w:color w:val="auto"/>
        </w:rPr>
      </w:pPr>
      <w:r>
        <w:rPr>
          <w:rStyle w:val="noveChar"/>
          <w:color w:val="auto"/>
        </w:rPr>
        <w:br w:type="page"/>
      </w:r>
    </w:p>
    <w:p w14:paraId="6E39D123" w14:textId="57CD7188" w:rsidR="00BF24A8" w:rsidRDefault="00BF24A8" w:rsidP="00BF24A8">
      <w:pPr>
        <w:pStyle w:val="Nadpis6"/>
      </w:pPr>
      <w:r>
        <w:lastRenderedPageBreak/>
        <w:t>Podmínky charakteru veřejných prostranství</w:t>
      </w:r>
    </w:p>
    <w:p w14:paraId="14B14668" w14:textId="2CDA3155" w:rsidR="00BF24A8" w:rsidRDefault="00BF24A8">
      <w:pPr>
        <w:pStyle w:val="normalni-cisla"/>
        <w:numPr>
          <w:ilvl w:val="0"/>
          <w:numId w:val="44"/>
        </w:numPr>
        <w:ind w:left="709"/>
      </w:pPr>
      <w:r>
        <w:t>Podmínka m</w:t>
      </w:r>
      <w:r w:rsidRPr="00BF24A8">
        <w:t>inimální šířk</w:t>
      </w:r>
      <w:r>
        <w:t>y</w:t>
      </w:r>
      <w:r w:rsidRPr="00BF24A8">
        <w:t xml:space="preserve"> uličního prostranství, jehož součástí je pozemní komunikace zpřístupňující pozemky zástavby v návrhových plochách, ve kterých nejsou veřejná prostranství vymezena plochou PU nebo PU.v, </w:t>
      </w:r>
      <w:r>
        <w:t>je stanovena z důvodu zajištění dostatečného prostoru pro plnohodnotný profil místní komunikace umožňující vedení obousměrné vozovky, chodníku, parkovacího pásu a výsadbového pásu se stromořadím.</w:t>
      </w:r>
    </w:p>
    <w:p w14:paraId="6FFA7AA3" w14:textId="43D0C429" w:rsidR="00BF24A8" w:rsidRDefault="00BF24A8">
      <w:pPr>
        <w:pStyle w:val="normalni-cisla"/>
        <w:numPr>
          <w:ilvl w:val="0"/>
          <w:numId w:val="44"/>
        </w:numPr>
        <w:ind w:left="709"/>
      </w:pPr>
      <w:r>
        <w:t>Podmínky řešit uliční prostranství tak, aby umožňovala umístění stromořadí, je stanovena z důvodu adaptace na klimatické změny a s ohledem na požadavky platné legislativy na umisťování výsadbových pásu v uličních prostranstvích. Ve stávajících uličních prostranství se uplatní přiměřeně dle reálných prostorových možností jednotlivých uličních prostranství.</w:t>
      </w:r>
    </w:p>
    <w:p w14:paraId="5CDD196D" w14:textId="5537B63A" w:rsidR="00BF24A8" w:rsidRDefault="00BF24A8" w:rsidP="00BF24A8">
      <w:pPr>
        <w:pStyle w:val="Nadpis6"/>
      </w:pPr>
      <w:r>
        <w:t>Podmínky ochrany krajinného rázu</w:t>
      </w:r>
    </w:p>
    <w:p w14:paraId="4CFA756F" w14:textId="02B8BAC5" w:rsidR="00BF24A8" w:rsidRDefault="004F0B5C">
      <w:pPr>
        <w:pStyle w:val="normalni-cisla"/>
        <w:numPr>
          <w:ilvl w:val="0"/>
          <w:numId w:val="45"/>
        </w:numPr>
        <w:ind w:left="709"/>
      </w:pPr>
      <w:r>
        <w:t>Podmínka respektování podmínek ochrany hodnot a charakteru prostředí je stanovena z důvodu zajištění respektování základní koncepce územního plánu při vyhodnocení přípustnosti záměru.</w:t>
      </w:r>
    </w:p>
    <w:p w14:paraId="05D2F238" w14:textId="0C950593" w:rsidR="004F0B5C" w:rsidRDefault="004F0B5C">
      <w:pPr>
        <w:pStyle w:val="normalni-cisla"/>
        <w:numPr>
          <w:ilvl w:val="0"/>
          <w:numId w:val="45"/>
        </w:numPr>
        <w:ind w:left="709"/>
      </w:pPr>
      <w:r>
        <w:t>Obec je charakteristická příměstským až venkovským charakterem zástavby, veřejných prostranství a</w:t>
      </w:r>
      <w:r w:rsidR="00F85F8F">
        <w:t> </w:t>
      </w:r>
      <w:r>
        <w:t>krajiny. Příměstský charakter má především jižní část obec až po Duklu, severní část údolí Bystřice má převážně venkovský charakter, stejně tak prostředí jejích přítoků.</w:t>
      </w:r>
      <w:r w:rsidR="00F85F8F">
        <w:t xml:space="preserve"> Ochrana charakteru prostředí obce je klíčová pro zachování její identity a charakteru životního prostředí.</w:t>
      </w:r>
    </w:p>
    <w:p w14:paraId="3F36C71E" w14:textId="24C9ADA2" w:rsidR="00F85F8F" w:rsidRDefault="00F85F8F">
      <w:pPr>
        <w:pStyle w:val="normalni-cisla"/>
        <w:numPr>
          <w:ilvl w:val="0"/>
          <w:numId w:val="45"/>
        </w:numPr>
        <w:ind w:left="709"/>
      </w:pPr>
      <w:r>
        <w:t>Podmínka orientace nezastavěné části pozemku do volné krajiny v okrajových polohách zástavby je stanovena z důvodu zajištění plynulého přechodu zástavby do krajiny a nezatěžování záhumeního prostoru novými nároky na obsluhu, resp. vedení dopravní infrastruktury.</w:t>
      </w:r>
    </w:p>
    <w:p w14:paraId="542B1056" w14:textId="5966908D" w:rsidR="00F85F8F" w:rsidRPr="00BF24A8" w:rsidRDefault="00F85F8F">
      <w:pPr>
        <w:pStyle w:val="normalni-cisla"/>
        <w:numPr>
          <w:ilvl w:val="0"/>
          <w:numId w:val="45"/>
        </w:numPr>
        <w:ind w:left="709"/>
      </w:pPr>
      <w:r>
        <w:t>Obec je výrazně pohledově exponovaná z pěších a turistických tras po svazích údolí Bystřice. Zároveň se správní území boce nachází v přírodním parku Údolí Bystřice, přírodně cenného území. Z uvedených důvodu je nezbytné zajistit ochranu rozhraní sídla a krajiny a zamezit vzniku nevhodných prostorových, zejména výškových, dominant v krajinném prostoru.</w:t>
      </w:r>
    </w:p>
    <w:p w14:paraId="6D82330E" w14:textId="77777777" w:rsidR="00F37C4B" w:rsidRDefault="00F37C4B" w:rsidP="008A41F9">
      <w:pPr>
        <w:pStyle w:val="Nadpis5"/>
      </w:pPr>
      <w:r w:rsidRPr="00310951">
        <w:t>Podmínky prostorového uspořádání lokalit</w:t>
      </w:r>
    </w:p>
    <w:p w14:paraId="36ED8949" w14:textId="77777777" w:rsidR="00F37C4B" w:rsidRDefault="00F37C4B" w:rsidP="00F37C4B">
      <w:r>
        <w:t>Podmínky prostorového uspořádání lokalit jsou stanoveny na základě základní charakteristicky stávajícího stavu lokalit, místních šetření a terénních průzkumů, ze kterých vychází řešení podmínek prostorového uspořádání a charakteru lokalit.</w:t>
      </w:r>
    </w:p>
    <w:p w14:paraId="17F42CDE" w14:textId="77777777" w:rsidR="006E69EB" w:rsidRPr="006E69EB" w:rsidRDefault="006E69EB" w:rsidP="00F37C4B"/>
    <w:p w14:paraId="4962B993" w14:textId="1829BBDF" w:rsidR="005F3739" w:rsidRPr="005F3739" w:rsidRDefault="005F3739" w:rsidP="00F37C4B">
      <w:r>
        <w:br w:type="page"/>
      </w:r>
    </w:p>
    <w:tbl>
      <w:tblPr>
        <w:tblStyle w:val="Motivtabulky"/>
        <w:tblW w:w="8505" w:type="dxa"/>
        <w:tblBorders>
          <w:top w:val="dashSmallGap" w:sz="4" w:space="0" w:color="auto"/>
          <w:bottom w:val="dashSmallGap" w:sz="4" w:space="0" w:color="auto"/>
          <w:insideH w:val="dashSmallGap" w:sz="4" w:space="0" w:color="auto"/>
        </w:tblBorders>
        <w:tblLayout w:type="fixed"/>
        <w:tblLook w:val="0480" w:firstRow="0" w:lastRow="0" w:firstColumn="1" w:lastColumn="0" w:noHBand="0" w:noVBand="1"/>
      </w:tblPr>
      <w:tblGrid>
        <w:gridCol w:w="682"/>
        <w:gridCol w:w="1128"/>
        <w:gridCol w:w="6695"/>
      </w:tblGrid>
      <w:tr w:rsidR="005F3739" w14:paraId="5DE417A3" w14:textId="77777777" w:rsidTr="005F3739">
        <w:tc>
          <w:tcPr>
            <w:tcW w:w="1810" w:type="dxa"/>
            <w:gridSpan w:val="2"/>
          </w:tcPr>
          <w:p w14:paraId="6B760887" w14:textId="2653A95C" w:rsidR="005F3739" w:rsidRPr="00BD1D2E" w:rsidRDefault="005F3739" w:rsidP="003A3351">
            <w:pPr>
              <w:ind w:left="0"/>
              <w:rPr>
                <w:b/>
                <w:bCs/>
                <w:sz w:val="24"/>
              </w:rPr>
            </w:pPr>
            <w:r w:rsidRPr="00BD1D2E">
              <w:rPr>
                <w:b/>
                <w:bCs/>
                <w:sz w:val="24"/>
              </w:rPr>
              <w:lastRenderedPageBreak/>
              <w:t>L.</w:t>
            </w:r>
            <w:r w:rsidR="00BD1D2E" w:rsidRPr="00BD1D2E">
              <w:rPr>
                <w:b/>
                <w:bCs/>
                <w:sz w:val="24"/>
              </w:rPr>
              <w:t>01</w:t>
            </w:r>
          </w:p>
        </w:tc>
        <w:tc>
          <w:tcPr>
            <w:tcW w:w="6695" w:type="dxa"/>
            <w:vAlign w:val="bottom"/>
          </w:tcPr>
          <w:p w14:paraId="2A3211DD" w14:textId="77777777" w:rsidR="005F3739" w:rsidRDefault="005F3739" w:rsidP="003A3351">
            <w:pPr>
              <w:ind w:left="0"/>
              <w:rPr>
                <w:b/>
                <w:sz w:val="28"/>
                <w:szCs w:val="28"/>
              </w:rPr>
            </w:pPr>
            <w:r>
              <w:rPr>
                <w:b/>
                <w:sz w:val="24"/>
              </w:rPr>
              <w:t>Mariánské údolí</w:t>
            </w:r>
          </w:p>
        </w:tc>
      </w:tr>
      <w:tr w:rsidR="005F3739" w14:paraId="46BBDEAE" w14:textId="77777777" w:rsidTr="005F3739">
        <w:tc>
          <w:tcPr>
            <w:tcW w:w="8505" w:type="dxa"/>
            <w:gridSpan w:val="3"/>
          </w:tcPr>
          <w:p w14:paraId="126BA594" w14:textId="77777777" w:rsidR="005F3739" w:rsidRDefault="005F3739" w:rsidP="003A3351">
            <w:pPr>
              <w:ind w:left="0"/>
            </w:pPr>
            <w:r>
              <w:t>Výrobní, obytné a rekreační centrum v údolí Bystřice</w:t>
            </w:r>
            <w:r w:rsidRPr="003F1B31">
              <w:t>.</w:t>
            </w:r>
          </w:p>
        </w:tc>
      </w:tr>
      <w:tr w:rsidR="005F3739" w:rsidRPr="003078AF" w14:paraId="48AEC878" w14:textId="77777777" w:rsidTr="005F3739">
        <w:tc>
          <w:tcPr>
            <w:tcW w:w="1810" w:type="dxa"/>
            <w:gridSpan w:val="2"/>
          </w:tcPr>
          <w:p w14:paraId="305A90BA" w14:textId="77777777" w:rsidR="005F3739" w:rsidRPr="003D0674" w:rsidRDefault="005F3739" w:rsidP="003A3351">
            <w:pPr>
              <w:ind w:left="0"/>
            </w:pPr>
            <w:r w:rsidRPr="00CB1ACC">
              <w:rPr>
                <w:b/>
              </w:rPr>
              <w:t>Vymezení</w:t>
            </w:r>
          </w:p>
        </w:tc>
        <w:tc>
          <w:tcPr>
            <w:tcW w:w="6695" w:type="dxa"/>
          </w:tcPr>
          <w:p w14:paraId="1D6F0F68" w14:textId="77777777" w:rsidR="005F3739" w:rsidRPr="00F966D5" w:rsidRDefault="005F3739" w:rsidP="003A3351">
            <w:pPr>
              <w:ind w:left="0"/>
              <w:rPr>
                <w:sz w:val="15"/>
                <w:szCs w:val="15"/>
              </w:rPr>
            </w:pPr>
            <w:r w:rsidRPr="00F966D5">
              <w:rPr>
                <w:sz w:val="15"/>
                <w:szCs w:val="15"/>
              </w:rPr>
              <w:t xml:space="preserve">Lokalita je </w:t>
            </w:r>
            <w:r>
              <w:rPr>
                <w:sz w:val="15"/>
                <w:szCs w:val="15"/>
              </w:rPr>
              <w:t>tvořena údolní nivou Bystřice, ze severozápadu je definována morfologickým zlomem v ulici Luční a ze severovýchodu hranicí řeky Bystřice.</w:t>
            </w:r>
          </w:p>
        </w:tc>
      </w:tr>
      <w:tr w:rsidR="005F3739" w:rsidRPr="003078AF" w14:paraId="49594FDB" w14:textId="77777777" w:rsidTr="005F3739">
        <w:tc>
          <w:tcPr>
            <w:tcW w:w="682" w:type="dxa"/>
            <w:vMerge w:val="restart"/>
            <w:textDirection w:val="btLr"/>
          </w:tcPr>
          <w:p w14:paraId="744D8C91" w14:textId="77777777" w:rsidR="005F3739" w:rsidRPr="00B960DF" w:rsidRDefault="005F3739" w:rsidP="003A3351">
            <w:pPr>
              <w:ind w:left="113" w:right="113"/>
              <w:jc w:val="right"/>
              <w:rPr>
                <w:b/>
              </w:rPr>
            </w:pPr>
            <w:r>
              <w:rPr>
                <w:b/>
              </w:rPr>
              <w:t>Prvky</w:t>
            </w:r>
          </w:p>
        </w:tc>
        <w:tc>
          <w:tcPr>
            <w:tcW w:w="1128" w:type="dxa"/>
          </w:tcPr>
          <w:p w14:paraId="5E1682DF" w14:textId="77777777" w:rsidR="005F3739" w:rsidRPr="00A864E0" w:rsidRDefault="005F3739" w:rsidP="003A3351">
            <w:pPr>
              <w:ind w:left="0"/>
              <w:rPr>
                <w:b/>
              </w:rPr>
            </w:pPr>
            <w:r w:rsidRPr="00A864E0">
              <w:rPr>
                <w:b/>
              </w:rPr>
              <w:t>Plošné řešení zástavby</w:t>
            </w:r>
          </w:p>
        </w:tc>
        <w:tc>
          <w:tcPr>
            <w:tcW w:w="6695" w:type="dxa"/>
          </w:tcPr>
          <w:p w14:paraId="20A789F1" w14:textId="64BDE94F" w:rsidR="005F3739" w:rsidRPr="00A864E0" w:rsidRDefault="005F3739" w:rsidP="003A3351">
            <w:pPr>
              <w:ind w:left="0"/>
              <w:rPr>
                <w:sz w:val="15"/>
                <w:szCs w:val="15"/>
              </w:rPr>
            </w:pPr>
            <w:r w:rsidRPr="00A864E0">
              <w:rPr>
                <w:sz w:val="15"/>
                <w:szCs w:val="15"/>
              </w:rPr>
              <w:t>Charakter zástavby centrální části lokality udávají solitérní domy s typickým poměrem stran 1:1,7 – 1:5 (např. č.p. 222 a čp.334-336 atd.). V návaznosti na ulici Olomoucká se nachází zástavba řadová zástavba s doplňkovými stavbami v zadních částech pozemku (např. garáže, dílny). Zástavba rodinných domů ve svahu má typický poměr stran 1:1,1 (např. č.p. 514</w:t>
            </w:r>
            <w:r w:rsidR="00B23DE1" w:rsidRPr="00A864E0">
              <w:rPr>
                <w:sz w:val="15"/>
                <w:szCs w:val="15"/>
              </w:rPr>
              <w:t>) –</w:t>
            </w:r>
            <w:r w:rsidRPr="00A864E0">
              <w:rPr>
                <w:sz w:val="15"/>
                <w:szCs w:val="15"/>
              </w:rPr>
              <w:t xml:space="preserve"> 1:2,7 (např. č.p. 270). V nivě Bystřice se nachází výrobní areály.</w:t>
            </w:r>
          </w:p>
          <w:p w14:paraId="5663AFBA" w14:textId="77777777" w:rsidR="005F3739" w:rsidRPr="00A864E0" w:rsidRDefault="005F3739" w:rsidP="003A3351">
            <w:pPr>
              <w:ind w:left="0"/>
              <w:rPr>
                <w:sz w:val="15"/>
                <w:szCs w:val="15"/>
              </w:rPr>
            </w:pPr>
            <w:r w:rsidRPr="00A864E0">
              <w:rPr>
                <w:sz w:val="15"/>
                <w:szCs w:val="15"/>
              </w:rPr>
              <w:t>Je doporučeno plošné řešení rodinných domů čtvercového až obdélného tvaru v souladu s charakterem stávající zástavby.</w:t>
            </w:r>
          </w:p>
        </w:tc>
      </w:tr>
      <w:tr w:rsidR="005F3739" w:rsidRPr="003078AF" w14:paraId="4ED85B03" w14:textId="77777777" w:rsidTr="005F3739">
        <w:tc>
          <w:tcPr>
            <w:tcW w:w="682" w:type="dxa"/>
            <w:vMerge/>
          </w:tcPr>
          <w:p w14:paraId="025963DF" w14:textId="77777777" w:rsidR="005F3739" w:rsidRDefault="005F3739" w:rsidP="003A3351">
            <w:pPr>
              <w:ind w:left="0"/>
              <w:rPr>
                <w:b/>
              </w:rPr>
            </w:pPr>
          </w:p>
        </w:tc>
        <w:tc>
          <w:tcPr>
            <w:tcW w:w="1128" w:type="dxa"/>
          </w:tcPr>
          <w:p w14:paraId="3A591749" w14:textId="77777777" w:rsidR="005F3739" w:rsidRPr="00F23286" w:rsidRDefault="005F3739" w:rsidP="003A3351">
            <w:pPr>
              <w:ind w:left="0"/>
              <w:rPr>
                <w:b/>
              </w:rPr>
            </w:pPr>
            <w:r w:rsidRPr="00F23286">
              <w:rPr>
                <w:b/>
              </w:rPr>
              <w:t>Výškové řešení zástavby</w:t>
            </w:r>
          </w:p>
        </w:tc>
        <w:tc>
          <w:tcPr>
            <w:tcW w:w="6695" w:type="dxa"/>
          </w:tcPr>
          <w:p w14:paraId="06DF2AFC" w14:textId="70748C0B" w:rsidR="005F3739" w:rsidRPr="00F23286" w:rsidRDefault="005F3739" w:rsidP="003A3351">
            <w:pPr>
              <w:ind w:left="0"/>
              <w:rPr>
                <w:sz w:val="15"/>
                <w:szCs w:val="15"/>
              </w:rPr>
            </w:pPr>
            <w:r w:rsidRPr="00F23286">
              <w:rPr>
                <w:sz w:val="15"/>
                <w:szCs w:val="15"/>
              </w:rPr>
              <w:t xml:space="preserve">Zástavbu rodinných domů tvoří převážně objekty o 2 NP, resp. přízemím a podkrovím. Výšková hladina solitérní zástavby bytových domů v ploše smíšené obytné všeobecné (SU) </w:t>
            </w:r>
            <w:r w:rsidR="00B23DE1" w:rsidRPr="00F23286">
              <w:rPr>
                <w:sz w:val="15"/>
                <w:szCs w:val="15"/>
              </w:rPr>
              <w:t>3–4</w:t>
            </w:r>
            <w:r w:rsidRPr="00F23286">
              <w:rPr>
                <w:sz w:val="15"/>
                <w:szCs w:val="15"/>
              </w:rPr>
              <w:t xml:space="preserve"> NP. Zástavba ploch smíšených výrobních dosahuje výškové hladiny do ~ 10 m.</w:t>
            </w:r>
          </w:p>
          <w:p w14:paraId="3A80B966" w14:textId="77777777" w:rsidR="005F3739" w:rsidRPr="00F23286" w:rsidRDefault="005F3739" w:rsidP="003A3351">
            <w:pPr>
              <w:ind w:left="0"/>
              <w:rPr>
                <w:sz w:val="15"/>
                <w:szCs w:val="15"/>
              </w:rPr>
            </w:pPr>
            <w:r w:rsidRPr="00F23286">
              <w:rPr>
                <w:sz w:val="15"/>
                <w:szCs w:val="15"/>
              </w:rPr>
              <w:t>Charakter střešní krajiny udávají převážně střechy šikmé – sedlové, místy se vyskytují i jiné typy střech – valbové, polovalbové a ploché. Střechy ploché jsou ojedinělé – např. u mateřské školy a budovy pošty.</w:t>
            </w:r>
          </w:p>
          <w:p w14:paraId="77554C34" w14:textId="77777777" w:rsidR="005F3739" w:rsidRPr="00F23286" w:rsidRDefault="005F3739" w:rsidP="003A3351">
            <w:pPr>
              <w:ind w:left="0"/>
              <w:rPr>
                <w:sz w:val="15"/>
                <w:szCs w:val="15"/>
              </w:rPr>
            </w:pPr>
            <w:r w:rsidRPr="00F23286">
              <w:rPr>
                <w:sz w:val="15"/>
                <w:szCs w:val="15"/>
              </w:rPr>
              <w:t>Podmínka max. 2 NP je stanovena z důvodu ochrany charakteru území.</w:t>
            </w:r>
          </w:p>
          <w:p w14:paraId="1E59520A" w14:textId="788CCC42" w:rsidR="005F3739" w:rsidRPr="00F23286" w:rsidRDefault="005F3739" w:rsidP="003A3351">
            <w:pPr>
              <w:ind w:left="0"/>
              <w:rPr>
                <w:sz w:val="15"/>
                <w:szCs w:val="15"/>
              </w:rPr>
            </w:pPr>
            <w:r w:rsidRPr="00F23286">
              <w:rPr>
                <w:sz w:val="15"/>
                <w:szCs w:val="15"/>
              </w:rPr>
              <w:t xml:space="preserve">Podmínka max. 3 NP </w:t>
            </w:r>
            <w:r w:rsidRPr="00F23286">
              <w:rPr>
                <w:b/>
                <w:bCs/>
                <w:iCs/>
                <w:sz w:val="15"/>
                <w:szCs w:val="15"/>
                <w:u w:val="single"/>
              </w:rPr>
              <w:t>zástavby v návaznosti na plochu PU.</w:t>
            </w:r>
            <w:r w:rsidR="00AF7F84">
              <w:rPr>
                <w:b/>
                <w:bCs/>
                <w:iCs/>
                <w:sz w:val="15"/>
                <w:szCs w:val="15"/>
                <w:u w:val="single"/>
              </w:rPr>
              <w:t>v</w:t>
            </w:r>
            <w:r w:rsidRPr="00F23286">
              <w:rPr>
                <w:sz w:val="15"/>
                <w:szCs w:val="15"/>
              </w:rPr>
              <w:t xml:space="preserve"> je stanovena z důvodu podpory potenciálu rozvoje občanského vybavení místního významu.</w:t>
            </w:r>
          </w:p>
          <w:p w14:paraId="63AD19E1" w14:textId="1414C2C4" w:rsidR="005F3739" w:rsidRPr="00F23286" w:rsidRDefault="005F3739" w:rsidP="003A3351">
            <w:pPr>
              <w:ind w:left="0"/>
              <w:rPr>
                <w:sz w:val="15"/>
                <w:szCs w:val="15"/>
              </w:rPr>
            </w:pPr>
            <w:r w:rsidRPr="00F23286">
              <w:rPr>
                <w:sz w:val="15"/>
                <w:szCs w:val="15"/>
              </w:rPr>
              <w:t xml:space="preserve">Podmínka max. 4 NP </w:t>
            </w:r>
            <w:r w:rsidRPr="00F23286">
              <w:rPr>
                <w:b/>
                <w:sz w:val="15"/>
                <w:szCs w:val="15"/>
                <w:u w:val="single"/>
              </w:rPr>
              <w:t>v solitérní zástavbě</w:t>
            </w:r>
            <w:r w:rsidRPr="00F23286">
              <w:rPr>
                <w:sz w:val="15"/>
                <w:szCs w:val="15"/>
              </w:rPr>
              <w:t xml:space="preserve"> je stanovena z důvodu výškové stabilizace zástavby</w:t>
            </w:r>
            <w:r>
              <w:rPr>
                <w:sz w:val="15"/>
                <w:szCs w:val="15"/>
              </w:rPr>
              <w:t xml:space="preserve"> tak, aby nenarušovala panorama </w:t>
            </w:r>
            <w:r w:rsidRPr="00F23286">
              <w:rPr>
                <w:sz w:val="15"/>
                <w:szCs w:val="15"/>
              </w:rPr>
              <w:t xml:space="preserve">z dálkových pohledů z údolí </w:t>
            </w:r>
            <w:r w:rsidR="00AF7F84">
              <w:rPr>
                <w:sz w:val="15"/>
                <w:szCs w:val="15"/>
              </w:rPr>
              <w:t>Bystřice</w:t>
            </w:r>
            <w:r w:rsidRPr="00F23286">
              <w:rPr>
                <w:sz w:val="15"/>
                <w:szCs w:val="15"/>
              </w:rPr>
              <w:t>.</w:t>
            </w:r>
          </w:p>
          <w:p w14:paraId="02C6BB30" w14:textId="0F56AD3B" w:rsidR="005F3739" w:rsidRPr="00F23286" w:rsidRDefault="005F3739" w:rsidP="003A3351">
            <w:pPr>
              <w:spacing w:before="0" w:after="0"/>
              <w:ind w:left="0"/>
              <w:rPr>
                <w:sz w:val="15"/>
                <w:szCs w:val="15"/>
              </w:rPr>
            </w:pPr>
            <w:r w:rsidRPr="00F23286">
              <w:rPr>
                <w:sz w:val="15"/>
                <w:szCs w:val="15"/>
              </w:rPr>
              <w:t xml:space="preserve">Podmínka max. výška zástavby 12 m </w:t>
            </w:r>
            <w:r w:rsidRPr="00F23286">
              <w:rPr>
                <w:b/>
                <w:bCs/>
                <w:sz w:val="15"/>
                <w:szCs w:val="15"/>
                <w:u w:val="single"/>
              </w:rPr>
              <w:t>v ploše smíšené výrobní všeobecné (HU)</w:t>
            </w:r>
            <w:r w:rsidRPr="00F23286">
              <w:rPr>
                <w:sz w:val="15"/>
                <w:szCs w:val="15"/>
              </w:rPr>
              <w:t xml:space="preserve"> je stanovena z</w:t>
            </w:r>
            <w:r w:rsidR="00AF7F84">
              <w:rPr>
                <w:sz w:val="15"/>
                <w:szCs w:val="15"/>
              </w:rPr>
              <w:t> </w:t>
            </w:r>
            <w:r w:rsidRPr="00F23286">
              <w:rPr>
                <w:sz w:val="15"/>
                <w:szCs w:val="15"/>
              </w:rPr>
              <w:t>důvodu výškové stabilizace zástavby.</w:t>
            </w:r>
          </w:p>
          <w:p w14:paraId="1D07C9E0" w14:textId="77777777" w:rsidR="005F3739" w:rsidRPr="00F23286" w:rsidRDefault="005F3739" w:rsidP="003A3351">
            <w:pPr>
              <w:spacing w:before="0" w:after="0"/>
              <w:ind w:left="0"/>
              <w:rPr>
                <w:b/>
                <w:bCs/>
                <w:sz w:val="8"/>
                <w:szCs w:val="8"/>
                <w:u w:val="single"/>
              </w:rPr>
            </w:pPr>
          </w:p>
        </w:tc>
      </w:tr>
      <w:tr w:rsidR="005F3739" w14:paraId="266660EA" w14:textId="77777777" w:rsidTr="005F3739">
        <w:trPr>
          <w:trHeight w:val="1658"/>
        </w:trPr>
        <w:tc>
          <w:tcPr>
            <w:tcW w:w="682" w:type="dxa"/>
            <w:vMerge/>
          </w:tcPr>
          <w:p w14:paraId="5D285B41" w14:textId="77777777" w:rsidR="005F3739" w:rsidRDefault="005F3739" w:rsidP="003A3351">
            <w:pPr>
              <w:ind w:left="0"/>
              <w:rPr>
                <w:b/>
              </w:rPr>
            </w:pPr>
          </w:p>
        </w:tc>
        <w:tc>
          <w:tcPr>
            <w:tcW w:w="1128" w:type="dxa"/>
          </w:tcPr>
          <w:p w14:paraId="7041AC4B" w14:textId="77777777" w:rsidR="005F3739" w:rsidRPr="00F23286" w:rsidRDefault="005F3739" w:rsidP="003A3351">
            <w:pPr>
              <w:ind w:left="0"/>
              <w:rPr>
                <w:b/>
              </w:rPr>
            </w:pPr>
            <w:r w:rsidRPr="00F23286">
              <w:rPr>
                <w:b/>
              </w:rPr>
              <w:t>Charakter přírodních prvků</w:t>
            </w:r>
          </w:p>
        </w:tc>
        <w:tc>
          <w:tcPr>
            <w:tcW w:w="6695" w:type="dxa"/>
          </w:tcPr>
          <w:p w14:paraId="227BB7BA" w14:textId="77777777" w:rsidR="005F3739" w:rsidRPr="00F23286" w:rsidRDefault="005F3739" w:rsidP="003A3351">
            <w:pPr>
              <w:ind w:left="0"/>
              <w:rPr>
                <w:sz w:val="15"/>
                <w:szCs w:val="15"/>
              </w:rPr>
            </w:pPr>
            <w:r w:rsidRPr="00F23286">
              <w:rPr>
                <w:sz w:val="15"/>
                <w:szCs w:val="15"/>
              </w:rPr>
              <w:t>Přírodní prvky zastavěného území tvoří dřeviny, rostliny a zatravněné plochy jako součást zahrad a veřejných prostranství a dřeviny podél Bystřice.</w:t>
            </w:r>
          </w:p>
          <w:p w14:paraId="7F44256C" w14:textId="77777777" w:rsidR="005F3739" w:rsidRPr="00F23286" w:rsidRDefault="005F3739" w:rsidP="003A3351">
            <w:pPr>
              <w:ind w:left="0"/>
              <w:rPr>
                <w:sz w:val="15"/>
                <w:szCs w:val="15"/>
              </w:rPr>
            </w:pPr>
            <w:r w:rsidRPr="00F23286">
              <w:rPr>
                <w:sz w:val="15"/>
                <w:szCs w:val="15"/>
              </w:rPr>
              <w:t>Přírodní prvky nezastavěné území tvoří lesní plochy svahů ve svazích údolí Bystřice.</w:t>
            </w:r>
          </w:p>
          <w:p w14:paraId="745C8BAE" w14:textId="496BD392" w:rsidR="005F3739" w:rsidRPr="00F23286" w:rsidRDefault="005F3739" w:rsidP="003A3351">
            <w:pPr>
              <w:ind w:left="0"/>
              <w:rPr>
                <w:sz w:val="15"/>
                <w:szCs w:val="15"/>
              </w:rPr>
            </w:pPr>
            <w:r w:rsidRPr="00F23286">
              <w:rPr>
                <w:sz w:val="15"/>
                <w:szCs w:val="15"/>
              </w:rPr>
              <w:t xml:space="preserve">Podmínka </w:t>
            </w:r>
            <w:r w:rsidR="004F10AE">
              <w:rPr>
                <w:sz w:val="15"/>
                <w:szCs w:val="15"/>
              </w:rPr>
              <w:t xml:space="preserve">převážně </w:t>
            </w:r>
            <w:r w:rsidRPr="00F23286">
              <w:rPr>
                <w:sz w:val="15"/>
                <w:szCs w:val="15"/>
              </w:rPr>
              <w:t xml:space="preserve">přírodního charakteru </w:t>
            </w:r>
            <w:r w:rsidRPr="00F23286">
              <w:rPr>
                <w:b/>
                <w:sz w:val="15"/>
                <w:szCs w:val="15"/>
                <w:u w:val="single"/>
              </w:rPr>
              <w:t>koryta Bystřice</w:t>
            </w:r>
            <w:r w:rsidRPr="00F23286">
              <w:rPr>
                <w:sz w:val="15"/>
                <w:szCs w:val="15"/>
              </w:rPr>
              <w:t xml:space="preserve"> je stanovena </w:t>
            </w:r>
            <w:r w:rsidR="004F10AE" w:rsidRPr="00F23286">
              <w:rPr>
                <w:sz w:val="15"/>
                <w:szCs w:val="15"/>
              </w:rPr>
              <w:t>z</w:t>
            </w:r>
            <w:r w:rsidRPr="00F23286">
              <w:rPr>
                <w:sz w:val="15"/>
                <w:szCs w:val="15"/>
              </w:rPr>
              <w:t> důvodu ochrany cenného nivního biotopu Bystřice</w:t>
            </w:r>
            <w:r w:rsidR="004F10AE">
              <w:rPr>
                <w:sz w:val="15"/>
                <w:szCs w:val="15"/>
              </w:rPr>
              <w:t xml:space="preserve"> a zároveň umožnění místního zpevnění břehů</w:t>
            </w:r>
            <w:r w:rsidRPr="00F23286">
              <w:rPr>
                <w:sz w:val="15"/>
                <w:szCs w:val="15"/>
              </w:rPr>
              <w:t>.</w:t>
            </w:r>
          </w:p>
          <w:p w14:paraId="1D677E56" w14:textId="77777777" w:rsidR="005F3739" w:rsidRPr="00F23286" w:rsidRDefault="005F3739" w:rsidP="003A3351">
            <w:pPr>
              <w:ind w:left="0"/>
              <w:rPr>
                <w:sz w:val="15"/>
                <w:szCs w:val="15"/>
              </w:rPr>
            </w:pPr>
            <w:r w:rsidRPr="00F23286">
              <w:rPr>
                <w:sz w:val="15"/>
                <w:szCs w:val="15"/>
              </w:rPr>
              <w:t xml:space="preserve">Ostatní přírodní prvky lze dále rozvíjet v souladu s jejich charakterem. Je doporučeno využívání místních dřevin. </w:t>
            </w:r>
          </w:p>
        </w:tc>
      </w:tr>
      <w:tr w:rsidR="005F3739" w14:paraId="4F499EDD" w14:textId="77777777" w:rsidTr="005F3739">
        <w:tc>
          <w:tcPr>
            <w:tcW w:w="682" w:type="dxa"/>
            <w:vMerge/>
          </w:tcPr>
          <w:p w14:paraId="40A0C946" w14:textId="77777777" w:rsidR="005F3739" w:rsidRDefault="005F3739" w:rsidP="003A3351">
            <w:pPr>
              <w:ind w:left="0"/>
              <w:rPr>
                <w:b/>
              </w:rPr>
            </w:pPr>
          </w:p>
        </w:tc>
        <w:tc>
          <w:tcPr>
            <w:tcW w:w="1128" w:type="dxa"/>
          </w:tcPr>
          <w:p w14:paraId="73565B38" w14:textId="77777777" w:rsidR="005F3739" w:rsidRPr="00B960DF" w:rsidRDefault="005F3739" w:rsidP="003A3351">
            <w:pPr>
              <w:ind w:left="0"/>
              <w:rPr>
                <w:b/>
              </w:rPr>
            </w:pPr>
            <w:r>
              <w:rPr>
                <w:b/>
              </w:rPr>
              <w:t>Specifické prvky</w:t>
            </w:r>
          </w:p>
        </w:tc>
        <w:tc>
          <w:tcPr>
            <w:tcW w:w="6695" w:type="dxa"/>
          </w:tcPr>
          <w:p w14:paraId="52F6568C" w14:textId="77777777" w:rsidR="005F3739" w:rsidRPr="003B1F87" w:rsidRDefault="005F3739" w:rsidP="003A3351">
            <w:pPr>
              <w:ind w:left="0"/>
              <w:rPr>
                <w:sz w:val="15"/>
                <w:szCs w:val="15"/>
              </w:rPr>
            </w:pPr>
            <w:r w:rsidRPr="003B1F87">
              <w:rPr>
                <w:sz w:val="15"/>
                <w:szCs w:val="15"/>
              </w:rPr>
              <w:t>V lokalitě se vyskytují rekreační plochy, sloužící pro nadmístní rekreaci posilující funkci obce jako rekreačního zázemí Olomouce.</w:t>
            </w:r>
          </w:p>
          <w:p w14:paraId="7B73E29B" w14:textId="77777777" w:rsidR="005F3739" w:rsidRDefault="005F3739" w:rsidP="003A3351">
            <w:pPr>
              <w:ind w:left="0"/>
              <w:rPr>
                <w:sz w:val="15"/>
                <w:szCs w:val="15"/>
              </w:rPr>
            </w:pPr>
            <w:r w:rsidRPr="003B1F87">
              <w:rPr>
                <w:b/>
                <w:sz w:val="15"/>
                <w:szCs w:val="15"/>
                <w:u w:val="single"/>
              </w:rPr>
              <w:t>V plochách rekreace jiné (RX)</w:t>
            </w:r>
            <w:r w:rsidRPr="003B1F87">
              <w:rPr>
                <w:sz w:val="15"/>
                <w:szCs w:val="15"/>
              </w:rPr>
              <w:t xml:space="preserve"> je stanovena podmínka využití pro letní rekreaci ve formě koupaliště, přírodních biotopů a doprovodných využití pro sport a rekreaci</w:t>
            </w:r>
            <w:r>
              <w:rPr>
                <w:sz w:val="15"/>
                <w:szCs w:val="15"/>
              </w:rPr>
              <w:t>, přírodně blízkého charakteru</w:t>
            </w:r>
            <w:r w:rsidRPr="003B1F87">
              <w:rPr>
                <w:sz w:val="15"/>
                <w:szCs w:val="15"/>
              </w:rPr>
              <w:t>.</w:t>
            </w:r>
          </w:p>
          <w:p w14:paraId="7096C486" w14:textId="77777777" w:rsidR="005F3739" w:rsidRDefault="005F3739" w:rsidP="003A3351">
            <w:pPr>
              <w:ind w:left="0"/>
              <w:rPr>
                <w:sz w:val="15"/>
                <w:szCs w:val="15"/>
              </w:rPr>
            </w:pPr>
          </w:p>
          <w:p w14:paraId="50F9AF5E" w14:textId="77777777" w:rsidR="005F3739" w:rsidRDefault="005F3739" w:rsidP="003A3351">
            <w:pPr>
              <w:ind w:left="0"/>
              <w:rPr>
                <w:sz w:val="15"/>
                <w:szCs w:val="15"/>
              </w:rPr>
            </w:pPr>
          </w:p>
          <w:p w14:paraId="6EBB9531" w14:textId="77777777" w:rsidR="005F3739" w:rsidRDefault="005F3739" w:rsidP="003A3351">
            <w:pPr>
              <w:ind w:left="0"/>
              <w:rPr>
                <w:sz w:val="15"/>
                <w:szCs w:val="15"/>
              </w:rPr>
            </w:pPr>
          </w:p>
          <w:p w14:paraId="0DDE6327" w14:textId="77777777" w:rsidR="005F3739" w:rsidRDefault="005F3739" w:rsidP="003A3351">
            <w:pPr>
              <w:ind w:left="0"/>
              <w:rPr>
                <w:sz w:val="15"/>
                <w:szCs w:val="15"/>
              </w:rPr>
            </w:pPr>
          </w:p>
          <w:p w14:paraId="2344CDF3" w14:textId="77777777" w:rsidR="005F3739" w:rsidRDefault="005F3739" w:rsidP="003A3351">
            <w:pPr>
              <w:ind w:left="0"/>
              <w:rPr>
                <w:sz w:val="15"/>
                <w:szCs w:val="15"/>
              </w:rPr>
            </w:pPr>
          </w:p>
          <w:p w14:paraId="379305EE" w14:textId="77777777" w:rsidR="005F3739" w:rsidRDefault="005F3739" w:rsidP="003A3351">
            <w:pPr>
              <w:ind w:left="0"/>
              <w:rPr>
                <w:sz w:val="15"/>
                <w:szCs w:val="15"/>
              </w:rPr>
            </w:pPr>
          </w:p>
          <w:p w14:paraId="167BE7A4" w14:textId="77777777" w:rsidR="005F3739" w:rsidRDefault="005F3739" w:rsidP="003A3351">
            <w:pPr>
              <w:ind w:left="0"/>
              <w:rPr>
                <w:sz w:val="15"/>
                <w:szCs w:val="15"/>
              </w:rPr>
            </w:pPr>
          </w:p>
          <w:p w14:paraId="7AA66CDE" w14:textId="77777777" w:rsidR="005F3739" w:rsidRDefault="005F3739" w:rsidP="003A3351">
            <w:pPr>
              <w:ind w:left="0"/>
              <w:rPr>
                <w:sz w:val="15"/>
                <w:szCs w:val="15"/>
              </w:rPr>
            </w:pPr>
          </w:p>
          <w:p w14:paraId="143C4265" w14:textId="77777777" w:rsidR="005F3739" w:rsidRDefault="005F3739" w:rsidP="003A3351">
            <w:pPr>
              <w:ind w:left="0"/>
              <w:rPr>
                <w:sz w:val="15"/>
                <w:szCs w:val="15"/>
              </w:rPr>
            </w:pPr>
          </w:p>
          <w:p w14:paraId="3645590A" w14:textId="77777777" w:rsidR="005F3739" w:rsidRDefault="005F3739" w:rsidP="003A3351">
            <w:pPr>
              <w:ind w:left="0"/>
              <w:rPr>
                <w:sz w:val="15"/>
                <w:szCs w:val="15"/>
              </w:rPr>
            </w:pPr>
          </w:p>
          <w:p w14:paraId="47BE7D9A" w14:textId="77777777" w:rsidR="005F3739" w:rsidRDefault="005F3739" w:rsidP="003A3351">
            <w:pPr>
              <w:ind w:left="0"/>
              <w:rPr>
                <w:sz w:val="15"/>
                <w:szCs w:val="15"/>
              </w:rPr>
            </w:pPr>
          </w:p>
          <w:p w14:paraId="063C4ED3" w14:textId="77777777" w:rsidR="005F3739" w:rsidRDefault="005F3739" w:rsidP="003A3351">
            <w:pPr>
              <w:ind w:left="0"/>
              <w:rPr>
                <w:sz w:val="15"/>
                <w:szCs w:val="15"/>
              </w:rPr>
            </w:pPr>
          </w:p>
          <w:p w14:paraId="2BD68532" w14:textId="77777777" w:rsidR="005F3739" w:rsidRDefault="005F3739" w:rsidP="003A3351">
            <w:pPr>
              <w:ind w:left="0"/>
              <w:rPr>
                <w:sz w:val="15"/>
                <w:szCs w:val="15"/>
              </w:rPr>
            </w:pPr>
          </w:p>
          <w:p w14:paraId="7AECF661" w14:textId="77777777" w:rsidR="005F3739" w:rsidRDefault="005F3739" w:rsidP="003A3351">
            <w:pPr>
              <w:ind w:left="0"/>
              <w:rPr>
                <w:sz w:val="15"/>
                <w:szCs w:val="15"/>
              </w:rPr>
            </w:pPr>
          </w:p>
          <w:p w14:paraId="0A5EE8F5" w14:textId="77777777" w:rsidR="005F3739" w:rsidRDefault="005F3739" w:rsidP="003A3351">
            <w:pPr>
              <w:ind w:left="0"/>
              <w:rPr>
                <w:sz w:val="15"/>
                <w:szCs w:val="15"/>
              </w:rPr>
            </w:pPr>
          </w:p>
          <w:p w14:paraId="1E813708" w14:textId="77777777" w:rsidR="005F3739" w:rsidRDefault="005F3739" w:rsidP="003A3351">
            <w:pPr>
              <w:ind w:left="0"/>
              <w:rPr>
                <w:sz w:val="15"/>
                <w:szCs w:val="15"/>
              </w:rPr>
            </w:pPr>
          </w:p>
          <w:p w14:paraId="64521C21" w14:textId="77777777" w:rsidR="005F3739" w:rsidRDefault="005F3739" w:rsidP="003A3351">
            <w:pPr>
              <w:ind w:left="0"/>
              <w:rPr>
                <w:sz w:val="15"/>
                <w:szCs w:val="15"/>
              </w:rPr>
            </w:pPr>
          </w:p>
          <w:p w14:paraId="5F86E80B" w14:textId="77777777" w:rsidR="005F3739" w:rsidRDefault="005F3739" w:rsidP="003A3351">
            <w:pPr>
              <w:ind w:left="0"/>
              <w:rPr>
                <w:sz w:val="15"/>
                <w:szCs w:val="15"/>
              </w:rPr>
            </w:pPr>
          </w:p>
          <w:p w14:paraId="4AC99408" w14:textId="77777777" w:rsidR="005F3739" w:rsidRDefault="005F3739" w:rsidP="003A3351">
            <w:pPr>
              <w:ind w:left="0"/>
              <w:rPr>
                <w:sz w:val="15"/>
                <w:szCs w:val="15"/>
              </w:rPr>
            </w:pPr>
          </w:p>
          <w:p w14:paraId="29A58E1C" w14:textId="3AE851D9" w:rsidR="005F3739" w:rsidRPr="005F3739" w:rsidRDefault="005F3739" w:rsidP="003A3351">
            <w:pPr>
              <w:ind w:left="0"/>
              <w:rPr>
                <w:sz w:val="15"/>
                <w:szCs w:val="15"/>
              </w:rPr>
            </w:pPr>
          </w:p>
        </w:tc>
      </w:tr>
      <w:tr w:rsidR="005F3739" w14:paraId="0A6B7EA2" w14:textId="77777777" w:rsidTr="005F3739">
        <w:trPr>
          <w:trHeight w:val="6086"/>
        </w:trPr>
        <w:tc>
          <w:tcPr>
            <w:tcW w:w="682" w:type="dxa"/>
            <w:vMerge w:val="restart"/>
            <w:textDirection w:val="btLr"/>
          </w:tcPr>
          <w:p w14:paraId="56606431" w14:textId="77777777" w:rsidR="005F3739" w:rsidRDefault="005F3739" w:rsidP="003A3351">
            <w:pPr>
              <w:ind w:left="113" w:right="113"/>
              <w:jc w:val="right"/>
              <w:rPr>
                <w:b/>
              </w:rPr>
            </w:pPr>
            <w:r>
              <w:rPr>
                <w:b/>
              </w:rPr>
              <w:lastRenderedPageBreak/>
              <w:t>Uspořádání</w:t>
            </w:r>
          </w:p>
        </w:tc>
        <w:tc>
          <w:tcPr>
            <w:tcW w:w="1128" w:type="dxa"/>
          </w:tcPr>
          <w:p w14:paraId="4AF098D2" w14:textId="77777777" w:rsidR="005F3739" w:rsidRPr="00CA61E2" w:rsidRDefault="005F3739" w:rsidP="003A3351">
            <w:pPr>
              <w:ind w:left="0" w:right="-136"/>
              <w:jc w:val="left"/>
              <w:rPr>
                <w:b/>
              </w:rPr>
            </w:pPr>
            <w:r w:rsidRPr="001A225F">
              <w:rPr>
                <w:b/>
              </w:rPr>
              <w:t xml:space="preserve">Velikost a </w:t>
            </w:r>
            <w:r>
              <w:rPr>
                <w:b/>
              </w:rPr>
              <w:t>zastavitelnost</w:t>
            </w:r>
            <w:r w:rsidRPr="001A225F">
              <w:rPr>
                <w:b/>
              </w:rPr>
              <w:t xml:space="preserve"> pozemků</w:t>
            </w:r>
          </w:p>
        </w:tc>
        <w:tc>
          <w:tcPr>
            <w:tcW w:w="6695" w:type="dxa"/>
          </w:tcPr>
          <w:p w14:paraId="0B239525" w14:textId="77777777" w:rsidR="005F3739" w:rsidRPr="00756ACA" w:rsidRDefault="005F3739" w:rsidP="003A3351">
            <w:pPr>
              <w:ind w:left="0"/>
              <w:rPr>
                <w:sz w:val="15"/>
                <w:szCs w:val="15"/>
              </w:rPr>
            </w:pPr>
            <w:r w:rsidRPr="00756ACA">
              <w:rPr>
                <w:sz w:val="15"/>
                <w:szCs w:val="15"/>
              </w:rPr>
              <w:t>Obvyklá míra velikosti pozemků rodinných domů je cca od 600 do cca 1200 m</w:t>
            </w:r>
            <w:r w:rsidRPr="00756ACA">
              <w:rPr>
                <w:sz w:val="15"/>
                <w:szCs w:val="15"/>
                <w:vertAlign w:val="superscript"/>
              </w:rPr>
              <w:t>2</w:t>
            </w:r>
            <w:r w:rsidRPr="00756ACA">
              <w:rPr>
                <w:sz w:val="15"/>
                <w:szCs w:val="15"/>
              </w:rPr>
              <w:t>, s průměrnou typickou zastavitelností 18-25%. Typickým zástupcem zástavby je např. RD č.p. 281 o ZP HS cca 180 m</w:t>
            </w:r>
            <w:r w:rsidRPr="00756ACA">
              <w:rPr>
                <w:sz w:val="15"/>
                <w:szCs w:val="15"/>
                <w:vertAlign w:val="superscript"/>
              </w:rPr>
              <w:t>2</w:t>
            </w:r>
            <w:r w:rsidRPr="00756ACA">
              <w:rPr>
                <w:sz w:val="15"/>
                <w:szCs w:val="15"/>
              </w:rPr>
              <w:t xml:space="preserve"> na pozemku cca 880 m2 (zastavitelnost cca 20%).</w:t>
            </w:r>
          </w:p>
          <w:p w14:paraId="6F1D72A6" w14:textId="77777777" w:rsidR="005F3739" w:rsidRPr="00756ACA" w:rsidRDefault="005F3739" w:rsidP="003A3351">
            <w:pPr>
              <w:ind w:left="0"/>
              <w:rPr>
                <w:sz w:val="15"/>
                <w:szCs w:val="15"/>
              </w:rPr>
            </w:pPr>
            <w:r w:rsidRPr="00756ACA">
              <w:rPr>
                <w:sz w:val="15"/>
                <w:szCs w:val="15"/>
              </w:rPr>
              <w:t>Obvyklá míra velikosti pozemků zástavby rekreační zóny je cca od 250 do cca 600 m2, s průměrnou typickou zastavitelností 7-12%. Typickým zástupcem je chata č. ev. 149 o ZP HS cca 54 m</w:t>
            </w:r>
            <w:r w:rsidRPr="00756ACA">
              <w:rPr>
                <w:sz w:val="15"/>
                <w:szCs w:val="15"/>
                <w:vertAlign w:val="superscript"/>
              </w:rPr>
              <w:t>2</w:t>
            </w:r>
            <w:r w:rsidRPr="00756ACA">
              <w:rPr>
                <w:sz w:val="15"/>
                <w:szCs w:val="15"/>
              </w:rPr>
              <w:t xml:space="preserve"> na pozemku cca 500 m2 (zastavitelnost cca 9%). </w:t>
            </w:r>
          </w:p>
          <w:p w14:paraId="57C42BB6" w14:textId="77777777" w:rsidR="005F3739" w:rsidRPr="00756ACA" w:rsidRDefault="005F3739" w:rsidP="003A3351">
            <w:pPr>
              <w:ind w:left="0"/>
              <w:rPr>
                <w:sz w:val="15"/>
                <w:szCs w:val="15"/>
              </w:rPr>
            </w:pPr>
            <w:r w:rsidRPr="00756ACA">
              <w:rPr>
                <w:sz w:val="15"/>
                <w:szCs w:val="15"/>
              </w:rPr>
              <w:t>Průměrná zastavitelnost ploch solitérní zástavby je ~30%.</w:t>
            </w:r>
          </w:p>
          <w:p w14:paraId="1BCDC40E" w14:textId="77777777" w:rsidR="005F3739" w:rsidRPr="00756ACA" w:rsidRDefault="005F3739" w:rsidP="003A3351">
            <w:pPr>
              <w:ind w:left="0"/>
              <w:rPr>
                <w:sz w:val="15"/>
                <w:szCs w:val="15"/>
              </w:rPr>
            </w:pPr>
            <w:r w:rsidRPr="00756ACA">
              <w:rPr>
                <w:sz w:val="15"/>
                <w:szCs w:val="15"/>
              </w:rPr>
              <w:t>Obvyklá míra velikosti pozemků rodinných domů při ulici Olomoucká je cca od 180 do cca 300 m</w:t>
            </w:r>
            <w:r w:rsidRPr="00756ACA">
              <w:rPr>
                <w:sz w:val="15"/>
                <w:szCs w:val="15"/>
                <w:vertAlign w:val="superscript"/>
              </w:rPr>
              <w:t>2</w:t>
            </w:r>
            <w:r w:rsidRPr="00756ACA">
              <w:rPr>
                <w:sz w:val="15"/>
                <w:szCs w:val="15"/>
              </w:rPr>
              <w:t>, s průměrnou typickou zastavitelností 40-55%. Typickým zástupcem zástavby je např. RD č.p. 374 o ZP HS cca 85 m</w:t>
            </w:r>
            <w:r w:rsidRPr="00756ACA">
              <w:rPr>
                <w:sz w:val="15"/>
                <w:szCs w:val="15"/>
                <w:vertAlign w:val="superscript"/>
              </w:rPr>
              <w:t>2</w:t>
            </w:r>
            <w:r w:rsidRPr="00756ACA">
              <w:rPr>
                <w:sz w:val="15"/>
                <w:szCs w:val="15"/>
              </w:rPr>
              <w:t xml:space="preserve"> na pozemku cca 180 m</w:t>
            </w:r>
            <w:r w:rsidRPr="00756ACA">
              <w:rPr>
                <w:sz w:val="15"/>
                <w:szCs w:val="15"/>
                <w:vertAlign w:val="superscript"/>
              </w:rPr>
              <w:t>2</w:t>
            </w:r>
            <w:r w:rsidRPr="00756ACA">
              <w:rPr>
                <w:sz w:val="15"/>
                <w:szCs w:val="15"/>
              </w:rPr>
              <w:t xml:space="preserve"> (zastavitelnost cca 48%). </w:t>
            </w:r>
          </w:p>
          <w:p w14:paraId="3FE705E2" w14:textId="1DB8E069" w:rsidR="005F3739" w:rsidRPr="00756ACA" w:rsidRDefault="005F3739" w:rsidP="003A3351">
            <w:pPr>
              <w:ind w:left="0"/>
              <w:rPr>
                <w:sz w:val="15"/>
                <w:szCs w:val="15"/>
              </w:rPr>
            </w:pPr>
            <w:r w:rsidRPr="00756ACA">
              <w:rPr>
                <w:sz w:val="15"/>
                <w:szCs w:val="15"/>
              </w:rPr>
              <w:t>Pro celou lokalitu je stanoven HS=0,3</w:t>
            </w:r>
            <w:r w:rsidR="0024145D">
              <w:rPr>
                <w:sz w:val="15"/>
                <w:szCs w:val="15"/>
              </w:rPr>
              <w:t>0</w:t>
            </w:r>
            <w:r w:rsidRPr="00756ACA">
              <w:rPr>
                <w:sz w:val="15"/>
                <w:szCs w:val="15"/>
              </w:rPr>
              <w:t xml:space="preserve"> pro hlavní stavbu tak, aby intenzita využití území respektovala charakter území. Zastavitelnost je stanovena jako maximální pro udržení charakteru zahradního města. KN=0,5</w:t>
            </w:r>
            <w:r w:rsidR="0024145D">
              <w:rPr>
                <w:sz w:val="15"/>
                <w:szCs w:val="15"/>
              </w:rPr>
              <w:t>0</w:t>
            </w:r>
            <w:r w:rsidRPr="00756ACA">
              <w:rPr>
                <w:sz w:val="15"/>
                <w:szCs w:val="15"/>
              </w:rPr>
              <w:t xml:space="preserve"> zajišťuje plochu zahrady určenou pro vsakování a retenci v území.</w:t>
            </w:r>
          </w:p>
          <w:p w14:paraId="1CD97CCE" w14:textId="20A316A0" w:rsidR="005F3739" w:rsidRPr="00756ACA" w:rsidRDefault="005F3739" w:rsidP="003A3351">
            <w:pPr>
              <w:ind w:left="0"/>
              <w:rPr>
                <w:sz w:val="15"/>
                <w:szCs w:val="15"/>
              </w:rPr>
            </w:pPr>
            <w:r w:rsidRPr="00756ACA">
              <w:rPr>
                <w:sz w:val="15"/>
                <w:szCs w:val="15"/>
              </w:rPr>
              <w:t xml:space="preserve">Pro pozemky </w:t>
            </w:r>
            <w:r w:rsidRPr="00756ACA">
              <w:rPr>
                <w:b/>
                <w:sz w:val="15"/>
                <w:szCs w:val="15"/>
                <w:u w:val="single"/>
              </w:rPr>
              <w:t>řadových domů</w:t>
            </w:r>
            <w:r w:rsidRPr="00756ACA">
              <w:rPr>
                <w:sz w:val="15"/>
                <w:szCs w:val="15"/>
              </w:rPr>
              <w:t xml:space="preserve"> je stanoven HS=0,5</w:t>
            </w:r>
            <w:r w:rsidR="0024145D">
              <w:rPr>
                <w:sz w:val="15"/>
                <w:szCs w:val="15"/>
              </w:rPr>
              <w:t>0</w:t>
            </w:r>
            <w:r w:rsidRPr="00756ACA">
              <w:rPr>
                <w:sz w:val="15"/>
                <w:szCs w:val="15"/>
              </w:rPr>
              <w:t xml:space="preserve"> pro hlavní stavbu, pro zajištění využitelnosti pozemku a</w:t>
            </w:r>
            <w:r w:rsidR="0024145D">
              <w:rPr>
                <w:sz w:val="15"/>
                <w:szCs w:val="15"/>
              </w:rPr>
              <w:t> </w:t>
            </w:r>
            <w:r w:rsidRPr="00756ACA">
              <w:rPr>
                <w:sz w:val="15"/>
                <w:szCs w:val="15"/>
              </w:rPr>
              <w:t>KN=0,3</w:t>
            </w:r>
            <w:r w:rsidR="0024145D">
              <w:rPr>
                <w:sz w:val="15"/>
                <w:szCs w:val="15"/>
              </w:rPr>
              <w:t>0</w:t>
            </w:r>
            <w:r w:rsidRPr="00756ACA">
              <w:rPr>
                <w:sz w:val="15"/>
                <w:szCs w:val="15"/>
              </w:rPr>
              <w:t>.</w:t>
            </w:r>
          </w:p>
          <w:p w14:paraId="5E95AC2C" w14:textId="23F1E738" w:rsidR="005F3739" w:rsidRPr="00756ACA" w:rsidRDefault="005F3739" w:rsidP="003A3351">
            <w:pPr>
              <w:ind w:left="0"/>
              <w:rPr>
                <w:sz w:val="15"/>
                <w:szCs w:val="15"/>
              </w:rPr>
            </w:pPr>
            <w:r w:rsidRPr="00756ACA">
              <w:rPr>
                <w:b/>
                <w:sz w:val="15"/>
                <w:szCs w:val="15"/>
                <w:u w:val="single"/>
              </w:rPr>
              <w:t xml:space="preserve">Pozemky v návaznosti na plochu </w:t>
            </w:r>
            <w:r w:rsidRPr="00756ACA">
              <w:rPr>
                <w:b/>
                <w:bCs/>
                <w:iCs/>
                <w:sz w:val="15"/>
                <w:szCs w:val="15"/>
                <w:u w:val="single"/>
              </w:rPr>
              <w:t>PU.</w:t>
            </w:r>
            <w:r w:rsidR="00AF7F84">
              <w:rPr>
                <w:b/>
                <w:bCs/>
                <w:iCs/>
                <w:sz w:val="15"/>
                <w:szCs w:val="15"/>
                <w:u w:val="single"/>
              </w:rPr>
              <w:t>v</w:t>
            </w:r>
            <w:r w:rsidRPr="00756ACA">
              <w:rPr>
                <w:b/>
                <w:bCs/>
                <w:iCs/>
                <w:sz w:val="15"/>
                <w:szCs w:val="15"/>
                <w:u w:val="single"/>
              </w:rPr>
              <w:t xml:space="preserve"> </w:t>
            </w:r>
            <w:r w:rsidRPr="00756ACA">
              <w:rPr>
                <w:sz w:val="15"/>
                <w:szCs w:val="15"/>
              </w:rPr>
              <w:t>nemají stanoveny podmínky zastavitelnosti tak, aby bylo podpořeno využití centrálních částí lokality a rozvoj občanského vybavení městského i místního významu.</w:t>
            </w:r>
          </w:p>
          <w:p w14:paraId="2EFAFCCF" w14:textId="77777777" w:rsidR="005F3739" w:rsidRPr="00756ACA" w:rsidRDefault="005F3739" w:rsidP="003A3351">
            <w:pPr>
              <w:ind w:left="0"/>
              <w:rPr>
                <w:sz w:val="15"/>
                <w:szCs w:val="15"/>
              </w:rPr>
            </w:pPr>
            <w:r w:rsidRPr="00756ACA">
              <w:rPr>
                <w:bCs/>
                <w:sz w:val="15"/>
                <w:szCs w:val="15"/>
              </w:rPr>
              <w:t xml:space="preserve">Pro </w:t>
            </w:r>
            <w:r w:rsidRPr="00756ACA">
              <w:rPr>
                <w:b/>
                <w:sz w:val="15"/>
                <w:szCs w:val="15"/>
                <w:u w:val="single"/>
              </w:rPr>
              <w:t>solitérní zástavbu</w:t>
            </w:r>
            <w:r w:rsidRPr="00756ACA">
              <w:rPr>
                <w:sz w:val="15"/>
                <w:szCs w:val="15"/>
              </w:rPr>
              <w:t xml:space="preserve"> je stanovena celková zastavitelnost plochy max. 30% z důvodu umožnění přiměřeného rozvoje charakteru solitérní zástavby (dostavby stávajících bytových domů).</w:t>
            </w:r>
          </w:p>
          <w:p w14:paraId="6DC16F75" w14:textId="77777777" w:rsidR="005F3739" w:rsidRPr="00756ACA" w:rsidRDefault="005F3739" w:rsidP="003A3351">
            <w:pPr>
              <w:ind w:left="0"/>
              <w:rPr>
                <w:sz w:val="15"/>
                <w:szCs w:val="15"/>
              </w:rPr>
            </w:pPr>
            <w:r w:rsidRPr="00756ACA">
              <w:rPr>
                <w:b/>
                <w:bCs/>
                <w:sz w:val="15"/>
                <w:szCs w:val="15"/>
                <w:u w:val="single"/>
              </w:rPr>
              <w:t>V ploše smíšené výrobní všeobecné (HU)</w:t>
            </w:r>
            <w:r w:rsidRPr="00756ACA">
              <w:rPr>
                <w:bCs/>
                <w:sz w:val="15"/>
                <w:szCs w:val="15"/>
              </w:rPr>
              <w:t xml:space="preserve"> nejsou s ohledem na charakter využití plochy stanoveny podmínky zastavitelnosti pozemku, z důvodu zajištění dostatečné plochy </w:t>
            </w:r>
            <w:r w:rsidRPr="00756ACA">
              <w:rPr>
                <w:sz w:val="15"/>
                <w:szCs w:val="15"/>
              </w:rPr>
              <w:t>pro vsakování a retenci v území je stanoven KN=0,40.</w:t>
            </w:r>
          </w:p>
          <w:p w14:paraId="30DDC8AD" w14:textId="72F0C9D3" w:rsidR="005F3739" w:rsidRPr="00756ACA" w:rsidRDefault="005F3739" w:rsidP="003A3351">
            <w:pPr>
              <w:ind w:left="0"/>
              <w:rPr>
                <w:sz w:val="15"/>
                <w:szCs w:val="15"/>
              </w:rPr>
            </w:pPr>
            <w:r w:rsidRPr="00756ACA">
              <w:rPr>
                <w:b/>
                <w:iCs/>
                <w:sz w:val="15"/>
                <w:szCs w:val="15"/>
                <w:u w:val="single"/>
              </w:rPr>
              <w:t>V ploše rekreace individuální (RI)</w:t>
            </w:r>
            <w:r w:rsidRPr="00756ACA">
              <w:rPr>
                <w:iCs/>
                <w:sz w:val="15"/>
                <w:szCs w:val="15"/>
              </w:rPr>
              <w:t xml:space="preserve"> </w:t>
            </w:r>
            <w:r w:rsidRPr="00756ACA">
              <w:rPr>
                <w:sz w:val="15"/>
                <w:szCs w:val="15"/>
              </w:rPr>
              <w:t>je stanoven HS=0,15 pro hlavní stavbu tak, aby intenzita využití území respektovala charakter území. Zastavitelnost je stanovena jako maximální pro udržení charakteru rekreační lokality. KN=0,60 zajišťuje plochu zahrady určenou pro vsakování a retenci v území a zároveň poskytuje dostatečný prostor pro zahrady a vedlejší objekty.</w:t>
            </w:r>
            <w:r w:rsidR="0024145D">
              <w:rPr>
                <w:sz w:val="15"/>
                <w:szCs w:val="15"/>
              </w:rPr>
              <w:t xml:space="preserve"> Max. výpočtová velikost pozemku je stanovena pro zajištění max. míry intenzit</w:t>
            </w:r>
            <w:r w:rsidR="008A54F8">
              <w:rPr>
                <w:sz w:val="15"/>
                <w:szCs w:val="15"/>
              </w:rPr>
              <w:t>y</w:t>
            </w:r>
            <w:r w:rsidR="0024145D">
              <w:rPr>
                <w:sz w:val="15"/>
                <w:szCs w:val="15"/>
              </w:rPr>
              <w:t xml:space="preserve"> zástavby.</w:t>
            </w:r>
          </w:p>
          <w:p w14:paraId="47686159" w14:textId="21604D46" w:rsidR="005F3739" w:rsidRPr="00C40B14" w:rsidRDefault="005F3739" w:rsidP="003A3351">
            <w:pPr>
              <w:ind w:left="0"/>
              <w:rPr>
                <w:color w:val="FF0000"/>
                <w:sz w:val="15"/>
                <w:szCs w:val="15"/>
              </w:rPr>
            </w:pPr>
            <w:r w:rsidRPr="00756ACA">
              <w:rPr>
                <w:b/>
                <w:iCs/>
                <w:sz w:val="15"/>
                <w:szCs w:val="15"/>
                <w:u w:val="single"/>
              </w:rPr>
              <w:t>V ploše rekreace jiné</w:t>
            </w:r>
            <w:r w:rsidR="00AF7F84" w:rsidRPr="003B1F87">
              <w:rPr>
                <w:b/>
                <w:sz w:val="15"/>
                <w:szCs w:val="15"/>
                <w:u w:val="single"/>
              </w:rPr>
              <w:t xml:space="preserve"> </w:t>
            </w:r>
            <w:r w:rsidR="00AF7F84" w:rsidRPr="00AF7F84">
              <w:rPr>
                <w:b/>
                <w:sz w:val="15"/>
                <w:szCs w:val="15"/>
                <w:u w:val="single"/>
              </w:rPr>
              <w:t>– rekreační areály</w:t>
            </w:r>
            <w:r w:rsidRPr="00756ACA">
              <w:rPr>
                <w:b/>
                <w:iCs/>
                <w:sz w:val="15"/>
                <w:szCs w:val="15"/>
                <w:u w:val="single"/>
              </w:rPr>
              <w:t xml:space="preserve"> (RX)</w:t>
            </w:r>
            <w:r w:rsidRPr="00756ACA">
              <w:rPr>
                <w:sz w:val="15"/>
                <w:szCs w:val="15"/>
              </w:rPr>
              <w:t xml:space="preserve"> není s ohledem na využitelnost plochy stanovena podmínka zastavitelnosti pozemku, </w:t>
            </w:r>
            <w:r w:rsidRPr="00756ACA">
              <w:rPr>
                <w:bCs/>
                <w:sz w:val="15"/>
                <w:szCs w:val="15"/>
              </w:rPr>
              <w:t xml:space="preserve">z důvodu zajištění dostatečné plochy </w:t>
            </w:r>
            <w:r w:rsidRPr="00756ACA">
              <w:rPr>
                <w:sz w:val="15"/>
                <w:szCs w:val="15"/>
              </w:rPr>
              <w:t>pro vsakování a retenci v území je stanoven KN=0,40.</w:t>
            </w:r>
          </w:p>
        </w:tc>
      </w:tr>
      <w:tr w:rsidR="005F3739" w14:paraId="4A359FD2" w14:textId="77777777" w:rsidTr="005F3739">
        <w:trPr>
          <w:cantSplit/>
        </w:trPr>
        <w:tc>
          <w:tcPr>
            <w:tcW w:w="682" w:type="dxa"/>
            <w:vMerge/>
          </w:tcPr>
          <w:p w14:paraId="58E5C486" w14:textId="77777777" w:rsidR="005F3739" w:rsidRDefault="005F3739" w:rsidP="003A3351">
            <w:pPr>
              <w:ind w:left="0"/>
              <w:rPr>
                <w:b/>
              </w:rPr>
            </w:pPr>
          </w:p>
        </w:tc>
        <w:tc>
          <w:tcPr>
            <w:tcW w:w="1128" w:type="dxa"/>
          </w:tcPr>
          <w:p w14:paraId="01B120F3" w14:textId="77777777" w:rsidR="005F3739" w:rsidRDefault="005F3739" w:rsidP="003A3351">
            <w:pPr>
              <w:ind w:left="0"/>
              <w:rPr>
                <w:b/>
              </w:rPr>
            </w:pPr>
            <w:r>
              <w:rPr>
                <w:b/>
              </w:rPr>
              <w:t>Uspořádání prostranství</w:t>
            </w:r>
          </w:p>
        </w:tc>
        <w:tc>
          <w:tcPr>
            <w:tcW w:w="6695" w:type="dxa"/>
          </w:tcPr>
          <w:p w14:paraId="0349BCB5" w14:textId="77777777" w:rsidR="005F3739" w:rsidRPr="006B4B69" w:rsidRDefault="005F3739" w:rsidP="003A3351">
            <w:pPr>
              <w:ind w:left="0"/>
              <w:rPr>
                <w:sz w:val="15"/>
                <w:szCs w:val="15"/>
              </w:rPr>
            </w:pPr>
            <w:r w:rsidRPr="006B4B69">
              <w:rPr>
                <w:sz w:val="15"/>
                <w:szCs w:val="15"/>
              </w:rPr>
              <w:t>Veřejná prostranství tvoří náměstí při kulturním domu jako veřejné prostranství hlavní a uliční síť veřejných prostranství ostatních. Charakter veřejných prostranství je měst</w:t>
            </w:r>
            <w:r>
              <w:rPr>
                <w:sz w:val="15"/>
                <w:szCs w:val="15"/>
              </w:rPr>
              <w:t>ský</w:t>
            </w:r>
            <w:r w:rsidRPr="006B4B69">
              <w:rPr>
                <w:sz w:val="15"/>
                <w:szCs w:val="15"/>
              </w:rPr>
              <w:t>, komunikace mají zpevněný lem a jsou doplněny o pás nízké zeleně. Páteř tvoří ulice Olomoucká.</w:t>
            </w:r>
          </w:p>
          <w:p w14:paraId="3ED92899" w14:textId="3DEC9620" w:rsidR="005F3739" w:rsidRPr="006B4B69" w:rsidRDefault="005F3739" w:rsidP="003A3351">
            <w:pPr>
              <w:ind w:left="0"/>
              <w:rPr>
                <w:sz w:val="15"/>
                <w:szCs w:val="15"/>
              </w:rPr>
            </w:pPr>
            <w:r w:rsidRPr="006B4B69">
              <w:rPr>
                <w:b/>
                <w:bCs/>
                <w:iCs/>
                <w:sz w:val="15"/>
                <w:szCs w:val="15"/>
                <w:u w:val="single"/>
              </w:rPr>
              <w:t>V ploše PU.</w:t>
            </w:r>
            <w:r w:rsidR="00AF7F84">
              <w:rPr>
                <w:b/>
                <w:bCs/>
                <w:iCs/>
                <w:sz w:val="15"/>
                <w:szCs w:val="15"/>
                <w:u w:val="single"/>
              </w:rPr>
              <w:t>v</w:t>
            </w:r>
            <w:r w:rsidRPr="006B4B69">
              <w:rPr>
                <w:sz w:val="15"/>
                <w:szCs w:val="15"/>
              </w:rPr>
              <w:t xml:space="preserve"> je stanovena podmínka prvky drobné architektury zapojit do kompozice veřejného prostranství při nenarušení jeho hodnoty. Podmínka sdružovat plochy parkování je stanovena z důvodu, aby byly umístěny po okrajích prostranství a neomezovaly využití plochy prostranství.</w:t>
            </w:r>
          </w:p>
          <w:p w14:paraId="2BF752F1" w14:textId="77777777" w:rsidR="005F3739" w:rsidRPr="00C40B14" w:rsidRDefault="005F3739" w:rsidP="003A3351">
            <w:pPr>
              <w:ind w:left="0"/>
              <w:rPr>
                <w:color w:val="FF0000"/>
                <w:sz w:val="15"/>
                <w:szCs w:val="15"/>
              </w:rPr>
            </w:pPr>
            <w:r w:rsidRPr="006B4B69">
              <w:rPr>
                <w:sz w:val="15"/>
                <w:szCs w:val="15"/>
              </w:rPr>
              <w:t>Je doporučeno zachovávat nezpevněný lem prostranství s ohledem na jeho využití jako funkčního prvku modrozelené infrastruktury a dále s ohledem na rozvoj hodnotného měkkého charakteru venkovských prostranství.</w:t>
            </w:r>
          </w:p>
        </w:tc>
      </w:tr>
      <w:tr w:rsidR="005F3739" w14:paraId="396FEDED" w14:textId="77777777" w:rsidTr="005F3739">
        <w:tc>
          <w:tcPr>
            <w:tcW w:w="682" w:type="dxa"/>
            <w:vMerge/>
          </w:tcPr>
          <w:p w14:paraId="064124F1" w14:textId="77777777" w:rsidR="005F3739" w:rsidRDefault="005F3739" w:rsidP="003A3351">
            <w:pPr>
              <w:ind w:left="0"/>
              <w:rPr>
                <w:b/>
              </w:rPr>
            </w:pPr>
          </w:p>
        </w:tc>
        <w:tc>
          <w:tcPr>
            <w:tcW w:w="1128" w:type="dxa"/>
          </w:tcPr>
          <w:p w14:paraId="0C32E960" w14:textId="77777777" w:rsidR="005F3739" w:rsidRDefault="005F3739" w:rsidP="003A3351">
            <w:pPr>
              <w:ind w:left="0"/>
              <w:rPr>
                <w:b/>
              </w:rPr>
            </w:pPr>
            <w:r>
              <w:rPr>
                <w:b/>
              </w:rPr>
              <w:t>Uspořádání zástavby</w:t>
            </w:r>
          </w:p>
        </w:tc>
        <w:tc>
          <w:tcPr>
            <w:tcW w:w="6695" w:type="dxa"/>
          </w:tcPr>
          <w:p w14:paraId="182FC7B7" w14:textId="77777777" w:rsidR="005F3739" w:rsidRPr="00344AF6" w:rsidRDefault="005F3739" w:rsidP="003A3351">
            <w:pPr>
              <w:ind w:left="0"/>
              <w:rPr>
                <w:sz w:val="15"/>
                <w:szCs w:val="15"/>
              </w:rPr>
            </w:pPr>
            <w:r w:rsidRPr="00344AF6">
              <w:rPr>
                <w:sz w:val="15"/>
                <w:szCs w:val="15"/>
              </w:rPr>
              <w:t>Charakter zástavby tvoří samostatné rodinné domy a dvojdomy ve svazích údolí Bystřice, solitérní bytové domy a řadové domy při ulici Olomoucká. Bytové domy mají převážně okapovou orientaci. Nejvyšší koncentrace okapově orientovaných domů je při ulici Olomoucká. Domy jsou vůči veřejným prostranstvím natočeny v různých úhlech.</w:t>
            </w:r>
          </w:p>
          <w:p w14:paraId="7C0D8806" w14:textId="77777777" w:rsidR="005F3739" w:rsidRPr="00344AF6" w:rsidRDefault="005F3739" w:rsidP="003A3351">
            <w:pPr>
              <w:ind w:left="0"/>
              <w:rPr>
                <w:sz w:val="15"/>
                <w:szCs w:val="15"/>
              </w:rPr>
            </w:pPr>
            <w:r w:rsidRPr="00344AF6">
              <w:rPr>
                <w:sz w:val="15"/>
                <w:szCs w:val="15"/>
              </w:rPr>
              <w:t>Podmínka okapové orientace je stanovena pouze pro bytové domy, pro zajištění charakteru a kompozice.</w:t>
            </w:r>
          </w:p>
          <w:p w14:paraId="2E285880" w14:textId="77777777" w:rsidR="005F3739" w:rsidRPr="00344AF6" w:rsidRDefault="005F3739" w:rsidP="003A3351">
            <w:pPr>
              <w:ind w:left="0"/>
              <w:rPr>
                <w:sz w:val="15"/>
                <w:szCs w:val="15"/>
              </w:rPr>
            </w:pPr>
            <w:r w:rsidRPr="00344AF6">
              <w:rPr>
                <w:sz w:val="15"/>
                <w:szCs w:val="15"/>
              </w:rPr>
              <w:t>Je stanoveno umisťování řadové zástavby pouze v návaznosti na ulici Olomoucká, pro ochranu charakteru zahradního města ve svahu.</w:t>
            </w:r>
          </w:p>
          <w:p w14:paraId="5CD7E5F6" w14:textId="77777777" w:rsidR="005F3739" w:rsidRPr="00344AF6" w:rsidRDefault="005F3739" w:rsidP="003A3351">
            <w:pPr>
              <w:ind w:left="0"/>
              <w:rPr>
                <w:sz w:val="15"/>
                <w:szCs w:val="15"/>
              </w:rPr>
            </w:pPr>
            <w:r w:rsidRPr="00344AF6">
              <w:rPr>
                <w:sz w:val="15"/>
                <w:szCs w:val="15"/>
              </w:rPr>
              <w:t>Je doporučeno orientovat vedlejší stavby podél či kolmo k hlavní stavbě, případně s ohledem na tvar pozemku a terénní podmínky.</w:t>
            </w:r>
          </w:p>
          <w:p w14:paraId="06C472AC" w14:textId="681F7CE2" w:rsidR="005F3739" w:rsidRPr="005F3739" w:rsidRDefault="005F3739" w:rsidP="003A3351">
            <w:pPr>
              <w:ind w:left="0"/>
              <w:rPr>
                <w:sz w:val="15"/>
                <w:szCs w:val="15"/>
              </w:rPr>
            </w:pPr>
            <w:r w:rsidRPr="00344AF6">
              <w:rPr>
                <w:sz w:val="15"/>
                <w:szCs w:val="15"/>
              </w:rPr>
              <w:t>Je doporučeno umisťovat zástavbu do vzdálenosti od VP dle navazující zástavby z důvodu ochrany hodnotného charakteru zástavby zahradního města.</w:t>
            </w:r>
          </w:p>
        </w:tc>
      </w:tr>
      <w:tr w:rsidR="005F3739" w14:paraId="39AF6A4E" w14:textId="77777777" w:rsidTr="005F3739">
        <w:tc>
          <w:tcPr>
            <w:tcW w:w="682" w:type="dxa"/>
            <w:vMerge/>
          </w:tcPr>
          <w:p w14:paraId="160774D7" w14:textId="77777777" w:rsidR="005F3739" w:rsidRDefault="005F3739" w:rsidP="003A3351">
            <w:pPr>
              <w:ind w:left="0"/>
              <w:rPr>
                <w:b/>
                <w:sz w:val="28"/>
                <w:szCs w:val="28"/>
              </w:rPr>
            </w:pPr>
          </w:p>
        </w:tc>
        <w:tc>
          <w:tcPr>
            <w:tcW w:w="1128" w:type="dxa"/>
          </w:tcPr>
          <w:p w14:paraId="371A2A7B" w14:textId="77777777" w:rsidR="005F3739" w:rsidRPr="00B960DF" w:rsidRDefault="005F3739" w:rsidP="003A3351">
            <w:pPr>
              <w:ind w:left="0"/>
              <w:rPr>
                <w:b/>
              </w:rPr>
            </w:pPr>
            <w:r>
              <w:rPr>
                <w:b/>
              </w:rPr>
              <w:t>Uspořádání přírodních prvků</w:t>
            </w:r>
          </w:p>
        </w:tc>
        <w:tc>
          <w:tcPr>
            <w:tcW w:w="6695" w:type="dxa"/>
          </w:tcPr>
          <w:p w14:paraId="01DC8A60" w14:textId="77777777" w:rsidR="005F3739" w:rsidRPr="00344AF6" w:rsidRDefault="005F3739" w:rsidP="003A3351">
            <w:pPr>
              <w:ind w:left="0"/>
              <w:rPr>
                <w:sz w:val="15"/>
                <w:szCs w:val="15"/>
              </w:rPr>
            </w:pPr>
            <w:r w:rsidRPr="00344AF6">
              <w:rPr>
                <w:sz w:val="15"/>
                <w:szCs w:val="15"/>
              </w:rPr>
              <w:t>Charakter lokality udávají zalesněné svahy údolí Bystřice a nivní oblast se skupinami dřevin podél koryta Bystřice.</w:t>
            </w:r>
          </w:p>
          <w:p w14:paraId="04B5489D" w14:textId="77777777" w:rsidR="005F3739" w:rsidRPr="00344AF6" w:rsidRDefault="005F3739" w:rsidP="003A3351">
            <w:pPr>
              <w:ind w:left="0"/>
              <w:rPr>
                <w:sz w:val="15"/>
                <w:szCs w:val="15"/>
              </w:rPr>
            </w:pPr>
            <w:r w:rsidRPr="00344AF6">
              <w:rPr>
                <w:sz w:val="15"/>
                <w:szCs w:val="15"/>
              </w:rPr>
              <w:t xml:space="preserve">Podmínka stromořadí podél </w:t>
            </w:r>
            <w:r>
              <w:rPr>
                <w:sz w:val="15"/>
                <w:szCs w:val="15"/>
              </w:rPr>
              <w:t xml:space="preserve">ulice Olomoucká, </w:t>
            </w:r>
            <w:r w:rsidRPr="00344AF6">
              <w:rPr>
                <w:sz w:val="15"/>
                <w:szCs w:val="15"/>
              </w:rPr>
              <w:t xml:space="preserve">vodních </w:t>
            </w:r>
            <w:r>
              <w:rPr>
                <w:sz w:val="15"/>
                <w:szCs w:val="15"/>
              </w:rPr>
              <w:t xml:space="preserve">ploch a toků </w:t>
            </w:r>
            <w:r w:rsidRPr="00344AF6">
              <w:rPr>
                <w:sz w:val="15"/>
                <w:szCs w:val="15"/>
              </w:rPr>
              <w:t>a skupiny dřevin na terénních zlomech, v terénních zářezech a v blízkosti pěších tras a vodotečí je stanovena z důvodu ochrany a rozvoje charakteru a krajinného rázu lokality a stabilizaci vodního režimu krajiny. Je doporučeno využívání místních dřevin.</w:t>
            </w:r>
          </w:p>
        </w:tc>
      </w:tr>
      <w:tr w:rsidR="005F3739" w14:paraId="4F1E2B9D" w14:textId="77777777" w:rsidTr="00CC7E98">
        <w:trPr>
          <w:trHeight w:val="1622"/>
        </w:trPr>
        <w:tc>
          <w:tcPr>
            <w:tcW w:w="682" w:type="dxa"/>
            <w:vMerge/>
          </w:tcPr>
          <w:p w14:paraId="198E16CF" w14:textId="77777777" w:rsidR="005F3739" w:rsidRDefault="005F3739" w:rsidP="003A3351">
            <w:pPr>
              <w:ind w:left="0"/>
              <w:rPr>
                <w:b/>
                <w:sz w:val="28"/>
                <w:szCs w:val="28"/>
              </w:rPr>
            </w:pPr>
          </w:p>
        </w:tc>
        <w:tc>
          <w:tcPr>
            <w:tcW w:w="1128" w:type="dxa"/>
          </w:tcPr>
          <w:p w14:paraId="7B0DBDA4" w14:textId="77777777" w:rsidR="005F3739" w:rsidRPr="00344AF6" w:rsidRDefault="005F3739" w:rsidP="003A3351">
            <w:pPr>
              <w:ind w:left="0"/>
              <w:rPr>
                <w:b/>
              </w:rPr>
            </w:pPr>
            <w:r w:rsidRPr="00344AF6">
              <w:rPr>
                <w:b/>
              </w:rPr>
              <w:t>Specifické uspořádání</w:t>
            </w:r>
          </w:p>
        </w:tc>
        <w:tc>
          <w:tcPr>
            <w:tcW w:w="6695" w:type="dxa"/>
          </w:tcPr>
          <w:p w14:paraId="5931307E" w14:textId="77777777" w:rsidR="005F3739" w:rsidRPr="00344AF6" w:rsidRDefault="005F3739" w:rsidP="003A3351">
            <w:pPr>
              <w:ind w:left="0"/>
              <w:rPr>
                <w:sz w:val="15"/>
                <w:szCs w:val="15"/>
              </w:rPr>
            </w:pPr>
            <w:r w:rsidRPr="00344AF6">
              <w:rPr>
                <w:sz w:val="15"/>
                <w:szCs w:val="15"/>
              </w:rPr>
              <w:t>Pro </w:t>
            </w:r>
            <w:r w:rsidRPr="00344AF6">
              <w:rPr>
                <w:b/>
                <w:sz w:val="15"/>
                <w:szCs w:val="15"/>
                <w:u w:val="single"/>
              </w:rPr>
              <w:t>solitérní zástavbu</w:t>
            </w:r>
            <w:r w:rsidRPr="00344AF6">
              <w:rPr>
                <w:sz w:val="15"/>
                <w:szCs w:val="15"/>
              </w:rPr>
              <w:t xml:space="preserve"> je stanovena podmínka rozvíjet pouze při dodržení stanovaného charakteru solitérní zástavby tak, aby nedocházelo k poškození obytného prostření nepřiměřeným zahušťování zástavby a snižováním podílu sídelní zeleně.</w:t>
            </w:r>
          </w:p>
        </w:tc>
      </w:tr>
    </w:tbl>
    <w:p w14:paraId="55DAB424" w14:textId="1B06D5A0" w:rsidR="005F3739" w:rsidRDefault="005F3739">
      <w:pPr>
        <w:spacing w:before="0" w:after="0"/>
        <w:ind w:left="0"/>
        <w:jc w:val="left"/>
        <w:rPr>
          <w:b/>
          <w:sz w:val="15"/>
          <w:szCs w:val="15"/>
        </w:rPr>
      </w:pPr>
      <w:r>
        <w:rPr>
          <w:b/>
          <w:sz w:val="15"/>
          <w:szCs w:val="15"/>
        </w:rPr>
        <w:br w:type="page"/>
      </w:r>
    </w:p>
    <w:tbl>
      <w:tblPr>
        <w:tblStyle w:val="Motivtabulky"/>
        <w:tblW w:w="8505" w:type="dxa"/>
        <w:tblBorders>
          <w:top w:val="dashSmallGap" w:sz="4" w:space="0" w:color="auto"/>
          <w:bottom w:val="dashSmallGap" w:sz="4" w:space="0" w:color="auto"/>
          <w:insideH w:val="dashSmallGap" w:sz="4" w:space="0" w:color="auto"/>
        </w:tblBorders>
        <w:tblLook w:val="04A0" w:firstRow="1" w:lastRow="0" w:firstColumn="1" w:lastColumn="0" w:noHBand="0" w:noVBand="1"/>
      </w:tblPr>
      <w:tblGrid>
        <w:gridCol w:w="688"/>
        <w:gridCol w:w="1254"/>
        <w:gridCol w:w="6563"/>
      </w:tblGrid>
      <w:tr w:rsidR="00BD1D2E" w14:paraId="6EAC946C" w14:textId="77777777" w:rsidTr="00BD1D2E">
        <w:tc>
          <w:tcPr>
            <w:tcW w:w="1942" w:type="dxa"/>
            <w:gridSpan w:val="2"/>
          </w:tcPr>
          <w:p w14:paraId="23F2831B" w14:textId="77777777" w:rsidR="00BD1D2E" w:rsidRPr="00520671" w:rsidRDefault="00BD1D2E" w:rsidP="003A3351">
            <w:pPr>
              <w:ind w:left="0"/>
              <w:rPr>
                <w:b/>
                <w:sz w:val="24"/>
              </w:rPr>
            </w:pPr>
            <w:bookmarkStart w:id="107" w:name="_Hlk23519567"/>
            <w:r>
              <w:rPr>
                <w:b/>
                <w:sz w:val="24"/>
              </w:rPr>
              <w:lastRenderedPageBreak/>
              <w:t>L.02</w:t>
            </w:r>
          </w:p>
        </w:tc>
        <w:tc>
          <w:tcPr>
            <w:tcW w:w="6563" w:type="dxa"/>
            <w:vAlign w:val="bottom"/>
          </w:tcPr>
          <w:p w14:paraId="299C5D1B" w14:textId="77777777" w:rsidR="00BD1D2E" w:rsidRDefault="00BD1D2E" w:rsidP="003A3351">
            <w:pPr>
              <w:ind w:left="0"/>
              <w:rPr>
                <w:b/>
                <w:sz w:val="28"/>
                <w:szCs w:val="28"/>
              </w:rPr>
            </w:pPr>
            <w:r>
              <w:rPr>
                <w:b/>
                <w:sz w:val="24"/>
              </w:rPr>
              <w:t>Hlubočky</w:t>
            </w:r>
          </w:p>
        </w:tc>
      </w:tr>
      <w:tr w:rsidR="00BD1D2E" w14:paraId="7FEF7579" w14:textId="77777777" w:rsidTr="00BD1D2E">
        <w:tc>
          <w:tcPr>
            <w:tcW w:w="8505" w:type="dxa"/>
            <w:gridSpan w:val="3"/>
          </w:tcPr>
          <w:p w14:paraId="6DC6D53D" w14:textId="77777777" w:rsidR="00BD1D2E" w:rsidRPr="000170D9" w:rsidRDefault="00BD1D2E" w:rsidP="003A3351">
            <w:pPr>
              <w:ind w:left="0"/>
              <w:rPr>
                <w:szCs w:val="18"/>
              </w:rPr>
            </w:pPr>
            <w:r w:rsidRPr="000170D9">
              <w:rPr>
                <w:szCs w:val="18"/>
              </w:rPr>
              <w:t>Historické centrum a těžiště obce</w:t>
            </w:r>
          </w:p>
        </w:tc>
      </w:tr>
      <w:tr w:rsidR="00BD1D2E" w:rsidRPr="00520671" w14:paraId="70C95D30" w14:textId="77777777" w:rsidTr="00BD1D2E">
        <w:tc>
          <w:tcPr>
            <w:tcW w:w="1942" w:type="dxa"/>
            <w:gridSpan w:val="2"/>
          </w:tcPr>
          <w:p w14:paraId="207AADF4" w14:textId="77777777" w:rsidR="00BD1D2E" w:rsidRDefault="00BD1D2E" w:rsidP="003A3351">
            <w:pPr>
              <w:ind w:left="0"/>
              <w:rPr>
                <w:b/>
                <w:sz w:val="28"/>
                <w:szCs w:val="28"/>
              </w:rPr>
            </w:pPr>
            <w:r w:rsidRPr="00CB1ACC">
              <w:rPr>
                <w:b/>
              </w:rPr>
              <w:t>Vymezení</w:t>
            </w:r>
          </w:p>
        </w:tc>
        <w:tc>
          <w:tcPr>
            <w:tcW w:w="6563" w:type="dxa"/>
          </w:tcPr>
          <w:p w14:paraId="1D701B05" w14:textId="77777777" w:rsidR="00BD1D2E" w:rsidRPr="000170D9" w:rsidRDefault="00BD1D2E" w:rsidP="003A3351">
            <w:pPr>
              <w:ind w:left="0"/>
              <w:rPr>
                <w:sz w:val="15"/>
                <w:szCs w:val="15"/>
              </w:rPr>
            </w:pPr>
            <w:r w:rsidRPr="000170D9">
              <w:rPr>
                <w:sz w:val="15"/>
                <w:szCs w:val="15"/>
              </w:rPr>
              <w:t>Lokalita je vymezena údolím Bystřice a sídli Mariánské údolí a Dukla.</w:t>
            </w:r>
          </w:p>
        </w:tc>
      </w:tr>
      <w:tr w:rsidR="00BD1D2E" w:rsidRPr="00842869" w14:paraId="0E551098" w14:textId="77777777" w:rsidTr="00BD1D2E">
        <w:tc>
          <w:tcPr>
            <w:tcW w:w="688" w:type="dxa"/>
            <w:vMerge w:val="restart"/>
            <w:textDirection w:val="btLr"/>
          </w:tcPr>
          <w:p w14:paraId="7808FA7D" w14:textId="77777777" w:rsidR="00BD1D2E" w:rsidRPr="00B960DF" w:rsidRDefault="00BD1D2E" w:rsidP="003A3351">
            <w:pPr>
              <w:ind w:left="113" w:right="113"/>
              <w:jc w:val="right"/>
              <w:rPr>
                <w:b/>
              </w:rPr>
            </w:pPr>
            <w:r>
              <w:rPr>
                <w:b/>
              </w:rPr>
              <w:t>Prvky</w:t>
            </w:r>
          </w:p>
        </w:tc>
        <w:tc>
          <w:tcPr>
            <w:tcW w:w="1254" w:type="dxa"/>
          </w:tcPr>
          <w:p w14:paraId="0B7E7796" w14:textId="77777777" w:rsidR="00BD1D2E" w:rsidRPr="00B960DF" w:rsidRDefault="00BD1D2E" w:rsidP="003A3351">
            <w:pPr>
              <w:ind w:left="0"/>
              <w:rPr>
                <w:b/>
              </w:rPr>
            </w:pPr>
            <w:r w:rsidRPr="00B960DF">
              <w:rPr>
                <w:b/>
              </w:rPr>
              <w:t>Plošné řešení zástavby</w:t>
            </w:r>
          </w:p>
        </w:tc>
        <w:tc>
          <w:tcPr>
            <w:tcW w:w="6563" w:type="dxa"/>
          </w:tcPr>
          <w:p w14:paraId="0DBE77CF" w14:textId="77777777" w:rsidR="00BD1D2E" w:rsidRPr="000170D9" w:rsidRDefault="00BD1D2E" w:rsidP="003A3351">
            <w:pPr>
              <w:ind w:left="0"/>
              <w:rPr>
                <w:sz w:val="15"/>
                <w:szCs w:val="15"/>
              </w:rPr>
            </w:pPr>
            <w:r w:rsidRPr="000170D9">
              <w:rPr>
                <w:sz w:val="15"/>
                <w:szCs w:val="15"/>
              </w:rPr>
              <w:t xml:space="preserve">Charakter zástavby udávají převážně rodinné domy s typickým poměrem stran 1:1 (např. č.p. 505) až 1:2,5 (např. č.p.36). </w:t>
            </w:r>
          </w:p>
          <w:p w14:paraId="5F06EA28" w14:textId="77777777" w:rsidR="00BD1D2E" w:rsidRPr="000170D9" w:rsidRDefault="00BD1D2E" w:rsidP="003A3351">
            <w:pPr>
              <w:ind w:left="0"/>
              <w:rPr>
                <w:sz w:val="15"/>
                <w:szCs w:val="15"/>
              </w:rPr>
            </w:pPr>
            <w:r w:rsidRPr="000170D9">
              <w:rPr>
                <w:sz w:val="15"/>
                <w:szCs w:val="15"/>
              </w:rPr>
              <w:t xml:space="preserve">S ohledem na různorodost zástavby není plošné řešení stanoveno. </w:t>
            </w:r>
          </w:p>
          <w:p w14:paraId="2751F5F2" w14:textId="77777777" w:rsidR="00BD1D2E" w:rsidRPr="000170D9" w:rsidRDefault="00BD1D2E" w:rsidP="003A3351">
            <w:pPr>
              <w:ind w:left="0"/>
              <w:rPr>
                <w:sz w:val="15"/>
                <w:szCs w:val="15"/>
              </w:rPr>
            </w:pPr>
            <w:r w:rsidRPr="000170D9">
              <w:rPr>
                <w:sz w:val="15"/>
                <w:szCs w:val="15"/>
              </w:rPr>
              <w:t>Je doporučeno při plošném řešení zástavby respektovat terénní podmínky.</w:t>
            </w:r>
          </w:p>
        </w:tc>
      </w:tr>
      <w:tr w:rsidR="00BD1D2E" w:rsidRPr="004B4D78" w14:paraId="2312FBFA" w14:textId="77777777" w:rsidTr="00BD1D2E">
        <w:tc>
          <w:tcPr>
            <w:tcW w:w="688" w:type="dxa"/>
            <w:vMerge/>
          </w:tcPr>
          <w:p w14:paraId="706A5C3A" w14:textId="77777777" w:rsidR="00BD1D2E" w:rsidRDefault="00BD1D2E" w:rsidP="003A3351">
            <w:pPr>
              <w:ind w:left="0"/>
              <w:rPr>
                <w:b/>
              </w:rPr>
            </w:pPr>
          </w:p>
        </w:tc>
        <w:tc>
          <w:tcPr>
            <w:tcW w:w="1254" w:type="dxa"/>
          </w:tcPr>
          <w:p w14:paraId="3B610213" w14:textId="77777777" w:rsidR="00BD1D2E" w:rsidRPr="00B960DF" w:rsidRDefault="00BD1D2E" w:rsidP="003A3351">
            <w:pPr>
              <w:ind w:left="0"/>
              <w:rPr>
                <w:b/>
              </w:rPr>
            </w:pPr>
            <w:r w:rsidRPr="00B960DF">
              <w:rPr>
                <w:b/>
              </w:rPr>
              <w:t>Výškové řešení zástavby</w:t>
            </w:r>
          </w:p>
        </w:tc>
        <w:tc>
          <w:tcPr>
            <w:tcW w:w="6563" w:type="dxa"/>
          </w:tcPr>
          <w:p w14:paraId="1399670D" w14:textId="77777777" w:rsidR="00BD1D2E" w:rsidRPr="000170D9" w:rsidRDefault="00BD1D2E" w:rsidP="003A3351">
            <w:pPr>
              <w:ind w:left="0"/>
              <w:rPr>
                <w:sz w:val="15"/>
                <w:szCs w:val="15"/>
              </w:rPr>
            </w:pPr>
            <w:r w:rsidRPr="000170D9">
              <w:rPr>
                <w:sz w:val="15"/>
                <w:szCs w:val="15"/>
              </w:rPr>
              <w:t xml:space="preserve">Charakter zástavby udávají převážně objekty o 2 NP, resp. přízemím a podkrovím, občanské vybavení a bytové domy mají 3NP, resp. 2NP a podkroví. Charakter střešní krajiny udávají střechy šikmé – sedlové a polovalbové, místy se vyskytují i střechy ploché. </w:t>
            </w:r>
          </w:p>
          <w:p w14:paraId="7F131085" w14:textId="77777777" w:rsidR="00BD1D2E" w:rsidRPr="000170D9" w:rsidRDefault="00BD1D2E" w:rsidP="003A3351">
            <w:pPr>
              <w:ind w:left="0"/>
              <w:rPr>
                <w:sz w:val="15"/>
                <w:szCs w:val="15"/>
              </w:rPr>
            </w:pPr>
            <w:r w:rsidRPr="000170D9">
              <w:rPr>
                <w:sz w:val="15"/>
                <w:szCs w:val="15"/>
              </w:rPr>
              <w:t>Podmínka max. 2 NP a typická střešní krajina zástavby je stanovena z důvodu ochrany charakteru urbanisticky hodnotné venkovské zástavby a obrazu sídla v krajině.</w:t>
            </w:r>
          </w:p>
          <w:p w14:paraId="196DC45E" w14:textId="3F9CDF66" w:rsidR="00BD1D2E" w:rsidRPr="000170D9" w:rsidRDefault="00BD1D2E" w:rsidP="003A3351">
            <w:pPr>
              <w:ind w:left="0"/>
              <w:rPr>
                <w:sz w:val="15"/>
                <w:szCs w:val="15"/>
              </w:rPr>
            </w:pPr>
            <w:r w:rsidRPr="000170D9">
              <w:rPr>
                <w:sz w:val="15"/>
                <w:szCs w:val="15"/>
              </w:rPr>
              <w:t xml:space="preserve">Podmínka max. 3 NP </w:t>
            </w:r>
            <w:r w:rsidRPr="000170D9">
              <w:rPr>
                <w:b/>
                <w:iCs/>
                <w:sz w:val="15"/>
                <w:szCs w:val="15"/>
                <w:u w:val="single"/>
              </w:rPr>
              <w:t>v plochách v návaznosti na plochu PU.</w:t>
            </w:r>
            <w:r w:rsidR="00AF7F84">
              <w:rPr>
                <w:b/>
                <w:iCs/>
                <w:sz w:val="15"/>
                <w:szCs w:val="15"/>
                <w:u w:val="single"/>
              </w:rPr>
              <w:t>v</w:t>
            </w:r>
            <w:r w:rsidRPr="000170D9">
              <w:rPr>
                <w:b/>
                <w:bCs/>
                <w:iCs/>
                <w:sz w:val="15"/>
                <w:szCs w:val="15"/>
              </w:rPr>
              <w:t xml:space="preserve"> </w:t>
            </w:r>
            <w:r w:rsidRPr="000170D9">
              <w:rPr>
                <w:sz w:val="15"/>
                <w:szCs w:val="15"/>
              </w:rPr>
              <w:t>je stanovena z důvodu rozvoje potenciálu jádra obce a rozvoje občanského vybavení.</w:t>
            </w:r>
          </w:p>
        </w:tc>
      </w:tr>
      <w:tr w:rsidR="00BD1D2E" w:rsidRPr="00842869" w14:paraId="37174979" w14:textId="77777777" w:rsidTr="00BD1D2E">
        <w:tc>
          <w:tcPr>
            <w:tcW w:w="688" w:type="dxa"/>
            <w:vMerge/>
          </w:tcPr>
          <w:p w14:paraId="2A5977A5" w14:textId="77777777" w:rsidR="00BD1D2E" w:rsidRDefault="00BD1D2E" w:rsidP="003A3351">
            <w:pPr>
              <w:ind w:left="0"/>
              <w:rPr>
                <w:b/>
              </w:rPr>
            </w:pPr>
          </w:p>
        </w:tc>
        <w:tc>
          <w:tcPr>
            <w:tcW w:w="1254" w:type="dxa"/>
          </w:tcPr>
          <w:p w14:paraId="454FB5E7" w14:textId="77777777" w:rsidR="00BD1D2E" w:rsidRPr="00B960DF" w:rsidRDefault="00BD1D2E" w:rsidP="003A3351">
            <w:pPr>
              <w:ind w:left="0"/>
              <w:rPr>
                <w:b/>
              </w:rPr>
            </w:pPr>
            <w:r>
              <w:rPr>
                <w:b/>
              </w:rPr>
              <w:t>Charakter přírodních prvků</w:t>
            </w:r>
          </w:p>
        </w:tc>
        <w:tc>
          <w:tcPr>
            <w:tcW w:w="6563" w:type="dxa"/>
          </w:tcPr>
          <w:p w14:paraId="1E024B44" w14:textId="77777777" w:rsidR="00BD1D2E" w:rsidRPr="003B1F87" w:rsidRDefault="00BD1D2E" w:rsidP="003A3351">
            <w:pPr>
              <w:ind w:left="0"/>
              <w:rPr>
                <w:sz w:val="15"/>
                <w:szCs w:val="15"/>
              </w:rPr>
            </w:pPr>
            <w:r w:rsidRPr="003B1F87">
              <w:rPr>
                <w:sz w:val="15"/>
                <w:szCs w:val="15"/>
              </w:rPr>
              <w:t>Přírodní prvky zastavěného území tvoří dřeviny, rostliny a zatravněné plochy jako součást soukromých zahrad. Přírodní prvky nezastavěného území tvoří zejména zemědělská půda, zalesněné plochy údolí a svahů Bystřice a stromořadí, remízky a skupiny dřevin podél cest.</w:t>
            </w:r>
          </w:p>
          <w:p w14:paraId="590E3C34" w14:textId="3695A300" w:rsidR="00BD1D2E" w:rsidRPr="003B1F87" w:rsidRDefault="00BD1D2E" w:rsidP="003A3351">
            <w:pPr>
              <w:ind w:left="0"/>
              <w:rPr>
                <w:sz w:val="15"/>
                <w:szCs w:val="15"/>
              </w:rPr>
            </w:pPr>
            <w:r w:rsidRPr="003B1F87">
              <w:rPr>
                <w:sz w:val="15"/>
                <w:szCs w:val="15"/>
              </w:rPr>
              <w:t xml:space="preserve">Podmínka </w:t>
            </w:r>
            <w:r w:rsidR="004F10AE">
              <w:rPr>
                <w:sz w:val="15"/>
                <w:szCs w:val="15"/>
              </w:rPr>
              <w:t xml:space="preserve">převážně </w:t>
            </w:r>
            <w:r w:rsidRPr="003B1F87">
              <w:rPr>
                <w:sz w:val="15"/>
                <w:szCs w:val="15"/>
              </w:rPr>
              <w:t xml:space="preserve">přírodního charakteru </w:t>
            </w:r>
            <w:r w:rsidRPr="003B1F87">
              <w:rPr>
                <w:b/>
                <w:sz w:val="15"/>
                <w:szCs w:val="15"/>
                <w:u w:val="single"/>
              </w:rPr>
              <w:t>koryta Bystřice, Hlubočku a Trnavy</w:t>
            </w:r>
            <w:r w:rsidRPr="003B1F87">
              <w:rPr>
                <w:sz w:val="15"/>
                <w:szCs w:val="15"/>
              </w:rPr>
              <w:t xml:space="preserve"> je stanovena </w:t>
            </w:r>
            <w:r w:rsidR="004F10AE">
              <w:rPr>
                <w:sz w:val="15"/>
                <w:szCs w:val="15"/>
              </w:rPr>
              <w:t>z</w:t>
            </w:r>
            <w:r w:rsidRPr="003B1F87">
              <w:rPr>
                <w:sz w:val="15"/>
                <w:szCs w:val="15"/>
              </w:rPr>
              <w:t> důvodu ochrany cenného biotopu říční nivy a doprovodných remízů a přírodních prvků</w:t>
            </w:r>
            <w:r w:rsidR="004F10AE">
              <w:rPr>
                <w:sz w:val="15"/>
                <w:szCs w:val="15"/>
              </w:rPr>
              <w:t xml:space="preserve"> a zároveň umožnění místního zpevnění břehů</w:t>
            </w:r>
            <w:r w:rsidRPr="003B1F87">
              <w:rPr>
                <w:sz w:val="15"/>
                <w:szCs w:val="15"/>
              </w:rPr>
              <w:t>.</w:t>
            </w:r>
          </w:p>
          <w:p w14:paraId="12288231" w14:textId="77777777" w:rsidR="00BD1D2E" w:rsidRPr="00EA09F0" w:rsidRDefault="00BD1D2E" w:rsidP="003A3351">
            <w:pPr>
              <w:ind w:left="0"/>
              <w:rPr>
                <w:color w:val="FF0000"/>
                <w:sz w:val="15"/>
                <w:szCs w:val="15"/>
                <w:highlight w:val="yellow"/>
              </w:rPr>
            </w:pPr>
            <w:r w:rsidRPr="003B1F87">
              <w:rPr>
                <w:sz w:val="15"/>
                <w:szCs w:val="15"/>
              </w:rPr>
              <w:t xml:space="preserve">Je doporučeno využívání místních dřevin. </w:t>
            </w:r>
          </w:p>
        </w:tc>
      </w:tr>
      <w:tr w:rsidR="00BD1D2E" w:rsidRPr="00842869" w14:paraId="6867DE7E" w14:textId="77777777" w:rsidTr="00BD1D2E">
        <w:trPr>
          <w:trHeight w:val="8278"/>
        </w:trPr>
        <w:tc>
          <w:tcPr>
            <w:tcW w:w="688" w:type="dxa"/>
            <w:vMerge/>
          </w:tcPr>
          <w:p w14:paraId="136A7F3A" w14:textId="77777777" w:rsidR="00BD1D2E" w:rsidRDefault="00BD1D2E" w:rsidP="003A3351">
            <w:pPr>
              <w:ind w:left="0"/>
              <w:rPr>
                <w:b/>
              </w:rPr>
            </w:pPr>
          </w:p>
        </w:tc>
        <w:tc>
          <w:tcPr>
            <w:tcW w:w="1254" w:type="dxa"/>
          </w:tcPr>
          <w:p w14:paraId="779F867E" w14:textId="77777777" w:rsidR="00BD1D2E" w:rsidRPr="00B960DF" w:rsidRDefault="00BD1D2E" w:rsidP="003A3351">
            <w:pPr>
              <w:ind w:left="0"/>
              <w:rPr>
                <w:b/>
              </w:rPr>
            </w:pPr>
            <w:r>
              <w:rPr>
                <w:b/>
              </w:rPr>
              <w:t>Specifické prvky</w:t>
            </w:r>
          </w:p>
        </w:tc>
        <w:tc>
          <w:tcPr>
            <w:tcW w:w="6563" w:type="dxa"/>
          </w:tcPr>
          <w:p w14:paraId="3DF79958" w14:textId="77777777" w:rsidR="00BD1D2E" w:rsidRPr="003B1F87" w:rsidRDefault="00BD1D2E" w:rsidP="003A3351">
            <w:pPr>
              <w:ind w:left="0"/>
              <w:rPr>
                <w:sz w:val="15"/>
                <w:szCs w:val="15"/>
              </w:rPr>
            </w:pPr>
            <w:r w:rsidRPr="003B1F87">
              <w:rPr>
                <w:sz w:val="15"/>
                <w:szCs w:val="15"/>
              </w:rPr>
              <w:t>V lokalitě se vyskytují zemědělské plochy, které jsou sezónně využívané jako lyžařské sjezdovky a jsou vybavené doprovodnou infrastrukturou (např. vleky, dráhy, osvětlení).</w:t>
            </w:r>
          </w:p>
          <w:p w14:paraId="6A474F75" w14:textId="21FE7D24" w:rsidR="00BD1D2E" w:rsidRDefault="00BD1D2E" w:rsidP="003A3351">
            <w:pPr>
              <w:ind w:left="0"/>
              <w:rPr>
                <w:sz w:val="15"/>
                <w:szCs w:val="15"/>
              </w:rPr>
            </w:pPr>
            <w:r w:rsidRPr="003B1F87">
              <w:rPr>
                <w:b/>
                <w:sz w:val="15"/>
                <w:szCs w:val="15"/>
                <w:u w:val="single"/>
              </w:rPr>
              <w:t xml:space="preserve">V plochách rekreace jiné </w:t>
            </w:r>
            <w:r w:rsidR="00AF7F84" w:rsidRPr="00AF7F84">
              <w:rPr>
                <w:b/>
                <w:sz w:val="15"/>
                <w:szCs w:val="15"/>
                <w:u w:val="single"/>
              </w:rPr>
              <w:t xml:space="preserve">– rekreační areály </w:t>
            </w:r>
            <w:r w:rsidRPr="003B1F87">
              <w:rPr>
                <w:b/>
                <w:sz w:val="15"/>
                <w:szCs w:val="15"/>
                <w:u w:val="single"/>
              </w:rPr>
              <w:t>(RX)</w:t>
            </w:r>
            <w:r w:rsidRPr="003B1F87">
              <w:rPr>
                <w:sz w:val="15"/>
                <w:szCs w:val="15"/>
              </w:rPr>
              <w:t xml:space="preserve"> je stanovena podmínka využití pro zimní rekreaci ve formě lyžařských středisek a sjezdovek a doprovodných využití pro sport a rekreaci, přírodně blízkého charakteru.</w:t>
            </w:r>
          </w:p>
          <w:p w14:paraId="5EC28B53" w14:textId="77777777" w:rsidR="00BD1D2E" w:rsidRPr="000170D9" w:rsidRDefault="00BD1D2E" w:rsidP="003A3351">
            <w:pPr>
              <w:ind w:left="0"/>
              <w:rPr>
                <w:sz w:val="15"/>
                <w:szCs w:val="15"/>
              </w:rPr>
            </w:pPr>
          </w:p>
        </w:tc>
      </w:tr>
      <w:tr w:rsidR="00BD1D2E" w:rsidRPr="00842869" w14:paraId="485EF91E" w14:textId="77777777" w:rsidTr="00BD1D2E">
        <w:tc>
          <w:tcPr>
            <w:tcW w:w="688" w:type="dxa"/>
            <w:vMerge w:val="restart"/>
            <w:textDirection w:val="btLr"/>
          </w:tcPr>
          <w:p w14:paraId="73CF84D3" w14:textId="77777777" w:rsidR="00BD1D2E" w:rsidRDefault="00BD1D2E" w:rsidP="003A3351">
            <w:pPr>
              <w:ind w:left="113" w:right="113"/>
              <w:jc w:val="right"/>
              <w:rPr>
                <w:b/>
              </w:rPr>
            </w:pPr>
            <w:r>
              <w:rPr>
                <w:b/>
              </w:rPr>
              <w:lastRenderedPageBreak/>
              <w:t>Uspořádání</w:t>
            </w:r>
          </w:p>
        </w:tc>
        <w:tc>
          <w:tcPr>
            <w:tcW w:w="1254" w:type="dxa"/>
          </w:tcPr>
          <w:p w14:paraId="7B2798EC" w14:textId="77777777" w:rsidR="00BD1D2E" w:rsidRPr="00B960DF" w:rsidRDefault="00BD1D2E" w:rsidP="003A3351">
            <w:pPr>
              <w:ind w:left="0"/>
              <w:jc w:val="left"/>
              <w:rPr>
                <w:b/>
              </w:rPr>
            </w:pPr>
            <w:r>
              <w:rPr>
                <w:b/>
              </w:rPr>
              <w:t>Velikost a zastavitelnost pozemků</w:t>
            </w:r>
          </w:p>
        </w:tc>
        <w:tc>
          <w:tcPr>
            <w:tcW w:w="6563" w:type="dxa"/>
          </w:tcPr>
          <w:p w14:paraId="392282C1" w14:textId="77777777" w:rsidR="00BD1D2E" w:rsidRPr="000170D9" w:rsidRDefault="00BD1D2E" w:rsidP="003A3351">
            <w:pPr>
              <w:ind w:left="0"/>
              <w:rPr>
                <w:sz w:val="15"/>
                <w:szCs w:val="15"/>
              </w:rPr>
            </w:pPr>
            <w:r w:rsidRPr="000170D9">
              <w:rPr>
                <w:sz w:val="15"/>
                <w:szCs w:val="15"/>
              </w:rPr>
              <w:t>Obvyklá míra velikosti pozemků je cca od 400 do 1500 m2, průměrně cca 1000 m2, s typickou zastavitelností 15 - 40%.  Typickým zástupcem zástavby je např. RD č.p. 81 o ZP HS cca 144 m</w:t>
            </w:r>
            <w:r w:rsidRPr="000170D9">
              <w:rPr>
                <w:sz w:val="15"/>
                <w:szCs w:val="15"/>
                <w:vertAlign w:val="superscript"/>
              </w:rPr>
              <w:t>2</w:t>
            </w:r>
            <w:r w:rsidRPr="000170D9">
              <w:rPr>
                <w:sz w:val="15"/>
                <w:szCs w:val="15"/>
              </w:rPr>
              <w:t xml:space="preserve"> na pozemku cca 1000 m</w:t>
            </w:r>
            <w:r w:rsidRPr="000170D9">
              <w:rPr>
                <w:sz w:val="15"/>
                <w:szCs w:val="15"/>
                <w:vertAlign w:val="superscript"/>
              </w:rPr>
              <w:t>2</w:t>
            </w:r>
            <w:r w:rsidRPr="000170D9">
              <w:rPr>
                <w:sz w:val="15"/>
                <w:szCs w:val="15"/>
              </w:rPr>
              <w:t xml:space="preserve"> (zastavitelnost cca 14%).</w:t>
            </w:r>
          </w:p>
          <w:p w14:paraId="7BFF0B0A" w14:textId="77777777" w:rsidR="00BD1D2E" w:rsidRPr="000170D9" w:rsidRDefault="00BD1D2E" w:rsidP="003A3351">
            <w:pPr>
              <w:ind w:left="0"/>
              <w:rPr>
                <w:sz w:val="15"/>
                <w:szCs w:val="15"/>
              </w:rPr>
            </w:pPr>
            <w:r w:rsidRPr="000170D9">
              <w:rPr>
                <w:sz w:val="15"/>
                <w:szCs w:val="15"/>
              </w:rPr>
              <w:t>Pro lokalitu je stanoven min. pozemek 1000 m</w:t>
            </w:r>
            <w:r w:rsidRPr="000170D9">
              <w:rPr>
                <w:sz w:val="15"/>
                <w:szCs w:val="15"/>
                <w:vertAlign w:val="superscript"/>
              </w:rPr>
              <w:t>2</w:t>
            </w:r>
            <w:r w:rsidRPr="000170D9">
              <w:rPr>
                <w:sz w:val="15"/>
                <w:szCs w:val="15"/>
              </w:rPr>
              <w:t xml:space="preserve"> při nové parcelaci v zastavitelných plochách a plochách přestavby s ohledem na zachování jejího venkovského charakteru a potřebu plochy pro zasakování dešťové vody na pozemku.</w:t>
            </w:r>
          </w:p>
          <w:p w14:paraId="0257722D" w14:textId="646422D2" w:rsidR="00BD1D2E" w:rsidRPr="000170D9" w:rsidRDefault="00BD1D2E" w:rsidP="003A3351">
            <w:pPr>
              <w:ind w:left="0"/>
              <w:rPr>
                <w:sz w:val="15"/>
                <w:szCs w:val="15"/>
              </w:rPr>
            </w:pPr>
            <w:r w:rsidRPr="000170D9">
              <w:rPr>
                <w:sz w:val="15"/>
                <w:szCs w:val="15"/>
              </w:rPr>
              <w:t>Pro celou lokalitu je stanoven HS=0,30 pro hlavní stavbou tak, aby intenzita využití území respektovala charakter území. Zastavitelnost je stanovena jako maximální pro udržení charakteru venkovské zástavby. KN=0,</w:t>
            </w:r>
            <w:r w:rsidR="00CC7E98">
              <w:rPr>
                <w:sz w:val="15"/>
                <w:szCs w:val="15"/>
              </w:rPr>
              <w:t>50</w:t>
            </w:r>
            <w:r w:rsidRPr="000170D9">
              <w:rPr>
                <w:sz w:val="15"/>
                <w:szCs w:val="15"/>
              </w:rPr>
              <w:t xml:space="preserve"> zajišťuje plochu zahrady určenou pro vsakování a retenci v území a zároveň poskytuje dostatečný prostor pro rozvoj zástavby dvorců a zahrad vedlejšími objekty.</w:t>
            </w:r>
          </w:p>
          <w:p w14:paraId="2FFE5266" w14:textId="77777777" w:rsidR="00BD1D2E" w:rsidRDefault="00BD1D2E" w:rsidP="003A3351">
            <w:pPr>
              <w:ind w:left="0"/>
              <w:rPr>
                <w:sz w:val="15"/>
                <w:szCs w:val="15"/>
              </w:rPr>
            </w:pPr>
            <w:r w:rsidRPr="000170D9">
              <w:rPr>
                <w:b/>
                <w:sz w:val="15"/>
                <w:szCs w:val="15"/>
                <w:u w:val="single"/>
              </w:rPr>
              <w:t>Pozemky v návaznosti na plochu PU.</w:t>
            </w:r>
            <w:r w:rsidR="00AF7F84">
              <w:rPr>
                <w:b/>
                <w:sz w:val="15"/>
                <w:szCs w:val="15"/>
                <w:u w:val="single"/>
              </w:rPr>
              <w:t>v</w:t>
            </w:r>
            <w:r w:rsidRPr="000170D9">
              <w:rPr>
                <w:sz w:val="15"/>
                <w:szCs w:val="15"/>
              </w:rPr>
              <w:t xml:space="preserve"> nemají stanoveny podmínky zastavitelnosti tak, aby bylo podpořeno využití lokálních center pro rozvoj občanského vybavení místního významu</w:t>
            </w:r>
          </w:p>
          <w:p w14:paraId="6FC3DF6B" w14:textId="06C4164A" w:rsidR="00CC7E98" w:rsidRPr="00EA09F0" w:rsidRDefault="00CC7E98" w:rsidP="003A3351">
            <w:pPr>
              <w:ind w:left="0"/>
              <w:rPr>
                <w:color w:val="FF0000"/>
                <w:sz w:val="15"/>
                <w:szCs w:val="15"/>
                <w:highlight w:val="yellow"/>
              </w:rPr>
            </w:pPr>
            <w:r w:rsidRPr="003B1F87">
              <w:rPr>
                <w:b/>
                <w:sz w:val="15"/>
                <w:szCs w:val="15"/>
                <w:u w:val="single"/>
              </w:rPr>
              <w:t xml:space="preserve">V plochách rekreace jiné </w:t>
            </w:r>
            <w:r w:rsidRPr="00AF7F84">
              <w:rPr>
                <w:b/>
                <w:sz w:val="15"/>
                <w:szCs w:val="15"/>
                <w:u w:val="single"/>
              </w:rPr>
              <w:t xml:space="preserve">– rekreační areály </w:t>
            </w:r>
            <w:r w:rsidRPr="003B1F87">
              <w:rPr>
                <w:b/>
                <w:sz w:val="15"/>
                <w:szCs w:val="15"/>
                <w:u w:val="single"/>
              </w:rPr>
              <w:t>(RX)</w:t>
            </w:r>
            <w:r w:rsidRPr="00CC7E98">
              <w:rPr>
                <w:bCs/>
                <w:sz w:val="15"/>
                <w:szCs w:val="15"/>
              </w:rPr>
              <w:t xml:space="preserve"> je</w:t>
            </w:r>
            <w:r>
              <w:rPr>
                <w:bCs/>
                <w:sz w:val="15"/>
                <w:szCs w:val="15"/>
              </w:rPr>
              <w:t xml:space="preserve"> stanovena podmínka KN=0,70 pro zajištění převažujícího přírodního charakteru plochy při umožnění rozvoje zázemí rekreačních areálů.</w:t>
            </w:r>
          </w:p>
        </w:tc>
      </w:tr>
      <w:tr w:rsidR="00BD1D2E" w:rsidRPr="00182D52" w14:paraId="196F51FF" w14:textId="77777777" w:rsidTr="00BD1D2E">
        <w:tc>
          <w:tcPr>
            <w:tcW w:w="688" w:type="dxa"/>
            <w:vMerge/>
          </w:tcPr>
          <w:p w14:paraId="7E87DE5E" w14:textId="77777777" w:rsidR="00BD1D2E" w:rsidRDefault="00BD1D2E" w:rsidP="003A3351">
            <w:pPr>
              <w:ind w:left="0"/>
              <w:rPr>
                <w:b/>
              </w:rPr>
            </w:pPr>
          </w:p>
        </w:tc>
        <w:tc>
          <w:tcPr>
            <w:tcW w:w="1254" w:type="dxa"/>
          </w:tcPr>
          <w:p w14:paraId="3D6AC09F" w14:textId="77777777" w:rsidR="00BD1D2E" w:rsidRDefault="00BD1D2E" w:rsidP="003A3351">
            <w:pPr>
              <w:ind w:left="0"/>
              <w:rPr>
                <w:b/>
              </w:rPr>
            </w:pPr>
            <w:r>
              <w:rPr>
                <w:b/>
              </w:rPr>
              <w:t>Uspořádání prostranství</w:t>
            </w:r>
          </w:p>
        </w:tc>
        <w:tc>
          <w:tcPr>
            <w:tcW w:w="6563" w:type="dxa"/>
          </w:tcPr>
          <w:p w14:paraId="436C72FF" w14:textId="77777777" w:rsidR="00BD1D2E" w:rsidRPr="003F7ACE" w:rsidRDefault="00BD1D2E" w:rsidP="003A3351">
            <w:pPr>
              <w:ind w:left="0"/>
              <w:rPr>
                <w:sz w:val="15"/>
                <w:szCs w:val="15"/>
              </w:rPr>
            </w:pPr>
            <w:r w:rsidRPr="003F7ACE">
              <w:rPr>
                <w:sz w:val="15"/>
                <w:szCs w:val="15"/>
              </w:rPr>
              <w:t>Veřejná prostranství tvoří náves sídla Hlubočky (Náměstí Družby) formovaná zástavbou původních usedlostí. Ostatní veřejná prostranství tvoří místní obslužné komunikace se zpevněným lemem a hlavní cestní síť v krajině, zejména cyklotrasa č. 6009 spojující Hlubočky a Duklu.</w:t>
            </w:r>
            <w:r>
              <w:rPr>
                <w:sz w:val="15"/>
                <w:szCs w:val="15"/>
              </w:rPr>
              <w:t xml:space="preserve"> Páteř tvoří ulice Olomoucká.</w:t>
            </w:r>
          </w:p>
          <w:p w14:paraId="3284754F" w14:textId="77777777" w:rsidR="00BD1D2E" w:rsidRPr="003F7ACE" w:rsidRDefault="00BD1D2E" w:rsidP="003A3351">
            <w:pPr>
              <w:ind w:left="0"/>
              <w:rPr>
                <w:sz w:val="15"/>
                <w:szCs w:val="15"/>
              </w:rPr>
            </w:pPr>
            <w:r w:rsidRPr="003F7ACE">
              <w:rPr>
                <w:bCs/>
                <w:iCs/>
                <w:sz w:val="15"/>
                <w:szCs w:val="15"/>
              </w:rPr>
              <w:t xml:space="preserve">Podmínka </w:t>
            </w:r>
            <w:r w:rsidRPr="003F7ACE">
              <w:rPr>
                <w:sz w:val="15"/>
                <w:szCs w:val="15"/>
              </w:rPr>
              <w:t>pěší prostupnosti lokality, vést pěší trasy tak, aby prezentovaly morfologické a přírodní prvky a vyhlídkové body v krajině, je stanovena z důvodu zajištění citlivého řešení a lokalizace rekreační infrastruktury v krajině (cestní sítě, pobytových míst v krajině, drobné architektury).</w:t>
            </w:r>
          </w:p>
          <w:p w14:paraId="1E9514EB" w14:textId="049C8BCB" w:rsidR="00BD1D2E" w:rsidRPr="003F7ACE" w:rsidRDefault="00BD1D2E" w:rsidP="003A3351">
            <w:pPr>
              <w:ind w:left="0"/>
              <w:rPr>
                <w:sz w:val="15"/>
                <w:szCs w:val="15"/>
              </w:rPr>
            </w:pPr>
            <w:r w:rsidRPr="003F7ACE">
              <w:rPr>
                <w:b/>
                <w:sz w:val="15"/>
                <w:szCs w:val="15"/>
                <w:u w:val="single"/>
              </w:rPr>
              <w:t>V ploše PU.</w:t>
            </w:r>
            <w:r w:rsidR="00AF7F84">
              <w:rPr>
                <w:b/>
                <w:sz w:val="15"/>
                <w:szCs w:val="15"/>
                <w:u w:val="single"/>
              </w:rPr>
              <w:t>v</w:t>
            </w:r>
            <w:r w:rsidRPr="003F7ACE">
              <w:rPr>
                <w:sz w:val="15"/>
                <w:szCs w:val="15"/>
              </w:rPr>
              <w:t xml:space="preserve"> je stanovena podmínka prvky drobné architektury zapojit do kompozice veřejného prostranství při nenarušení jeho hodnoty. Podmínka sdružovat plochy parkování je stanovena z důvodu, aby byly umístěny po okrajích prostranství a neomezovaly využití plochy prostranství.</w:t>
            </w:r>
          </w:p>
          <w:p w14:paraId="58503E35" w14:textId="77777777" w:rsidR="00BD1D2E" w:rsidRPr="003F7ACE" w:rsidRDefault="00BD1D2E" w:rsidP="003A3351">
            <w:pPr>
              <w:ind w:left="0"/>
              <w:rPr>
                <w:sz w:val="15"/>
                <w:szCs w:val="15"/>
              </w:rPr>
            </w:pPr>
            <w:r w:rsidRPr="003F7ACE">
              <w:rPr>
                <w:sz w:val="15"/>
                <w:szCs w:val="15"/>
              </w:rPr>
              <w:t>Je doporučeno využívání přírodních a přírodě blízkých materiálů pro realizaci pěších tras a navazujících prvků.</w:t>
            </w:r>
          </w:p>
        </w:tc>
      </w:tr>
      <w:tr w:rsidR="00BD1D2E" w:rsidRPr="00842869" w14:paraId="211DA137" w14:textId="77777777" w:rsidTr="00BD1D2E">
        <w:tc>
          <w:tcPr>
            <w:tcW w:w="688" w:type="dxa"/>
            <w:vMerge/>
          </w:tcPr>
          <w:p w14:paraId="5EA955D6" w14:textId="77777777" w:rsidR="00BD1D2E" w:rsidRDefault="00BD1D2E" w:rsidP="003A3351">
            <w:pPr>
              <w:ind w:left="0"/>
              <w:rPr>
                <w:b/>
              </w:rPr>
            </w:pPr>
          </w:p>
        </w:tc>
        <w:tc>
          <w:tcPr>
            <w:tcW w:w="1254" w:type="dxa"/>
          </w:tcPr>
          <w:p w14:paraId="214EE768" w14:textId="77777777" w:rsidR="00BD1D2E" w:rsidRPr="00FD705A" w:rsidRDefault="00BD1D2E" w:rsidP="003A3351">
            <w:pPr>
              <w:ind w:left="0"/>
              <w:rPr>
                <w:b/>
              </w:rPr>
            </w:pPr>
            <w:r w:rsidRPr="00FD705A">
              <w:rPr>
                <w:b/>
              </w:rPr>
              <w:t>Uspořádání zástavby</w:t>
            </w:r>
          </w:p>
        </w:tc>
        <w:tc>
          <w:tcPr>
            <w:tcW w:w="6563" w:type="dxa"/>
          </w:tcPr>
          <w:p w14:paraId="6B105380" w14:textId="77777777" w:rsidR="00BD1D2E" w:rsidRPr="00FD705A" w:rsidRDefault="00BD1D2E" w:rsidP="003A3351">
            <w:pPr>
              <w:ind w:left="0"/>
              <w:rPr>
                <w:sz w:val="15"/>
                <w:szCs w:val="15"/>
              </w:rPr>
            </w:pPr>
            <w:r w:rsidRPr="00FD705A">
              <w:rPr>
                <w:sz w:val="15"/>
                <w:szCs w:val="15"/>
              </w:rPr>
              <w:t>Zástavba je převážně uspořádána okapovou stranou rovnoběžně s veřejným prostranstvím.</w:t>
            </w:r>
          </w:p>
          <w:p w14:paraId="6C6043B8" w14:textId="101A8A0B" w:rsidR="00BD1D2E" w:rsidRPr="00FD705A" w:rsidRDefault="00BD1D2E" w:rsidP="003A3351">
            <w:pPr>
              <w:ind w:left="0"/>
              <w:rPr>
                <w:sz w:val="15"/>
                <w:szCs w:val="15"/>
              </w:rPr>
            </w:pPr>
            <w:r w:rsidRPr="00FD705A">
              <w:rPr>
                <w:sz w:val="15"/>
                <w:szCs w:val="15"/>
              </w:rPr>
              <w:t xml:space="preserve">Podmínka orientace sVP je stanovena z důvodu ochrany charakteru zástavby </w:t>
            </w:r>
            <w:r w:rsidR="00131A6F">
              <w:rPr>
                <w:sz w:val="15"/>
                <w:szCs w:val="15"/>
              </w:rPr>
              <w:t>s okapovým uspořádáním</w:t>
            </w:r>
            <w:r w:rsidRPr="00FD705A">
              <w:rPr>
                <w:sz w:val="15"/>
                <w:szCs w:val="15"/>
              </w:rPr>
              <w:t xml:space="preserve">. </w:t>
            </w:r>
          </w:p>
          <w:p w14:paraId="4412CB2D" w14:textId="77777777" w:rsidR="00BD1D2E" w:rsidRPr="00FD705A" w:rsidRDefault="00BD1D2E" w:rsidP="003A3351">
            <w:pPr>
              <w:ind w:left="0"/>
              <w:rPr>
                <w:sz w:val="15"/>
                <w:szCs w:val="15"/>
              </w:rPr>
            </w:pPr>
            <w:r w:rsidRPr="00FD705A">
              <w:rPr>
                <w:sz w:val="15"/>
                <w:szCs w:val="15"/>
              </w:rPr>
              <w:t>Podmínka nepřípustnosti řadové zástavby mimo stávající je stanovena z důvodu ochrany charakteru historického jádra.</w:t>
            </w:r>
          </w:p>
          <w:p w14:paraId="20095564" w14:textId="77777777" w:rsidR="00BD1D2E" w:rsidRPr="00FD705A" w:rsidRDefault="00BD1D2E" w:rsidP="003A3351">
            <w:pPr>
              <w:ind w:left="0"/>
              <w:rPr>
                <w:sz w:val="15"/>
                <w:szCs w:val="15"/>
              </w:rPr>
            </w:pPr>
            <w:r w:rsidRPr="00FD705A">
              <w:rPr>
                <w:sz w:val="15"/>
                <w:szCs w:val="15"/>
              </w:rPr>
              <w:t>Je doporučeno orientovat vedlejší stavby podél či kolmo k hlavní stavbě, případně s ohledem na tvar pozemku a terénní podmínky.</w:t>
            </w:r>
          </w:p>
        </w:tc>
      </w:tr>
      <w:tr w:rsidR="00BD1D2E" w:rsidRPr="00842869" w14:paraId="1B23EE31" w14:textId="77777777" w:rsidTr="00BD1D2E">
        <w:tc>
          <w:tcPr>
            <w:tcW w:w="688" w:type="dxa"/>
            <w:vMerge/>
          </w:tcPr>
          <w:p w14:paraId="08BE8430" w14:textId="77777777" w:rsidR="00BD1D2E" w:rsidRDefault="00BD1D2E" w:rsidP="003A3351">
            <w:pPr>
              <w:ind w:left="0"/>
              <w:rPr>
                <w:b/>
                <w:sz w:val="28"/>
                <w:szCs w:val="28"/>
              </w:rPr>
            </w:pPr>
          </w:p>
        </w:tc>
        <w:tc>
          <w:tcPr>
            <w:tcW w:w="1254" w:type="dxa"/>
          </w:tcPr>
          <w:p w14:paraId="0FE1EAAD" w14:textId="77777777" w:rsidR="00BD1D2E" w:rsidRPr="00FD705A" w:rsidRDefault="00BD1D2E" w:rsidP="003A3351">
            <w:pPr>
              <w:ind w:left="0"/>
              <w:rPr>
                <w:b/>
              </w:rPr>
            </w:pPr>
            <w:r w:rsidRPr="00FD705A">
              <w:rPr>
                <w:b/>
              </w:rPr>
              <w:t>Uspořádání přírodních prvků</w:t>
            </w:r>
          </w:p>
        </w:tc>
        <w:tc>
          <w:tcPr>
            <w:tcW w:w="6563" w:type="dxa"/>
          </w:tcPr>
          <w:p w14:paraId="68F49C07" w14:textId="77777777" w:rsidR="00BD1D2E" w:rsidRPr="00FD705A" w:rsidRDefault="00BD1D2E" w:rsidP="003A3351">
            <w:pPr>
              <w:ind w:left="0"/>
              <w:rPr>
                <w:sz w:val="15"/>
                <w:szCs w:val="15"/>
              </w:rPr>
            </w:pPr>
            <w:r w:rsidRPr="00FD705A">
              <w:rPr>
                <w:sz w:val="15"/>
                <w:szCs w:val="15"/>
              </w:rPr>
              <w:t>Charakter lokality udává údolí Bystřice s navazujícími toky potoků Hluboček a Trnava, tvořené převážně lesy. Východní svahy tvoří orná půda členěná remízky a skupinami porostů převážně V. třídy ochrany ZPF.</w:t>
            </w:r>
          </w:p>
          <w:p w14:paraId="0B12A6B1" w14:textId="77777777" w:rsidR="00BD1D2E" w:rsidRPr="00FD705A" w:rsidRDefault="00BD1D2E" w:rsidP="003A3351">
            <w:pPr>
              <w:ind w:left="0"/>
              <w:rPr>
                <w:sz w:val="15"/>
                <w:szCs w:val="15"/>
              </w:rPr>
            </w:pPr>
            <w:r w:rsidRPr="00FD705A">
              <w:rPr>
                <w:sz w:val="15"/>
                <w:szCs w:val="15"/>
              </w:rPr>
              <w:t>Podmínka stromořadí podél ploch dopravních a ulice Olomoucká, svahy a návrší pokryty lesními porosty a vodoteče ve svazích lemované porosty je stanovena z důvodu ochrany a rozvoje charakteru krajinného rázu lokality.</w:t>
            </w:r>
          </w:p>
          <w:p w14:paraId="65918839" w14:textId="77777777" w:rsidR="00BD1D2E" w:rsidRPr="00FD705A" w:rsidRDefault="00BD1D2E" w:rsidP="003A3351">
            <w:pPr>
              <w:ind w:left="0"/>
              <w:rPr>
                <w:sz w:val="15"/>
                <w:szCs w:val="15"/>
              </w:rPr>
            </w:pPr>
            <w:r w:rsidRPr="00FD705A">
              <w:rPr>
                <w:sz w:val="15"/>
                <w:szCs w:val="15"/>
              </w:rPr>
              <w:t>Je doporučeno využívání místních dřevin.</w:t>
            </w:r>
          </w:p>
        </w:tc>
      </w:tr>
      <w:tr w:rsidR="00BD1D2E" w:rsidRPr="009D4DBB" w14:paraId="47745DAC" w14:textId="77777777" w:rsidTr="0020457B">
        <w:trPr>
          <w:trHeight w:val="5094"/>
        </w:trPr>
        <w:tc>
          <w:tcPr>
            <w:tcW w:w="688" w:type="dxa"/>
            <w:vMerge/>
          </w:tcPr>
          <w:p w14:paraId="4C758E77" w14:textId="77777777" w:rsidR="00BD1D2E" w:rsidRDefault="00BD1D2E" w:rsidP="003A3351">
            <w:pPr>
              <w:ind w:left="0"/>
              <w:rPr>
                <w:b/>
                <w:sz w:val="28"/>
                <w:szCs w:val="28"/>
              </w:rPr>
            </w:pPr>
          </w:p>
        </w:tc>
        <w:tc>
          <w:tcPr>
            <w:tcW w:w="1254" w:type="dxa"/>
          </w:tcPr>
          <w:p w14:paraId="54E73BB4" w14:textId="77777777" w:rsidR="00BD1D2E" w:rsidRPr="00FD705A" w:rsidRDefault="00BD1D2E" w:rsidP="003A3351">
            <w:pPr>
              <w:ind w:left="0"/>
              <w:rPr>
                <w:b/>
              </w:rPr>
            </w:pPr>
            <w:r w:rsidRPr="00FD705A">
              <w:rPr>
                <w:b/>
              </w:rPr>
              <w:t>Specifické uspořádání</w:t>
            </w:r>
          </w:p>
        </w:tc>
        <w:tc>
          <w:tcPr>
            <w:tcW w:w="6563" w:type="dxa"/>
          </w:tcPr>
          <w:p w14:paraId="45EA4560" w14:textId="77777777" w:rsidR="00BD1D2E" w:rsidRPr="00FD705A" w:rsidRDefault="00BD1D2E" w:rsidP="003A3351">
            <w:pPr>
              <w:ind w:left="-74"/>
              <w:rPr>
                <w:sz w:val="15"/>
                <w:szCs w:val="15"/>
              </w:rPr>
            </w:pPr>
            <w:r w:rsidRPr="00FD705A">
              <w:rPr>
                <w:iCs/>
                <w:sz w:val="15"/>
                <w:szCs w:val="15"/>
              </w:rPr>
              <w:t>-</w:t>
            </w:r>
          </w:p>
        </w:tc>
      </w:tr>
      <w:bookmarkEnd w:id="107"/>
    </w:tbl>
    <w:p w14:paraId="2A82DA23" w14:textId="3C910ED3" w:rsidR="005F3739" w:rsidRPr="00B373E7" w:rsidRDefault="005F3739" w:rsidP="00BD1D2E">
      <w:pPr>
        <w:spacing w:before="0" w:after="0"/>
        <w:ind w:left="0"/>
        <w:jc w:val="left"/>
        <w:rPr>
          <w:b/>
          <w:sz w:val="15"/>
          <w:szCs w:val="15"/>
        </w:rPr>
      </w:pPr>
      <w:r w:rsidRPr="00B373E7">
        <w:rPr>
          <w:b/>
          <w:sz w:val="15"/>
          <w:szCs w:val="15"/>
        </w:rPr>
        <w:br w:type="page"/>
      </w:r>
    </w:p>
    <w:tbl>
      <w:tblPr>
        <w:tblStyle w:val="Motivtabulky"/>
        <w:tblW w:w="8647" w:type="dxa"/>
        <w:tblBorders>
          <w:top w:val="dashSmallGap" w:sz="4" w:space="0" w:color="auto"/>
          <w:bottom w:val="dashSmallGap" w:sz="4" w:space="0" w:color="auto"/>
          <w:insideH w:val="dashSmallGap" w:sz="4" w:space="0" w:color="auto"/>
        </w:tblBorders>
        <w:tblLook w:val="04A0" w:firstRow="1" w:lastRow="0" w:firstColumn="1" w:lastColumn="0" w:noHBand="0" w:noVBand="1"/>
      </w:tblPr>
      <w:tblGrid>
        <w:gridCol w:w="682"/>
        <w:gridCol w:w="1254"/>
        <w:gridCol w:w="6711"/>
      </w:tblGrid>
      <w:tr w:rsidR="005F3739" w14:paraId="40CA9F02" w14:textId="77777777" w:rsidTr="00BD1D2E">
        <w:tc>
          <w:tcPr>
            <w:tcW w:w="1936" w:type="dxa"/>
            <w:gridSpan w:val="2"/>
          </w:tcPr>
          <w:p w14:paraId="6C09AA31" w14:textId="45FC08A8" w:rsidR="005F3739" w:rsidRPr="00EF06CD" w:rsidRDefault="005F3739" w:rsidP="003A3351">
            <w:pPr>
              <w:ind w:left="0"/>
              <w:rPr>
                <w:b/>
                <w:sz w:val="24"/>
              </w:rPr>
            </w:pPr>
            <w:r>
              <w:rPr>
                <w:b/>
                <w:sz w:val="24"/>
              </w:rPr>
              <w:lastRenderedPageBreak/>
              <w:t>L.</w:t>
            </w:r>
            <w:r w:rsidR="00BD1D2E">
              <w:rPr>
                <w:b/>
                <w:sz w:val="24"/>
              </w:rPr>
              <w:t>0</w:t>
            </w:r>
            <w:r>
              <w:rPr>
                <w:b/>
                <w:sz w:val="24"/>
              </w:rPr>
              <w:t>3</w:t>
            </w:r>
          </w:p>
        </w:tc>
        <w:tc>
          <w:tcPr>
            <w:tcW w:w="6711" w:type="dxa"/>
            <w:vAlign w:val="bottom"/>
          </w:tcPr>
          <w:p w14:paraId="49D30DF0" w14:textId="77777777" w:rsidR="005F3739" w:rsidRPr="00EF06CD" w:rsidRDefault="005F3739" w:rsidP="003A3351">
            <w:pPr>
              <w:ind w:left="0"/>
              <w:rPr>
                <w:b/>
                <w:sz w:val="28"/>
                <w:szCs w:val="28"/>
              </w:rPr>
            </w:pPr>
            <w:r>
              <w:rPr>
                <w:b/>
                <w:sz w:val="24"/>
              </w:rPr>
              <w:t>K Posluchovu</w:t>
            </w:r>
          </w:p>
        </w:tc>
      </w:tr>
      <w:tr w:rsidR="005F3739" w14:paraId="77FEE8C1" w14:textId="77777777" w:rsidTr="00BD1D2E">
        <w:tc>
          <w:tcPr>
            <w:tcW w:w="8647" w:type="dxa"/>
            <w:gridSpan w:val="3"/>
            <w:vAlign w:val="bottom"/>
          </w:tcPr>
          <w:p w14:paraId="3842DC01" w14:textId="77777777" w:rsidR="005F3739" w:rsidRDefault="005F3739" w:rsidP="003A3351">
            <w:pPr>
              <w:ind w:left="0"/>
            </w:pPr>
            <w:r>
              <w:t>Zastavěné svahy údolí Bystřice směřující k Posluchovu</w:t>
            </w:r>
          </w:p>
        </w:tc>
      </w:tr>
      <w:tr w:rsidR="005F3739" w14:paraId="5DD60F49" w14:textId="77777777" w:rsidTr="00BD1D2E">
        <w:tc>
          <w:tcPr>
            <w:tcW w:w="1936" w:type="dxa"/>
            <w:gridSpan w:val="2"/>
          </w:tcPr>
          <w:p w14:paraId="09341E84" w14:textId="77777777" w:rsidR="005F3739" w:rsidRDefault="005F3739" w:rsidP="003A3351">
            <w:pPr>
              <w:ind w:left="0"/>
              <w:rPr>
                <w:b/>
                <w:sz w:val="28"/>
                <w:szCs w:val="28"/>
              </w:rPr>
            </w:pPr>
            <w:r w:rsidRPr="00CB1ACC">
              <w:rPr>
                <w:b/>
              </w:rPr>
              <w:t>Vymezení</w:t>
            </w:r>
          </w:p>
        </w:tc>
        <w:tc>
          <w:tcPr>
            <w:tcW w:w="6711" w:type="dxa"/>
          </w:tcPr>
          <w:p w14:paraId="2F835EBC" w14:textId="77777777" w:rsidR="005F3739" w:rsidRPr="00EF06CD" w:rsidRDefault="005F3739" w:rsidP="003A3351">
            <w:pPr>
              <w:ind w:left="0"/>
              <w:rPr>
                <w:sz w:val="15"/>
                <w:szCs w:val="15"/>
              </w:rPr>
            </w:pPr>
            <w:r>
              <w:rPr>
                <w:sz w:val="15"/>
                <w:szCs w:val="15"/>
              </w:rPr>
              <w:t>Lokalita je vymezena</w:t>
            </w:r>
            <w:r w:rsidRPr="00EF06CD">
              <w:rPr>
                <w:sz w:val="15"/>
                <w:szCs w:val="15"/>
              </w:rPr>
              <w:t xml:space="preserve"> </w:t>
            </w:r>
            <w:r>
              <w:rPr>
                <w:sz w:val="15"/>
                <w:szCs w:val="15"/>
              </w:rPr>
              <w:t>morfologií svahu údolí Bystřice směřujícího k Posluchovu a lesními plochami na východní a západní straně. Z jihu je lokalita vymezena morfologickým zlomem v ulici Lesní.</w:t>
            </w:r>
          </w:p>
        </w:tc>
      </w:tr>
      <w:tr w:rsidR="005F3739" w:rsidRPr="00842869" w14:paraId="060BE66E" w14:textId="77777777" w:rsidTr="00BD1D2E">
        <w:tc>
          <w:tcPr>
            <w:tcW w:w="682" w:type="dxa"/>
            <w:vMerge w:val="restart"/>
            <w:textDirection w:val="btLr"/>
          </w:tcPr>
          <w:p w14:paraId="78155E2D" w14:textId="77777777" w:rsidR="005F3739" w:rsidRPr="00B960DF" w:rsidRDefault="005F3739" w:rsidP="003A3351">
            <w:pPr>
              <w:ind w:left="113" w:right="113"/>
              <w:jc w:val="right"/>
              <w:rPr>
                <w:b/>
              </w:rPr>
            </w:pPr>
            <w:r>
              <w:rPr>
                <w:b/>
              </w:rPr>
              <w:t>Prvky</w:t>
            </w:r>
          </w:p>
        </w:tc>
        <w:tc>
          <w:tcPr>
            <w:tcW w:w="1254" w:type="dxa"/>
          </w:tcPr>
          <w:p w14:paraId="66CACB72" w14:textId="77777777" w:rsidR="005F3739" w:rsidRPr="00841E14" w:rsidRDefault="005F3739" w:rsidP="003A3351">
            <w:pPr>
              <w:ind w:left="0"/>
              <w:rPr>
                <w:b/>
                <w:highlight w:val="yellow"/>
              </w:rPr>
            </w:pPr>
            <w:r w:rsidRPr="00CF03FB">
              <w:rPr>
                <w:b/>
              </w:rPr>
              <w:t>Plošné řešení zástavby</w:t>
            </w:r>
          </w:p>
        </w:tc>
        <w:tc>
          <w:tcPr>
            <w:tcW w:w="6711" w:type="dxa"/>
          </w:tcPr>
          <w:p w14:paraId="0CEBD239" w14:textId="77777777" w:rsidR="005F3739" w:rsidRDefault="005F3739" w:rsidP="003A3351">
            <w:pPr>
              <w:ind w:left="0"/>
              <w:rPr>
                <w:sz w:val="15"/>
                <w:szCs w:val="15"/>
              </w:rPr>
            </w:pPr>
            <w:r w:rsidRPr="00442489">
              <w:rPr>
                <w:sz w:val="15"/>
                <w:szCs w:val="15"/>
              </w:rPr>
              <w:t xml:space="preserve">Charakter zástavby udávají </w:t>
            </w:r>
            <w:r>
              <w:rPr>
                <w:sz w:val="15"/>
                <w:szCs w:val="15"/>
              </w:rPr>
              <w:t xml:space="preserve">obdélné objekty individuálních rodinných domů s poměrem stran kolem 1:1,1 (např. č.p. 631), obdélné objekty solitérních bytových domů v poměru stran 1:2,5 (např. č.p. </w:t>
            </w:r>
            <w:r w:rsidRPr="00FE4490">
              <w:rPr>
                <w:sz w:val="15"/>
                <w:szCs w:val="15"/>
              </w:rPr>
              <w:t>463, 464</w:t>
            </w:r>
            <w:r>
              <w:rPr>
                <w:sz w:val="15"/>
                <w:szCs w:val="15"/>
              </w:rPr>
              <w:t>), v jihozápadním cípu lokality se nachází soubor řadových domů s poměrem zástavby 1:1,4 (např. č.p. 601).</w:t>
            </w:r>
          </w:p>
          <w:p w14:paraId="4DEC8735" w14:textId="77777777" w:rsidR="005F3739" w:rsidRPr="00EF06CD" w:rsidRDefault="005F3739" w:rsidP="003A3351">
            <w:pPr>
              <w:ind w:left="0"/>
              <w:rPr>
                <w:sz w:val="15"/>
                <w:szCs w:val="15"/>
              </w:rPr>
            </w:pPr>
            <w:r>
              <w:rPr>
                <w:sz w:val="15"/>
                <w:szCs w:val="15"/>
              </w:rPr>
              <w:t>Vzhledem k různorodosti zástavby není stanovena podmínka plošného řešení zástavby.</w:t>
            </w:r>
          </w:p>
        </w:tc>
      </w:tr>
      <w:tr w:rsidR="005F3739" w:rsidRPr="004B4D78" w14:paraId="55EC0717" w14:textId="77777777" w:rsidTr="00BD1D2E">
        <w:tc>
          <w:tcPr>
            <w:tcW w:w="682" w:type="dxa"/>
            <w:vMerge/>
          </w:tcPr>
          <w:p w14:paraId="1193CC33" w14:textId="77777777" w:rsidR="005F3739" w:rsidRDefault="005F3739" w:rsidP="003A3351">
            <w:pPr>
              <w:ind w:left="0"/>
              <w:rPr>
                <w:b/>
              </w:rPr>
            </w:pPr>
          </w:p>
        </w:tc>
        <w:tc>
          <w:tcPr>
            <w:tcW w:w="1254" w:type="dxa"/>
          </w:tcPr>
          <w:p w14:paraId="6E0D89E1" w14:textId="77777777" w:rsidR="005F3739" w:rsidRPr="00841E14" w:rsidRDefault="005F3739" w:rsidP="003A3351">
            <w:pPr>
              <w:ind w:left="0"/>
              <w:rPr>
                <w:b/>
                <w:highlight w:val="yellow"/>
              </w:rPr>
            </w:pPr>
            <w:r w:rsidRPr="00CF03FB">
              <w:rPr>
                <w:b/>
              </w:rPr>
              <w:t>Výškové řešení zástavby</w:t>
            </w:r>
          </w:p>
        </w:tc>
        <w:tc>
          <w:tcPr>
            <w:tcW w:w="6711" w:type="dxa"/>
          </w:tcPr>
          <w:p w14:paraId="186F7646" w14:textId="77777777" w:rsidR="005F3739" w:rsidRDefault="005F3739" w:rsidP="003A3351">
            <w:pPr>
              <w:ind w:left="0"/>
              <w:rPr>
                <w:sz w:val="15"/>
                <w:szCs w:val="15"/>
              </w:rPr>
            </w:pPr>
            <w:r w:rsidRPr="00EC2AFC">
              <w:rPr>
                <w:sz w:val="15"/>
                <w:szCs w:val="15"/>
              </w:rPr>
              <w:t xml:space="preserve">Zástavbu tvoří převážně objekty o 2 NP, resp. jednom </w:t>
            </w:r>
            <w:r>
              <w:rPr>
                <w:sz w:val="15"/>
                <w:szCs w:val="15"/>
              </w:rPr>
              <w:t>podlaží a podkroví, střešní krajinu udávají</w:t>
            </w:r>
            <w:r w:rsidRPr="00EC2AFC">
              <w:rPr>
                <w:sz w:val="15"/>
                <w:szCs w:val="15"/>
              </w:rPr>
              <w:t xml:space="preserve"> převážně </w:t>
            </w:r>
            <w:r>
              <w:rPr>
                <w:sz w:val="15"/>
                <w:szCs w:val="15"/>
              </w:rPr>
              <w:t xml:space="preserve">střechy </w:t>
            </w:r>
            <w:r w:rsidRPr="00EC2AFC">
              <w:rPr>
                <w:sz w:val="15"/>
                <w:szCs w:val="15"/>
              </w:rPr>
              <w:t>šikmé – sedlové</w:t>
            </w:r>
            <w:r>
              <w:rPr>
                <w:sz w:val="15"/>
                <w:szCs w:val="15"/>
              </w:rPr>
              <w:t>, případně valbové a polovalbové.</w:t>
            </w:r>
          </w:p>
          <w:p w14:paraId="071926E3" w14:textId="77777777" w:rsidR="005F3739" w:rsidRDefault="005F3739" w:rsidP="003A3351">
            <w:pPr>
              <w:ind w:left="0"/>
              <w:rPr>
                <w:sz w:val="15"/>
                <w:szCs w:val="15"/>
              </w:rPr>
            </w:pPr>
            <w:r w:rsidRPr="00A53E1A">
              <w:rPr>
                <w:sz w:val="15"/>
                <w:szCs w:val="15"/>
              </w:rPr>
              <w:t xml:space="preserve">Podmínka </w:t>
            </w:r>
            <w:r>
              <w:rPr>
                <w:sz w:val="15"/>
                <w:szCs w:val="15"/>
              </w:rPr>
              <w:t>max.</w:t>
            </w:r>
            <w:r w:rsidRPr="00A53E1A">
              <w:rPr>
                <w:sz w:val="15"/>
                <w:szCs w:val="15"/>
              </w:rPr>
              <w:t xml:space="preserve"> 2</w:t>
            </w:r>
            <w:r>
              <w:rPr>
                <w:sz w:val="15"/>
                <w:szCs w:val="15"/>
              </w:rPr>
              <w:t xml:space="preserve"> </w:t>
            </w:r>
            <w:r w:rsidRPr="00A53E1A">
              <w:rPr>
                <w:sz w:val="15"/>
                <w:szCs w:val="15"/>
              </w:rPr>
              <w:t xml:space="preserve">NP je stanovena z důvodu ochrany </w:t>
            </w:r>
            <w:r>
              <w:rPr>
                <w:sz w:val="15"/>
                <w:szCs w:val="15"/>
              </w:rPr>
              <w:t>obrazu sídla v krajině, zejména s ohledem na umístění ve svahu.</w:t>
            </w:r>
          </w:p>
          <w:p w14:paraId="6AF58291" w14:textId="20919F66" w:rsidR="005F3739" w:rsidRDefault="005F3739" w:rsidP="003A3351">
            <w:pPr>
              <w:ind w:left="0"/>
              <w:rPr>
                <w:sz w:val="15"/>
                <w:szCs w:val="15"/>
              </w:rPr>
            </w:pPr>
            <w:r>
              <w:rPr>
                <w:sz w:val="15"/>
                <w:szCs w:val="15"/>
              </w:rPr>
              <w:t>Podmínka max. 5 NP</w:t>
            </w:r>
            <w:r w:rsidR="00AF7F84">
              <w:rPr>
                <w:sz w:val="15"/>
                <w:szCs w:val="15"/>
              </w:rPr>
              <w:t xml:space="preserve"> pro</w:t>
            </w:r>
            <w:r>
              <w:rPr>
                <w:sz w:val="15"/>
                <w:szCs w:val="15"/>
              </w:rPr>
              <w:t xml:space="preserve"> </w:t>
            </w:r>
            <w:r w:rsidR="00AF7F84" w:rsidRPr="00AF7F84">
              <w:rPr>
                <w:b/>
                <w:bCs/>
                <w:sz w:val="15"/>
                <w:szCs w:val="15"/>
                <w:u w:val="single"/>
              </w:rPr>
              <w:t xml:space="preserve">solitérní zástavbu </w:t>
            </w:r>
            <w:r>
              <w:rPr>
                <w:b/>
                <w:bCs/>
                <w:iCs/>
                <w:sz w:val="15"/>
                <w:szCs w:val="15"/>
                <w:u w:val="single"/>
              </w:rPr>
              <w:t>v ploše smíšené obytné všeobecné (SU)</w:t>
            </w:r>
            <w:r w:rsidRPr="008830AA">
              <w:rPr>
                <w:b/>
                <w:bCs/>
                <w:iCs/>
                <w:sz w:val="15"/>
                <w:szCs w:val="15"/>
              </w:rPr>
              <w:t xml:space="preserve"> </w:t>
            </w:r>
            <w:r w:rsidRPr="00A53E1A">
              <w:rPr>
                <w:sz w:val="15"/>
                <w:szCs w:val="15"/>
              </w:rPr>
              <w:t>je stanovena z</w:t>
            </w:r>
            <w:r>
              <w:rPr>
                <w:sz w:val="15"/>
                <w:szCs w:val="15"/>
              </w:rPr>
              <w:t> ochrany charakteru urbanistického souboru bytových domů.</w:t>
            </w:r>
          </w:p>
          <w:p w14:paraId="679EE60A" w14:textId="77777777" w:rsidR="005F3739" w:rsidRPr="00B60A78" w:rsidRDefault="005F3739" w:rsidP="003A3351">
            <w:pPr>
              <w:ind w:left="0"/>
              <w:rPr>
                <w:sz w:val="15"/>
                <w:szCs w:val="15"/>
              </w:rPr>
            </w:pPr>
            <w:r w:rsidRPr="00A53E1A">
              <w:rPr>
                <w:sz w:val="15"/>
                <w:szCs w:val="15"/>
              </w:rPr>
              <w:t xml:space="preserve">Podmínka typické střešní krajiny </w:t>
            </w:r>
            <w:r w:rsidRPr="004E3CE5">
              <w:rPr>
                <w:sz w:val="15"/>
                <w:szCs w:val="15"/>
              </w:rPr>
              <w:t xml:space="preserve">zástavby </w:t>
            </w:r>
            <w:r w:rsidRPr="004E3CE5">
              <w:rPr>
                <w:rFonts w:asciiTheme="minorHAnsi" w:hAnsiTheme="minorHAnsi" w:cstheme="minorHAnsi"/>
                <w:b/>
                <w:bCs/>
                <w:spacing w:val="-1"/>
                <w:sz w:val="15"/>
                <w:szCs w:val="15"/>
                <w:u w:val="single"/>
              </w:rPr>
              <w:t xml:space="preserve">v ploše </w:t>
            </w:r>
            <w:r w:rsidRPr="005B409D">
              <w:rPr>
                <w:rFonts w:asciiTheme="minorHAnsi" w:hAnsiTheme="minorHAnsi" w:cstheme="minorHAnsi"/>
                <w:b/>
                <w:bCs/>
                <w:spacing w:val="-1"/>
                <w:sz w:val="15"/>
                <w:szCs w:val="15"/>
                <w:u w:val="single"/>
              </w:rPr>
              <w:t>smíšené obytné venkovské (SV)</w:t>
            </w:r>
            <w:r w:rsidRPr="004E3CE5">
              <w:rPr>
                <w:sz w:val="15"/>
                <w:szCs w:val="15"/>
              </w:rPr>
              <w:t xml:space="preserve"> je stanovena</w:t>
            </w:r>
            <w:r>
              <w:rPr>
                <w:sz w:val="15"/>
                <w:szCs w:val="15"/>
              </w:rPr>
              <w:t xml:space="preserve"> z důvodu ochrany charakteru sídla z dálkových pohledů ze </w:t>
            </w:r>
            <w:r w:rsidRPr="00A53E1A">
              <w:rPr>
                <w:sz w:val="15"/>
                <w:szCs w:val="15"/>
              </w:rPr>
              <w:t xml:space="preserve">svahů údolí </w:t>
            </w:r>
            <w:r>
              <w:rPr>
                <w:sz w:val="15"/>
                <w:szCs w:val="15"/>
              </w:rPr>
              <w:t>Bystřice</w:t>
            </w:r>
            <w:r w:rsidRPr="00A53E1A">
              <w:rPr>
                <w:sz w:val="15"/>
                <w:szCs w:val="15"/>
              </w:rPr>
              <w:t>.</w:t>
            </w:r>
          </w:p>
        </w:tc>
      </w:tr>
      <w:tr w:rsidR="005F3739" w:rsidRPr="00842869" w14:paraId="4E00B43E" w14:textId="77777777" w:rsidTr="00BD1D2E">
        <w:tc>
          <w:tcPr>
            <w:tcW w:w="682" w:type="dxa"/>
            <w:vMerge/>
          </w:tcPr>
          <w:p w14:paraId="5AD8E80D" w14:textId="77777777" w:rsidR="005F3739" w:rsidRDefault="005F3739" w:rsidP="003A3351">
            <w:pPr>
              <w:ind w:left="0"/>
              <w:rPr>
                <w:b/>
              </w:rPr>
            </w:pPr>
          </w:p>
        </w:tc>
        <w:tc>
          <w:tcPr>
            <w:tcW w:w="1254" w:type="dxa"/>
          </w:tcPr>
          <w:p w14:paraId="4E4B2DBD" w14:textId="77777777" w:rsidR="005F3739" w:rsidRPr="00A3692F" w:rsidRDefault="005F3739" w:rsidP="003A3351">
            <w:pPr>
              <w:ind w:left="0"/>
              <w:rPr>
                <w:b/>
              </w:rPr>
            </w:pPr>
            <w:r>
              <w:rPr>
                <w:b/>
              </w:rPr>
              <w:t>Charakter</w:t>
            </w:r>
            <w:r w:rsidRPr="00A3692F">
              <w:rPr>
                <w:b/>
              </w:rPr>
              <w:t xml:space="preserve"> přírodních prvků</w:t>
            </w:r>
          </w:p>
        </w:tc>
        <w:tc>
          <w:tcPr>
            <w:tcW w:w="6711" w:type="dxa"/>
          </w:tcPr>
          <w:p w14:paraId="35267E88" w14:textId="77777777" w:rsidR="005F3739" w:rsidRDefault="005F3739" w:rsidP="003A3351">
            <w:pPr>
              <w:ind w:left="0"/>
              <w:rPr>
                <w:sz w:val="15"/>
                <w:szCs w:val="15"/>
              </w:rPr>
            </w:pPr>
            <w:r w:rsidRPr="00A3692F">
              <w:rPr>
                <w:sz w:val="15"/>
                <w:szCs w:val="15"/>
              </w:rPr>
              <w:t xml:space="preserve">Přírodní prvky zastavěného území tvoří dřeviny, rostliny a zatravněné plochy jako součást zahrad a veřejných prostranství. </w:t>
            </w:r>
            <w:r w:rsidRPr="00E6313D">
              <w:rPr>
                <w:sz w:val="15"/>
                <w:szCs w:val="15"/>
              </w:rPr>
              <w:t xml:space="preserve">Přírodní prvky </w:t>
            </w:r>
            <w:r>
              <w:rPr>
                <w:sz w:val="15"/>
                <w:szCs w:val="15"/>
              </w:rPr>
              <w:t>nezastavěného území</w:t>
            </w:r>
            <w:r w:rsidRPr="00E6313D">
              <w:rPr>
                <w:sz w:val="15"/>
                <w:szCs w:val="15"/>
              </w:rPr>
              <w:t xml:space="preserve"> tvoří</w:t>
            </w:r>
            <w:r>
              <w:rPr>
                <w:sz w:val="15"/>
                <w:szCs w:val="15"/>
              </w:rPr>
              <w:t xml:space="preserve"> zejména zemědělská půda a lesní porosty.</w:t>
            </w:r>
          </w:p>
          <w:p w14:paraId="20D0FD34" w14:textId="7638E5A4" w:rsidR="005F3739" w:rsidRDefault="005F3739" w:rsidP="003A3351">
            <w:pPr>
              <w:ind w:left="0"/>
              <w:rPr>
                <w:sz w:val="15"/>
                <w:szCs w:val="15"/>
              </w:rPr>
            </w:pPr>
            <w:r w:rsidRPr="00A53E1A">
              <w:rPr>
                <w:sz w:val="15"/>
                <w:szCs w:val="15"/>
              </w:rPr>
              <w:t>Podmínka řešit plochy</w:t>
            </w:r>
            <w:r>
              <w:rPr>
                <w:sz w:val="15"/>
                <w:szCs w:val="15"/>
              </w:rPr>
              <w:t xml:space="preserve"> sídelní zeleně</w:t>
            </w:r>
            <w:r w:rsidRPr="00A53E1A">
              <w:rPr>
                <w:sz w:val="15"/>
                <w:szCs w:val="15"/>
              </w:rPr>
              <w:t xml:space="preserve"> </w:t>
            </w:r>
            <w:r w:rsidRPr="00A53E1A">
              <w:rPr>
                <w:b/>
                <w:sz w:val="15"/>
                <w:szCs w:val="15"/>
                <w:u w:val="single"/>
              </w:rPr>
              <w:t xml:space="preserve">v ploše </w:t>
            </w:r>
            <w:r>
              <w:rPr>
                <w:b/>
                <w:sz w:val="15"/>
                <w:szCs w:val="15"/>
                <w:u w:val="single"/>
              </w:rPr>
              <w:t>smíšené obytné všeobecné (SU)</w:t>
            </w:r>
            <w:r w:rsidRPr="00CA2ADF">
              <w:rPr>
                <w:b/>
                <w:sz w:val="15"/>
                <w:szCs w:val="15"/>
              </w:rPr>
              <w:t xml:space="preserve"> </w:t>
            </w:r>
            <w:r w:rsidRPr="00A53E1A">
              <w:rPr>
                <w:sz w:val="15"/>
                <w:szCs w:val="15"/>
              </w:rPr>
              <w:t xml:space="preserve">jako přírodní parkově blízké prostranství s volným pohybem je stanovena z důvodu ochrany </w:t>
            </w:r>
            <w:r>
              <w:rPr>
                <w:sz w:val="15"/>
                <w:szCs w:val="15"/>
              </w:rPr>
              <w:t>přírodně pobytového charakteru se</w:t>
            </w:r>
            <w:r w:rsidR="00EC3108">
              <w:rPr>
                <w:sz w:val="15"/>
                <w:szCs w:val="15"/>
              </w:rPr>
              <w:t> </w:t>
            </w:r>
            <w:r>
              <w:rPr>
                <w:sz w:val="15"/>
                <w:szCs w:val="15"/>
              </w:rPr>
              <w:t>zajištěním prostupnosti území a ochraně rekreačního zázemí.</w:t>
            </w:r>
          </w:p>
          <w:p w14:paraId="0C8E668C" w14:textId="77777777" w:rsidR="005F3739" w:rsidRPr="00A3692F" w:rsidRDefault="005F3739" w:rsidP="003A3351">
            <w:pPr>
              <w:ind w:left="0"/>
              <w:rPr>
                <w:sz w:val="15"/>
                <w:szCs w:val="15"/>
              </w:rPr>
            </w:pPr>
            <w:r w:rsidRPr="00A3692F">
              <w:rPr>
                <w:sz w:val="15"/>
                <w:szCs w:val="15"/>
              </w:rPr>
              <w:t xml:space="preserve">Je doporučeno využívání místních dřevin. </w:t>
            </w:r>
          </w:p>
        </w:tc>
      </w:tr>
      <w:tr w:rsidR="005F3739" w:rsidRPr="00842869" w14:paraId="1499CF0F" w14:textId="77777777" w:rsidTr="00BD1D2E">
        <w:tc>
          <w:tcPr>
            <w:tcW w:w="682" w:type="dxa"/>
            <w:vMerge/>
          </w:tcPr>
          <w:p w14:paraId="0C0F8EE2" w14:textId="77777777" w:rsidR="005F3739" w:rsidRDefault="005F3739" w:rsidP="003A3351">
            <w:pPr>
              <w:ind w:left="0"/>
              <w:rPr>
                <w:b/>
              </w:rPr>
            </w:pPr>
          </w:p>
        </w:tc>
        <w:tc>
          <w:tcPr>
            <w:tcW w:w="1254" w:type="dxa"/>
          </w:tcPr>
          <w:p w14:paraId="4BE93E35" w14:textId="77777777" w:rsidR="005F3739" w:rsidRPr="00841E14" w:rsidRDefault="005F3739" w:rsidP="003A3351">
            <w:pPr>
              <w:ind w:left="0"/>
              <w:rPr>
                <w:b/>
                <w:highlight w:val="yellow"/>
              </w:rPr>
            </w:pPr>
            <w:r w:rsidRPr="00CF03FB">
              <w:rPr>
                <w:b/>
              </w:rPr>
              <w:t>Specifické prvky</w:t>
            </w:r>
          </w:p>
        </w:tc>
        <w:tc>
          <w:tcPr>
            <w:tcW w:w="6711" w:type="dxa"/>
          </w:tcPr>
          <w:p w14:paraId="4E044361" w14:textId="77777777" w:rsidR="005F3739" w:rsidRPr="00EF06CD" w:rsidRDefault="005F3739" w:rsidP="003A3351">
            <w:pPr>
              <w:ind w:left="0"/>
              <w:rPr>
                <w:b/>
                <w:sz w:val="15"/>
                <w:szCs w:val="15"/>
                <w:u w:val="single"/>
              </w:rPr>
            </w:pPr>
            <w:r w:rsidRPr="00E54607">
              <w:rPr>
                <w:sz w:val="15"/>
                <w:szCs w:val="15"/>
              </w:rPr>
              <w:t>V lokalitě se nevyskytují specifické prvky.</w:t>
            </w:r>
          </w:p>
        </w:tc>
      </w:tr>
      <w:tr w:rsidR="005F3739" w:rsidRPr="00842869" w14:paraId="58BE96E2" w14:textId="77777777" w:rsidTr="00BD1D2E">
        <w:tc>
          <w:tcPr>
            <w:tcW w:w="682" w:type="dxa"/>
            <w:vMerge w:val="restart"/>
            <w:textDirection w:val="btLr"/>
          </w:tcPr>
          <w:p w14:paraId="6BA93EB9" w14:textId="77777777" w:rsidR="005F3739" w:rsidRDefault="005F3739" w:rsidP="003A3351">
            <w:pPr>
              <w:ind w:left="113" w:right="113"/>
              <w:jc w:val="right"/>
              <w:rPr>
                <w:b/>
              </w:rPr>
            </w:pPr>
            <w:r>
              <w:rPr>
                <w:b/>
              </w:rPr>
              <w:t>Uspořádání</w:t>
            </w:r>
          </w:p>
        </w:tc>
        <w:tc>
          <w:tcPr>
            <w:tcW w:w="1254" w:type="dxa"/>
          </w:tcPr>
          <w:p w14:paraId="56D83BF6" w14:textId="77777777" w:rsidR="005F3739" w:rsidRPr="00B960DF" w:rsidRDefault="005F3739" w:rsidP="003A3351">
            <w:pPr>
              <w:ind w:left="0"/>
              <w:jc w:val="left"/>
              <w:rPr>
                <w:b/>
              </w:rPr>
            </w:pPr>
            <w:r w:rsidRPr="00CF03FB">
              <w:rPr>
                <w:b/>
              </w:rPr>
              <w:t xml:space="preserve">Velikost a </w:t>
            </w:r>
            <w:r>
              <w:rPr>
                <w:b/>
              </w:rPr>
              <w:t>zastavitelnost</w:t>
            </w:r>
            <w:r w:rsidRPr="00CF03FB">
              <w:rPr>
                <w:b/>
              </w:rPr>
              <w:t xml:space="preserve"> pozemků</w:t>
            </w:r>
          </w:p>
        </w:tc>
        <w:tc>
          <w:tcPr>
            <w:tcW w:w="6711" w:type="dxa"/>
          </w:tcPr>
          <w:p w14:paraId="408136D7" w14:textId="77777777" w:rsidR="005F3739" w:rsidRDefault="005F3739" w:rsidP="003A3351">
            <w:pPr>
              <w:ind w:left="0"/>
              <w:contextualSpacing/>
              <w:rPr>
                <w:sz w:val="15"/>
                <w:szCs w:val="15"/>
              </w:rPr>
            </w:pPr>
            <w:r w:rsidRPr="0018028F">
              <w:rPr>
                <w:sz w:val="15"/>
                <w:szCs w:val="15"/>
              </w:rPr>
              <w:t xml:space="preserve">Obvyklá míra velikosti pozemků je cca od </w:t>
            </w:r>
            <w:r>
              <w:rPr>
                <w:sz w:val="15"/>
                <w:szCs w:val="15"/>
              </w:rPr>
              <w:t>700</w:t>
            </w:r>
            <w:r w:rsidRPr="0018028F">
              <w:rPr>
                <w:sz w:val="15"/>
                <w:szCs w:val="15"/>
              </w:rPr>
              <w:t xml:space="preserve"> do cca </w:t>
            </w:r>
            <w:r>
              <w:rPr>
                <w:sz w:val="15"/>
                <w:szCs w:val="15"/>
              </w:rPr>
              <w:t>15</w:t>
            </w:r>
            <w:r w:rsidRPr="0018028F">
              <w:rPr>
                <w:sz w:val="15"/>
                <w:szCs w:val="15"/>
              </w:rPr>
              <w:t>00</w:t>
            </w:r>
            <w:r>
              <w:rPr>
                <w:sz w:val="15"/>
                <w:szCs w:val="15"/>
              </w:rPr>
              <w:t xml:space="preserve"> m</w:t>
            </w:r>
            <w:r w:rsidRPr="00394A5B">
              <w:rPr>
                <w:sz w:val="15"/>
                <w:szCs w:val="15"/>
                <w:vertAlign w:val="superscript"/>
              </w:rPr>
              <w:t>2</w:t>
            </w:r>
            <w:r>
              <w:rPr>
                <w:sz w:val="15"/>
                <w:szCs w:val="15"/>
              </w:rPr>
              <w:t xml:space="preserve">, </w:t>
            </w:r>
            <w:r w:rsidRPr="0018028F">
              <w:rPr>
                <w:sz w:val="15"/>
                <w:szCs w:val="15"/>
              </w:rPr>
              <w:t xml:space="preserve">s průměrnou typickou </w:t>
            </w:r>
            <w:r>
              <w:rPr>
                <w:sz w:val="15"/>
                <w:szCs w:val="15"/>
              </w:rPr>
              <w:t>zastavitelnost</w:t>
            </w:r>
            <w:r w:rsidRPr="0018028F">
              <w:rPr>
                <w:sz w:val="15"/>
                <w:szCs w:val="15"/>
              </w:rPr>
              <w:t>í 1</w:t>
            </w:r>
            <w:r>
              <w:rPr>
                <w:sz w:val="15"/>
                <w:szCs w:val="15"/>
              </w:rPr>
              <w:t>0</w:t>
            </w:r>
            <w:r w:rsidRPr="0018028F">
              <w:rPr>
                <w:sz w:val="15"/>
                <w:szCs w:val="15"/>
              </w:rPr>
              <w:t xml:space="preserve">-20%. Charakter zástavby lokality udává zástavba </w:t>
            </w:r>
            <w:r>
              <w:rPr>
                <w:sz w:val="15"/>
                <w:szCs w:val="15"/>
              </w:rPr>
              <w:t xml:space="preserve">individuálních rodinných domů. Zástavbu jižním okraji lokality tvoří samostatné bytové domy. </w:t>
            </w:r>
            <w:r w:rsidRPr="0018028F">
              <w:rPr>
                <w:sz w:val="15"/>
                <w:szCs w:val="15"/>
              </w:rPr>
              <w:t xml:space="preserve">Typickým zástupcem zástavby samostatných rodinných domů je např. RD </w:t>
            </w:r>
            <w:r>
              <w:rPr>
                <w:sz w:val="15"/>
                <w:szCs w:val="15"/>
              </w:rPr>
              <w:t>č.p. 661</w:t>
            </w:r>
            <w:r w:rsidRPr="0018028F">
              <w:rPr>
                <w:sz w:val="15"/>
                <w:szCs w:val="15"/>
              </w:rPr>
              <w:t xml:space="preserve"> o ZP HS cca </w:t>
            </w:r>
            <w:r>
              <w:rPr>
                <w:sz w:val="15"/>
                <w:szCs w:val="15"/>
              </w:rPr>
              <w:t>14</w:t>
            </w:r>
            <w:r w:rsidRPr="0018028F">
              <w:rPr>
                <w:sz w:val="15"/>
                <w:szCs w:val="15"/>
              </w:rPr>
              <w:t>0 m</w:t>
            </w:r>
            <w:r w:rsidRPr="00394A5B">
              <w:rPr>
                <w:sz w:val="15"/>
                <w:szCs w:val="15"/>
                <w:vertAlign w:val="superscript"/>
              </w:rPr>
              <w:t>2</w:t>
            </w:r>
            <w:r w:rsidRPr="0018028F">
              <w:rPr>
                <w:sz w:val="15"/>
                <w:szCs w:val="15"/>
              </w:rPr>
              <w:t xml:space="preserve"> na pozemku cca </w:t>
            </w:r>
            <w:r>
              <w:rPr>
                <w:sz w:val="15"/>
                <w:szCs w:val="15"/>
              </w:rPr>
              <w:t>850</w:t>
            </w:r>
            <w:r w:rsidRPr="0018028F">
              <w:rPr>
                <w:sz w:val="15"/>
                <w:szCs w:val="15"/>
              </w:rPr>
              <w:t xml:space="preserve"> m</w:t>
            </w:r>
            <w:r w:rsidRPr="00394A5B">
              <w:rPr>
                <w:sz w:val="15"/>
                <w:szCs w:val="15"/>
                <w:vertAlign w:val="superscript"/>
              </w:rPr>
              <w:t>2</w:t>
            </w:r>
            <w:r w:rsidRPr="0018028F">
              <w:rPr>
                <w:sz w:val="15"/>
                <w:szCs w:val="15"/>
              </w:rPr>
              <w:t xml:space="preserve"> (</w:t>
            </w:r>
            <w:r>
              <w:rPr>
                <w:sz w:val="15"/>
                <w:szCs w:val="15"/>
              </w:rPr>
              <w:t>zastavitelnost</w:t>
            </w:r>
            <w:r w:rsidRPr="0018028F">
              <w:rPr>
                <w:sz w:val="15"/>
                <w:szCs w:val="15"/>
              </w:rPr>
              <w:t xml:space="preserve"> cca 1</w:t>
            </w:r>
            <w:r>
              <w:rPr>
                <w:sz w:val="15"/>
                <w:szCs w:val="15"/>
              </w:rPr>
              <w:t>6</w:t>
            </w:r>
            <w:r w:rsidRPr="0018028F">
              <w:rPr>
                <w:sz w:val="15"/>
                <w:szCs w:val="15"/>
              </w:rPr>
              <w:t>%)</w:t>
            </w:r>
            <w:r>
              <w:rPr>
                <w:sz w:val="15"/>
                <w:szCs w:val="15"/>
              </w:rPr>
              <w:t>.</w:t>
            </w:r>
          </w:p>
          <w:p w14:paraId="3821B437" w14:textId="77777777" w:rsidR="005F3739" w:rsidRDefault="005F3739" w:rsidP="003A3351">
            <w:pPr>
              <w:ind w:left="0"/>
              <w:contextualSpacing/>
              <w:rPr>
                <w:sz w:val="15"/>
                <w:szCs w:val="15"/>
              </w:rPr>
            </w:pPr>
          </w:p>
          <w:p w14:paraId="000B8138" w14:textId="6FA36B2B" w:rsidR="005F3739" w:rsidRDefault="005F3739" w:rsidP="003A3351">
            <w:pPr>
              <w:ind w:left="0"/>
              <w:rPr>
                <w:sz w:val="15"/>
                <w:szCs w:val="15"/>
              </w:rPr>
            </w:pPr>
            <w:r w:rsidRPr="00ED1F24">
              <w:rPr>
                <w:sz w:val="15"/>
                <w:szCs w:val="15"/>
              </w:rPr>
              <w:t>Pro celou lokalitu je stanoven HS=0,</w:t>
            </w:r>
            <w:r w:rsidR="00AF7F84">
              <w:rPr>
                <w:sz w:val="15"/>
                <w:szCs w:val="15"/>
              </w:rPr>
              <w:t>3</w:t>
            </w:r>
            <w:r>
              <w:rPr>
                <w:sz w:val="15"/>
                <w:szCs w:val="15"/>
              </w:rPr>
              <w:t>0 pro</w:t>
            </w:r>
            <w:r w:rsidRPr="00ED1F24">
              <w:rPr>
                <w:sz w:val="15"/>
                <w:szCs w:val="15"/>
              </w:rPr>
              <w:t xml:space="preserve"> hlavní stavbou tak, aby intenzita využití území respektovala charakter území. Zastavitelnost je stanovena jako maximální pro udržení charakteru </w:t>
            </w:r>
            <w:r>
              <w:rPr>
                <w:sz w:val="15"/>
                <w:szCs w:val="15"/>
              </w:rPr>
              <w:t xml:space="preserve">individuální rodinné </w:t>
            </w:r>
            <w:r w:rsidRPr="0018028F">
              <w:rPr>
                <w:sz w:val="15"/>
                <w:szCs w:val="15"/>
              </w:rPr>
              <w:t>venkovské zástavby</w:t>
            </w:r>
            <w:r>
              <w:rPr>
                <w:sz w:val="15"/>
                <w:szCs w:val="15"/>
              </w:rPr>
              <w:t>.</w:t>
            </w:r>
            <w:r w:rsidRPr="00ED1F24">
              <w:rPr>
                <w:sz w:val="15"/>
                <w:szCs w:val="15"/>
              </w:rPr>
              <w:t xml:space="preserve"> KN=0,</w:t>
            </w:r>
            <w:r w:rsidR="00AF7F84">
              <w:rPr>
                <w:sz w:val="15"/>
                <w:szCs w:val="15"/>
              </w:rPr>
              <w:t>50</w:t>
            </w:r>
            <w:r w:rsidRPr="00ED1F24">
              <w:rPr>
                <w:sz w:val="15"/>
                <w:szCs w:val="15"/>
              </w:rPr>
              <w:t xml:space="preserve"> zajišťuje plochu zahrady určenou pro vsakování a retenci v</w:t>
            </w:r>
            <w:r>
              <w:rPr>
                <w:sz w:val="15"/>
                <w:szCs w:val="15"/>
              </w:rPr>
              <w:t> </w:t>
            </w:r>
            <w:r w:rsidRPr="00ED1F24">
              <w:rPr>
                <w:sz w:val="15"/>
                <w:szCs w:val="15"/>
              </w:rPr>
              <w:t>území</w:t>
            </w:r>
            <w:r>
              <w:rPr>
                <w:sz w:val="15"/>
                <w:szCs w:val="15"/>
              </w:rPr>
              <w:t>.</w:t>
            </w:r>
          </w:p>
          <w:p w14:paraId="5468EFA6" w14:textId="14957BC0" w:rsidR="005F3739" w:rsidRPr="006D2E5B" w:rsidRDefault="00AF7F84" w:rsidP="003A3351">
            <w:pPr>
              <w:ind w:left="0"/>
              <w:rPr>
                <w:iCs/>
                <w:sz w:val="15"/>
                <w:szCs w:val="15"/>
              </w:rPr>
            </w:pPr>
            <w:r w:rsidRPr="00AF7F84">
              <w:rPr>
                <w:bCs/>
                <w:iCs/>
                <w:sz w:val="15"/>
                <w:szCs w:val="15"/>
              </w:rPr>
              <w:t xml:space="preserve">Pro </w:t>
            </w:r>
            <w:r>
              <w:rPr>
                <w:b/>
                <w:iCs/>
                <w:sz w:val="15"/>
                <w:szCs w:val="15"/>
                <w:u w:val="single"/>
              </w:rPr>
              <w:t>solitérní zástavbu</w:t>
            </w:r>
            <w:r w:rsidR="005F3739">
              <w:rPr>
                <w:b/>
                <w:iCs/>
                <w:sz w:val="15"/>
                <w:szCs w:val="15"/>
              </w:rPr>
              <w:t xml:space="preserve"> </w:t>
            </w:r>
            <w:r w:rsidR="005F3739" w:rsidRPr="0018028F">
              <w:rPr>
                <w:iCs/>
                <w:sz w:val="15"/>
                <w:szCs w:val="15"/>
              </w:rPr>
              <w:t xml:space="preserve">je </w:t>
            </w:r>
            <w:r w:rsidRPr="00ED1F24">
              <w:rPr>
                <w:sz w:val="15"/>
                <w:szCs w:val="15"/>
              </w:rPr>
              <w:t>stanoven HS=0,</w:t>
            </w:r>
            <w:r>
              <w:rPr>
                <w:sz w:val="15"/>
                <w:szCs w:val="15"/>
              </w:rPr>
              <w:t>20</w:t>
            </w:r>
            <w:r w:rsidR="005F3739">
              <w:rPr>
                <w:iCs/>
                <w:sz w:val="15"/>
                <w:szCs w:val="15"/>
              </w:rPr>
              <w:t xml:space="preserve"> z důvodu ochrany charakteru sídla z dálkových pohledů a</w:t>
            </w:r>
            <w:r w:rsidR="0083468B">
              <w:rPr>
                <w:iCs/>
                <w:sz w:val="15"/>
                <w:szCs w:val="15"/>
              </w:rPr>
              <w:t> </w:t>
            </w:r>
            <w:r w:rsidR="005F3739">
              <w:rPr>
                <w:iCs/>
                <w:sz w:val="15"/>
                <w:szCs w:val="15"/>
              </w:rPr>
              <w:t>zachování sídelní zeleně.</w:t>
            </w:r>
          </w:p>
        </w:tc>
      </w:tr>
      <w:tr w:rsidR="005F3739" w:rsidRPr="00182D52" w14:paraId="43D8E341" w14:textId="77777777" w:rsidTr="00BD1D2E">
        <w:tc>
          <w:tcPr>
            <w:tcW w:w="682" w:type="dxa"/>
            <w:vMerge/>
          </w:tcPr>
          <w:p w14:paraId="22AF52F1" w14:textId="77777777" w:rsidR="005F3739" w:rsidRDefault="005F3739" w:rsidP="003A3351">
            <w:pPr>
              <w:ind w:left="0"/>
              <w:rPr>
                <w:b/>
              </w:rPr>
            </w:pPr>
          </w:p>
        </w:tc>
        <w:tc>
          <w:tcPr>
            <w:tcW w:w="1254" w:type="dxa"/>
          </w:tcPr>
          <w:p w14:paraId="3B0D9E2D" w14:textId="77777777" w:rsidR="005F3739" w:rsidRPr="00841E14" w:rsidRDefault="005F3739" w:rsidP="003A3351">
            <w:pPr>
              <w:ind w:left="0"/>
              <w:rPr>
                <w:b/>
                <w:highlight w:val="yellow"/>
              </w:rPr>
            </w:pPr>
            <w:r w:rsidRPr="00CF03FB">
              <w:rPr>
                <w:b/>
              </w:rPr>
              <w:t>Uspořádání prostranství</w:t>
            </w:r>
          </w:p>
        </w:tc>
        <w:tc>
          <w:tcPr>
            <w:tcW w:w="6711" w:type="dxa"/>
          </w:tcPr>
          <w:p w14:paraId="1479E7C9" w14:textId="77777777" w:rsidR="005F3739" w:rsidRDefault="005F3739" w:rsidP="003A3351">
            <w:pPr>
              <w:ind w:left="0"/>
              <w:rPr>
                <w:sz w:val="15"/>
                <w:szCs w:val="15"/>
              </w:rPr>
            </w:pPr>
            <w:r w:rsidRPr="00D23D4F">
              <w:rPr>
                <w:sz w:val="15"/>
                <w:szCs w:val="15"/>
              </w:rPr>
              <w:t xml:space="preserve">Veřejná prostranství tvoří </w:t>
            </w:r>
            <w:r>
              <w:rPr>
                <w:sz w:val="15"/>
                <w:szCs w:val="15"/>
              </w:rPr>
              <w:t>místní komunikace a sídlištní zeleň.</w:t>
            </w:r>
          </w:p>
          <w:p w14:paraId="23BDCFC8" w14:textId="77777777" w:rsidR="005F3739" w:rsidRPr="00EF06CD" w:rsidRDefault="005F3739" w:rsidP="003A3351">
            <w:pPr>
              <w:ind w:left="0"/>
              <w:rPr>
                <w:sz w:val="15"/>
                <w:szCs w:val="15"/>
              </w:rPr>
            </w:pPr>
            <w:r w:rsidRPr="005F0501">
              <w:rPr>
                <w:sz w:val="15"/>
                <w:szCs w:val="15"/>
              </w:rPr>
              <w:t xml:space="preserve">Podmínka </w:t>
            </w:r>
            <w:r w:rsidRPr="00606EF5">
              <w:rPr>
                <w:sz w:val="15"/>
                <w:szCs w:val="15"/>
              </w:rPr>
              <w:t>pěší prostupnosti lokality, vést pěší trasy tak, aby prezentovaly morfologické a přírodní prvky a vyhlídkové body v krajině</w:t>
            </w:r>
            <w:r w:rsidRPr="005F0501">
              <w:rPr>
                <w:sz w:val="15"/>
                <w:szCs w:val="15"/>
              </w:rPr>
              <w:t>,</w:t>
            </w:r>
            <w:r w:rsidRPr="00606EF5">
              <w:rPr>
                <w:sz w:val="15"/>
                <w:szCs w:val="15"/>
              </w:rPr>
              <w:t xml:space="preserve"> je stanovena z důvodu zajištění citlivého řešení a lokalizace rekreační infrastruktury v</w:t>
            </w:r>
            <w:r>
              <w:rPr>
                <w:sz w:val="15"/>
                <w:szCs w:val="15"/>
              </w:rPr>
              <w:t> </w:t>
            </w:r>
            <w:r w:rsidRPr="00606EF5">
              <w:rPr>
                <w:sz w:val="15"/>
                <w:szCs w:val="15"/>
              </w:rPr>
              <w:t>krajině</w:t>
            </w:r>
            <w:r>
              <w:rPr>
                <w:sz w:val="15"/>
                <w:szCs w:val="15"/>
              </w:rPr>
              <w:t>, zejména s ohledem na přírodně – rekreační potenciál lokality.</w:t>
            </w:r>
          </w:p>
        </w:tc>
      </w:tr>
      <w:tr w:rsidR="005F3739" w:rsidRPr="00842869" w14:paraId="776BBB0F" w14:textId="77777777" w:rsidTr="00BD1D2E">
        <w:tc>
          <w:tcPr>
            <w:tcW w:w="682" w:type="dxa"/>
            <w:vMerge/>
          </w:tcPr>
          <w:p w14:paraId="729305E8" w14:textId="77777777" w:rsidR="005F3739" w:rsidRDefault="005F3739" w:rsidP="003A3351">
            <w:pPr>
              <w:ind w:left="0"/>
              <w:rPr>
                <w:b/>
              </w:rPr>
            </w:pPr>
          </w:p>
        </w:tc>
        <w:tc>
          <w:tcPr>
            <w:tcW w:w="1254" w:type="dxa"/>
          </w:tcPr>
          <w:p w14:paraId="0D56988F" w14:textId="77777777" w:rsidR="005F3739" w:rsidRPr="00841E14" w:rsidRDefault="005F3739" w:rsidP="003A3351">
            <w:pPr>
              <w:ind w:left="0"/>
              <w:rPr>
                <w:b/>
                <w:highlight w:val="yellow"/>
              </w:rPr>
            </w:pPr>
            <w:r w:rsidRPr="00CF03FB">
              <w:rPr>
                <w:b/>
              </w:rPr>
              <w:t>Uspořádání zástavby</w:t>
            </w:r>
          </w:p>
        </w:tc>
        <w:tc>
          <w:tcPr>
            <w:tcW w:w="6711" w:type="dxa"/>
          </w:tcPr>
          <w:p w14:paraId="4E27626A" w14:textId="77777777" w:rsidR="005F3739" w:rsidRPr="0018028F" w:rsidRDefault="005F3739" w:rsidP="003A3351">
            <w:pPr>
              <w:ind w:left="0"/>
              <w:rPr>
                <w:sz w:val="15"/>
                <w:szCs w:val="15"/>
              </w:rPr>
            </w:pPr>
            <w:r w:rsidRPr="0018028F">
              <w:rPr>
                <w:sz w:val="15"/>
                <w:szCs w:val="15"/>
              </w:rPr>
              <w:t>Charakter zástavby udáva</w:t>
            </w:r>
            <w:r>
              <w:rPr>
                <w:sz w:val="15"/>
                <w:szCs w:val="15"/>
              </w:rPr>
              <w:t>jí individuální rodinné domy převážně okapové orientace.</w:t>
            </w:r>
          </w:p>
          <w:p w14:paraId="57F76CC0" w14:textId="77777777" w:rsidR="005F3739" w:rsidRDefault="005F3739" w:rsidP="003A3351">
            <w:pPr>
              <w:ind w:left="0"/>
              <w:rPr>
                <w:sz w:val="15"/>
                <w:szCs w:val="15"/>
              </w:rPr>
            </w:pPr>
            <w:r w:rsidRPr="0018028F">
              <w:rPr>
                <w:sz w:val="15"/>
                <w:szCs w:val="15"/>
              </w:rPr>
              <w:t>Podmínka orientace kPV, sVP je stanovena z důvodu ochrany charakteru zástavby a umožňuje různorodost zástavby při dodržení ortogonálního vztahu k veřejnému prostranství.</w:t>
            </w:r>
          </w:p>
          <w:p w14:paraId="4A13DF56" w14:textId="77777777" w:rsidR="005F3739" w:rsidRPr="00696019" w:rsidRDefault="005F3739" w:rsidP="003A3351">
            <w:pPr>
              <w:ind w:left="0"/>
              <w:rPr>
                <w:sz w:val="15"/>
                <w:szCs w:val="15"/>
              </w:rPr>
            </w:pPr>
            <w:r w:rsidRPr="0018028F">
              <w:rPr>
                <w:sz w:val="15"/>
                <w:szCs w:val="15"/>
              </w:rPr>
              <w:t xml:space="preserve">Podmínka nepřípustnosti řadové zástavby </w:t>
            </w:r>
            <w:r>
              <w:rPr>
                <w:sz w:val="15"/>
                <w:szCs w:val="15"/>
              </w:rPr>
              <w:t xml:space="preserve">mimo stávající </w:t>
            </w:r>
            <w:r w:rsidRPr="0018028F">
              <w:rPr>
                <w:sz w:val="15"/>
                <w:szCs w:val="15"/>
              </w:rPr>
              <w:t xml:space="preserve">je stanovena z důvodu ochrany </w:t>
            </w:r>
            <w:r>
              <w:rPr>
                <w:sz w:val="15"/>
                <w:szCs w:val="15"/>
              </w:rPr>
              <w:t>dálkových pohledů a siluety sídla.</w:t>
            </w:r>
          </w:p>
        </w:tc>
      </w:tr>
      <w:tr w:rsidR="005F3739" w:rsidRPr="00842869" w14:paraId="30E57EE2" w14:textId="77777777" w:rsidTr="00BD1D2E">
        <w:tc>
          <w:tcPr>
            <w:tcW w:w="682" w:type="dxa"/>
            <w:vMerge/>
          </w:tcPr>
          <w:p w14:paraId="7AF41FF6" w14:textId="77777777" w:rsidR="005F3739" w:rsidRDefault="005F3739" w:rsidP="003A3351">
            <w:pPr>
              <w:ind w:left="0"/>
              <w:rPr>
                <w:b/>
                <w:sz w:val="28"/>
                <w:szCs w:val="28"/>
              </w:rPr>
            </w:pPr>
          </w:p>
        </w:tc>
        <w:tc>
          <w:tcPr>
            <w:tcW w:w="1254" w:type="dxa"/>
          </w:tcPr>
          <w:p w14:paraId="027B27C4" w14:textId="77777777" w:rsidR="005F3739" w:rsidRPr="00841E14" w:rsidRDefault="005F3739" w:rsidP="003A3351">
            <w:pPr>
              <w:ind w:left="0"/>
              <w:rPr>
                <w:b/>
                <w:highlight w:val="yellow"/>
              </w:rPr>
            </w:pPr>
            <w:r w:rsidRPr="00CF03FB">
              <w:rPr>
                <w:b/>
              </w:rPr>
              <w:t>Uspořádání přírodních prvků</w:t>
            </w:r>
          </w:p>
        </w:tc>
        <w:tc>
          <w:tcPr>
            <w:tcW w:w="6711" w:type="dxa"/>
          </w:tcPr>
          <w:p w14:paraId="49B1465F" w14:textId="77777777" w:rsidR="005F3739" w:rsidRPr="00930F88" w:rsidRDefault="005F3739" w:rsidP="003A3351">
            <w:pPr>
              <w:ind w:left="0"/>
              <w:rPr>
                <w:sz w:val="15"/>
                <w:szCs w:val="15"/>
              </w:rPr>
            </w:pPr>
            <w:r w:rsidRPr="00930F88">
              <w:rPr>
                <w:sz w:val="15"/>
                <w:szCs w:val="15"/>
              </w:rPr>
              <w:t xml:space="preserve">Charakter lokality představuje </w:t>
            </w:r>
            <w:r>
              <w:rPr>
                <w:sz w:val="15"/>
                <w:szCs w:val="15"/>
              </w:rPr>
              <w:t>výrazně zvlněná krajina svahu Bystřice. Orná půda je V. třídy ochrany ZPF. Plochy smíšené krajinné venkovské (MU) slouží jako přírodně rekreační zázemí lokality.</w:t>
            </w:r>
          </w:p>
        </w:tc>
      </w:tr>
      <w:tr w:rsidR="005F3739" w:rsidRPr="009D4DBB" w14:paraId="3A353054" w14:textId="77777777" w:rsidTr="00BD1D2E">
        <w:trPr>
          <w:trHeight w:val="2405"/>
        </w:trPr>
        <w:tc>
          <w:tcPr>
            <w:tcW w:w="682" w:type="dxa"/>
            <w:vMerge/>
          </w:tcPr>
          <w:p w14:paraId="6F4182CF" w14:textId="77777777" w:rsidR="005F3739" w:rsidRDefault="005F3739" w:rsidP="003A3351">
            <w:pPr>
              <w:ind w:left="0"/>
              <w:rPr>
                <w:b/>
                <w:sz w:val="28"/>
                <w:szCs w:val="28"/>
              </w:rPr>
            </w:pPr>
          </w:p>
        </w:tc>
        <w:tc>
          <w:tcPr>
            <w:tcW w:w="1254" w:type="dxa"/>
          </w:tcPr>
          <w:p w14:paraId="3F442FD1" w14:textId="77777777" w:rsidR="005F3739" w:rsidRPr="00841E14" w:rsidRDefault="005F3739" w:rsidP="003A3351">
            <w:pPr>
              <w:ind w:left="0"/>
              <w:rPr>
                <w:b/>
                <w:highlight w:val="yellow"/>
              </w:rPr>
            </w:pPr>
            <w:r w:rsidRPr="00CF03FB">
              <w:rPr>
                <w:b/>
              </w:rPr>
              <w:t>Specifické uspořádání</w:t>
            </w:r>
          </w:p>
        </w:tc>
        <w:tc>
          <w:tcPr>
            <w:tcW w:w="6711" w:type="dxa"/>
          </w:tcPr>
          <w:p w14:paraId="35EB3F11" w14:textId="77777777" w:rsidR="005F3739" w:rsidRPr="00344AF6" w:rsidRDefault="005F3739" w:rsidP="003A3351">
            <w:pPr>
              <w:ind w:left="0"/>
              <w:rPr>
                <w:sz w:val="15"/>
                <w:szCs w:val="15"/>
              </w:rPr>
            </w:pPr>
            <w:r w:rsidRPr="00344AF6">
              <w:rPr>
                <w:sz w:val="15"/>
                <w:szCs w:val="15"/>
              </w:rPr>
              <w:t xml:space="preserve">Solitérní zástavba bytových domů je charakteristická plochami prostupné sídelní zeleně. </w:t>
            </w:r>
          </w:p>
          <w:p w14:paraId="1CDF365C" w14:textId="77777777" w:rsidR="005F3739" w:rsidRPr="00930F88" w:rsidRDefault="005F3739" w:rsidP="003A3351">
            <w:pPr>
              <w:ind w:left="0"/>
              <w:rPr>
                <w:sz w:val="15"/>
                <w:szCs w:val="15"/>
              </w:rPr>
            </w:pPr>
            <w:r w:rsidRPr="00344AF6">
              <w:rPr>
                <w:sz w:val="15"/>
                <w:szCs w:val="15"/>
              </w:rPr>
              <w:t>Pro </w:t>
            </w:r>
            <w:r w:rsidRPr="00344AF6">
              <w:rPr>
                <w:b/>
                <w:sz w:val="15"/>
                <w:szCs w:val="15"/>
                <w:u w:val="single"/>
              </w:rPr>
              <w:t>solitérní zástavbu</w:t>
            </w:r>
            <w:r w:rsidRPr="00344AF6">
              <w:rPr>
                <w:sz w:val="15"/>
                <w:szCs w:val="15"/>
              </w:rPr>
              <w:t xml:space="preserve"> je stanovena podmínka rozvíjet pouze při dodržení stanovaného charakteru solitérní zástavby tak, aby nedocházelo k poškození obytného prostření nepřiměřeným zahušťování zástavby a snižováním podílu sídelní zeleně.</w:t>
            </w:r>
          </w:p>
        </w:tc>
      </w:tr>
    </w:tbl>
    <w:p w14:paraId="64765E08" w14:textId="77777777" w:rsidR="00BD1D2E" w:rsidRDefault="00BD1D2E">
      <w:pPr>
        <w:spacing w:before="0" w:after="0"/>
        <w:ind w:left="0"/>
        <w:jc w:val="left"/>
        <w:rPr>
          <w:b/>
          <w:sz w:val="15"/>
          <w:szCs w:val="15"/>
        </w:rPr>
      </w:pPr>
      <w:r>
        <w:rPr>
          <w:b/>
          <w:sz w:val="15"/>
          <w:szCs w:val="15"/>
        </w:rPr>
        <w:br w:type="page"/>
      </w:r>
    </w:p>
    <w:tbl>
      <w:tblPr>
        <w:tblStyle w:val="Motivtabulky"/>
        <w:tblW w:w="8647" w:type="dxa"/>
        <w:tblBorders>
          <w:top w:val="dashSmallGap" w:sz="4" w:space="0" w:color="auto"/>
          <w:bottom w:val="dashSmallGap" w:sz="4" w:space="0" w:color="auto"/>
          <w:insideH w:val="dashSmallGap" w:sz="4" w:space="0" w:color="auto"/>
        </w:tblBorders>
        <w:tblLook w:val="04A0" w:firstRow="1" w:lastRow="0" w:firstColumn="1" w:lastColumn="0" w:noHBand="0" w:noVBand="1"/>
      </w:tblPr>
      <w:tblGrid>
        <w:gridCol w:w="688"/>
        <w:gridCol w:w="1254"/>
        <w:gridCol w:w="6705"/>
      </w:tblGrid>
      <w:tr w:rsidR="005F3739" w14:paraId="454370FE" w14:textId="77777777" w:rsidTr="00BD1D2E">
        <w:tc>
          <w:tcPr>
            <w:tcW w:w="1942" w:type="dxa"/>
            <w:gridSpan w:val="2"/>
          </w:tcPr>
          <w:p w14:paraId="4AF26A01" w14:textId="57D7F9EF" w:rsidR="005F3739" w:rsidRPr="00BA51FB" w:rsidRDefault="005F3739" w:rsidP="003A3351">
            <w:pPr>
              <w:ind w:left="0"/>
              <w:rPr>
                <w:b/>
                <w:sz w:val="24"/>
              </w:rPr>
            </w:pPr>
            <w:r>
              <w:rPr>
                <w:b/>
                <w:sz w:val="24"/>
              </w:rPr>
              <w:lastRenderedPageBreak/>
              <w:t>L.</w:t>
            </w:r>
            <w:r w:rsidR="00BD1D2E">
              <w:rPr>
                <w:b/>
                <w:sz w:val="24"/>
              </w:rPr>
              <w:t>0</w:t>
            </w:r>
            <w:r>
              <w:rPr>
                <w:b/>
                <w:sz w:val="24"/>
              </w:rPr>
              <w:t>4</w:t>
            </w:r>
          </w:p>
        </w:tc>
        <w:tc>
          <w:tcPr>
            <w:tcW w:w="6705" w:type="dxa"/>
            <w:vAlign w:val="bottom"/>
          </w:tcPr>
          <w:p w14:paraId="50D98EAD" w14:textId="139C3B64" w:rsidR="005F3739" w:rsidRPr="00BA51FB" w:rsidRDefault="005F3739" w:rsidP="003A3351">
            <w:pPr>
              <w:ind w:left="0"/>
              <w:rPr>
                <w:b/>
                <w:sz w:val="28"/>
                <w:szCs w:val="28"/>
              </w:rPr>
            </w:pPr>
            <w:r>
              <w:rPr>
                <w:b/>
                <w:sz w:val="24"/>
              </w:rPr>
              <w:t>Posluchov</w:t>
            </w:r>
          </w:p>
        </w:tc>
      </w:tr>
      <w:tr w:rsidR="005F3739" w14:paraId="47005B6E" w14:textId="77777777" w:rsidTr="00BD1D2E">
        <w:tc>
          <w:tcPr>
            <w:tcW w:w="8647" w:type="dxa"/>
            <w:gridSpan w:val="3"/>
            <w:vAlign w:val="bottom"/>
          </w:tcPr>
          <w:p w14:paraId="47529A90" w14:textId="77777777" w:rsidR="005F3739" w:rsidRDefault="005F3739" w:rsidP="003A3351">
            <w:pPr>
              <w:ind w:left="0"/>
            </w:pPr>
            <w:r>
              <w:t>Plošina nad údolím Bystřice</w:t>
            </w:r>
          </w:p>
        </w:tc>
      </w:tr>
      <w:tr w:rsidR="005F3739" w14:paraId="48AAD7BD" w14:textId="77777777" w:rsidTr="00BD1D2E">
        <w:tc>
          <w:tcPr>
            <w:tcW w:w="1942" w:type="dxa"/>
            <w:gridSpan w:val="2"/>
          </w:tcPr>
          <w:p w14:paraId="73C071FC" w14:textId="77777777" w:rsidR="005F3739" w:rsidRDefault="005F3739" w:rsidP="003A3351">
            <w:pPr>
              <w:ind w:left="0"/>
              <w:rPr>
                <w:b/>
                <w:sz w:val="28"/>
                <w:szCs w:val="28"/>
              </w:rPr>
            </w:pPr>
            <w:r w:rsidRPr="00CB1ACC">
              <w:rPr>
                <w:b/>
              </w:rPr>
              <w:t>Vymezení</w:t>
            </w:r>
          </w:p>
        </w:tc>
        <w:tc>
          <w:tcPr>
            <w:tcW w:w="6705" w:type="dxa"/>
          </w:tcPr>
          <w:p w14:paraId="38E1C762" w14:textId="1B2F229F" w:rsidR="005F3739" w:rsidRPr="00CD5C09" w:rsidRDefault="005F3739" w:rsidP="003A3351">
            <w:pPr>
              <w:ind w:left="0"/>
              <w:rPr>
                <w:sz w:val="15"/>
                <w:szCs w:val="15"/>
                <w:highlight w:val="yellow"/>
              </w:rPr>
            </w:pPr>
            <w:r w:rsidRPr="00CD5C09">
              <w:rPr>
                <w:sz w:val="15"/>
                <w:szCs w:val="15"/>
              </w:rPr>
              <w:t xml:space="preserve">Lokalita je definována </w:t>
            </w:r>
            <w:r w:rsidR="00EF3FA5">
              <w:rPr>
                <w:sz w:val="15"/>
                <w:szCs w:val="15"/>
              </w:rPr>
              <w:t>návrším, náhorní plošinou,</w:t>
            </w:r>
            <w:r>
              <w:rPr>
                <w:sz w:val="15"/>
                <w:szCs w:val="15"/>
              </w:rPr>
              <w:t xml:space="preserve"> nad údolím Bystřice. Těžištěm lokality je ves Posluchov, která je obklopena zemědělskou půdou. Hranici lokality tvoří přilehlé lesy.</w:t>
            </w:r>
          </w:p>
        </w:tc>
      </w:tr>
      <w:tr w:rsidR="005F3739" w:rsidRPr="00842869" w14:paraId="23639E14" w14:textId="77777777" w:rsidTr="00BD1D2E">
        <w:tc>
          <w:tcPr>
            <w:tcW w:w="688" w:type="dxa"/>
            <w:vMerge w:val="restart"/>
            <w:textDirection w:val="btLr"/>
          </w:tcPr>
          <w:p w14:paraId="5D233F08" w14:textId="77777777" w:rsidR="005F3739" w:rsidRPr="00B960DF" w:rsidRDefault="005F3739" w:rsidP="003A3351">
            <w:pPr>
              <w:ind w:left="113" w:right="113"/>
              <w:jc w:val="right"/>
              <w:rPr>
                <w:b/>
              </w:rPr>
            </w:pPr>
            <w:r>
              <w:rPr>
                <w:b/>
              </w:rPr>
              <w:t>Prvky</w:t>
            </w:r>
          </w:p>
        </w:tc>
        <w:tc>
          <w:tcPr>
            <w:tcW w:w="1254" w:type="dxa"/>
          </w:tcPr>
          <w:p w14:paraId="2C35F9CA" w14:textId="77777777" w:rsidR="005F3739" w:rsidRPr="00B960DF" w:rsidRDefault="005F3739" w:rsidP="003A3351">
            <w:pPr>
              <w:ind w:left="0"/>
              <w:rPr>
                <w:b/>
              </w:rPr>
            </w:pPr>
            <w:r w:rsidRPr="00B960DF">
              <w:rPr>
                <w:b/>
              </w:rPr>
              <w:t>Plošné řešení zástavby</w:t>
            </w:r>
          </w:p>
        </w:tc>
        <w:tc>
          <w:tcPr>
            <w:tcW w:w="6705" w:type="dxa"/>
          </w:tcPr>
          <w:p w14:paraId="2DBC72BB" w14:textId="77777777" w:rsidR="005F3739" w:rsidRDefault="005F3739" w:rsidP="003A3351">
            <w:pPr>
              <w:ind w:left="0"/>
              <w:rPr>
                <w:sz w:val="15"/>
                <w:szCs w:val="15"/>
              </w:rPr>
            </w:pPr>
            <w:r w:rsidRPr="003D6AAC">
              <w:rPr>
                <w:sz w:val="15"/>
                <w:szCs w:val="15"/>
              </w:rPr>
              <w:t>Charakter zástavby udávají podélné objekty hospodářských dvorů historického jádra kolem návsi s </w:t>
            </w:r>
            <w:r>
              <w:rPr>
                <w:sz w:val="15"/>
                <w:szCs w:val="15"/>
              </w:rPr>
              <w:t>typickým poměrem stran cca 1:1,3</w:t>
            </w:r>
            <w:r w:rsidRPr="003D6AAC">
              <w:rPr>
                <w:sz w:val="15"/>
                <w:szCs w:val="15"/>
              </w:rPr>
              <w:t xml:space="preserve"> (např. č.p.</w:t>
            </w:r>
            <w:r>
              <w:rPr>
                <w:sz w:val="15"/>
                <w:szCs w:val="15"/>
              </w:rPr>
              <w:t xml:space="preserve">11) až cca 1:9 (např. č.p.2). </w:t>
            </w:r>
            <w:r w:rsidRPr="003D6AAC">
              <w:rPr>
                <w:sz w:val="15"/>
                <w:szCs w:val="15"/>
              </w:rPr>
              <w:t>Převážn</w:t>
            </w:r>
            <w:r>
              <w:rPr>
                <w:sz w:val="15"/>
                <w:szCs w:val="15"/>
              </w:rPr>
              <w:t xml:space="preserve">á </w:t>
            </w:r>
            <w:r w:rsidRPr="003D6AAC">
              <w:rPr>
                <w:sz w:val="15"/>
                <w:szCs w:val="15"/>
              </w:rPr>
              <w:t>část stavení je s dochovanými stodolami a dalšími doplňkovými hospod</w:t>
            </w:r>
            <w:r>
              <w:rPr>
                <w:sz w:val="15"/>
                <w:szCs w:val="15"/>
              </w:rPr>
              <w:t>ářskými objekty menších rozměrů.</w:t>
            </w:r>
          </w:p>
          <w:p w14:paraId="318A3A30" w14:textId="77777777" w:rsidR="005F3739" w:rsidRDefault="005F3739" w:rsidP="003A3351">
            <w:pPr>
              <w:ind w:left="0"/>
              <w:rPr>
                <w:sz w:val="15"/>
                <w:szCs w:val="15"/>
              </w:rPr>
            </w:pPr>
            <w:r>
              <w:rPr>
                <w:sz w:val="15"/>
                <w:szCs w:val="15"/>
              </w:rPr>
              <w:t>Na západním okraji sídla jsou objekty s vyrovnanějším poměrem stran.</w:t>
            </w:r>
          </w:p>
          <w:p w14:paraId="1EE71D81" w14:textId="77777777" w:rsidR="005F3739" w:rsidRPr="00CD5C09" w:rsidRDefault="005F3739" w:rsidP="003A3351">
            <w:pPr>
              <w:ind w:left="0"/>
              <w:rPr>
                <w:sz w:val="15"/>
                <w:szCs w:val="15"/>
              </w:rPr>
            </w:pPr>
            <w:r>
              <w:rPr>
                <w:sz w:val="15"/>
                <w:szCs w:val="15"/>
              </w:rPr>
              <w:t>Doporučení</w:t>
            </w:r>
            <w:r w:rsidRPr="00A53E1A">
              <w:rPr>
                <w:sz w:val="15"/>
                <w:szCs w:val="15"/>
              </w:rPr>
              <w:t xml:space="preserve"> poměru stran min. </w:t>
            </w:r>
            <w:r>
              <w:rPr>
                <w:sz w:val="15"/>
                <w:szCs w:val="15"/>
              </w:rPr>
              <w:t>2</w:t>
            </w:r>
            <w:r w:rsidRPr="00A53E1A">
              <w:rPr>
                <w:sz w:val="15"/>
                <w:szCs w:val="15"/>
              </w:rPr>
              <w:t>:1 je stanoven</w:t>
            </w:r>
            <w:r>
              <w:rPr>
                <w:sz w:val="15"/>
                <w:szCs w:val="15"/>
              </w:rPr>
              <w:t>o</w:t>
            </w:r>
            <w:r w:rsidRPr="00A53E1A">
              <w:rPr>
                <w:sz w:val="15"/>
                <w:szCs w:val="15"/>
              </w:rPr>
              <w:t xml:space="preserve"> z důvodu ochrany charakteru </w:t>
            </w:r>
            <w:r>
              <w:rPr>
                <w:sz w:val="15"/>
                <w:szCs w:val="15"/>
              </w:rPr>
              <w:t>venkovské struktury zástavby</w:t>
            </w:r>
            <w:r w:rsidRPr="00A53E1A">
              <w:rPr>
                <w:sz w:val="15"/>
                <w:szCs w:val="15"/>
              </w:rPr>
              <w:t>. Je doporučeno při plošném řešení zástavby respektovat terénní podmínky.</w:t>
            </w:r>
          </w:p>
        </w:tc>
      </w:tr>
      <w:tr w:rsidR="005F3739" w:rsidRPr="004B4D78" w14:paraId="747C279D" w14:textId="77777777" w:rsidTr="00BD1D2E">
        <w:tc>
          <w:tcPr>
            <w:tcW w:w="688" w:type="dxa"/>
            <w:vMerge/>
          </w:tcPr>
          <w:p w14:paraId="3FB4324B" w14:textId="77777777" w:rsidR="005F3739" w:rsidRDefault="005F3739" w:rsidP="003A3351">
            <w:pPr>
              <w:ind w:left="0"/>
              <w:rPr>
                <w:b/>
              </w:rPr>
            </w:pPr>
          </w:p>
        </w:tc>
        <w:tc>
          <w:tcPr>
            <w:tcW w:w="1254" w:type="dxa"/>
          </w:tcPr>
          <w:p w14:paraId="7EFA3697" w14:textId="77777777" w:rsidR="005F3739" w:rsidRPr="00B960DF" w:rsidRDefault="005F3739" w:rsidP="003A3351">
            <w:pPr>
              <w:ind w:left="0"/>
              <w:rPr>
                <w:b/>
              </w:rPr>
            </w:pPr>
            <w:r w:rsidRPr="00B960DF">
              <w:rPr>
                <w:b/>
              </w:rPr>
              <w:t>Výškové řešení zástavby</w:t>
            </w:r>
          </w:p>
        </w:tc>
        <w:tc>
          <w:tcPr>
            <w:tcW w:w="6705" w:type="dxa"/>
          </w:tcPr>
          <w:p w14:paraId="600D4CC5" w14:textId="77777777" w:rsidR="005F3739" w:rsidRDefault="005F3739" w:rsidP="003A3351">
            <w:pPr>
              <w:ind w:left="0"/>
              <w:rPr>
                <w:sz w:val="15"/>
                <w:szCs w:val="15"/>
              </w:rPr>
            </w:pPr>
            <w:r w:rsidRPr="00031E9A">
              <w:rPr>
                <w:sz w:val="15"/>
                <w:szCs w:val="15"/>
              </w:rPr>
              <w:t>Zástavbu tvoří převážně objekty o 2 NP, resp. s přízemím a podkrovím. Charakter střešní krajiny tvoří převážně střechy šikmé – sedlové (střechy hospodářských stavení) nebo polovalbové.</w:t>
            </w:r>
          </w:p>
          <w:p w14:paraId="7946FC9A" w14:textId="77777777" w:rsidR="005F3739" w:rsidRDefault="005F3739" w:rsidP="003A3351">
            <w:pPr>
              <w:ind w:left="0"/>
              <w:rPr>
                <w:sz w:val="15"/>
                <w:szCs w:val="15"/>
              </w:rPr>
            </w:pPr>
            <w:r w:rsidRPr="00A53E1A">
              <w:rPr>
                <w:sz w:val="15"/>
                <w:szCs w:val="15"/>
              </w:rPr>
              <w:t>Podmínka max</w:t>
            </w:r>
            <w:r>
              <w:rPr>
                <w:sz w:val="15"/>
                <w:szCs w:val="15"/>
              </w:rPr>
              <w:t>.</w:t>
            </w:r>
            <w:r w:rsidRPr="00A53E1A">
              <w:rPr>
                <w:sz w:val="15"/>
                <w:szCs w:val="15"/>
              </w:rPr>
              <w:t xml:space="preserve"> 2</w:t>
            </w:r>
            <w:r>
              <w:rPr>
                <w:sz w:val="15"/>
                <w:szCs w:val="15"/>
              </w:rPr>
              <w:t xml:space="preserve"> </w:t>
            </w:r>
            <w:r w:rsidRPr="00A53E1A">
              <w:rPr>
                <w:sz w:val="15"/>
                <w:szCs w:val="15"/>
              </w:rPr>
              <w:t>NP je stanovena z důvodu ochrany ch</w:t>
            </w:r>
            <w:r>
              <w:rPr>
                <w:sz w:val="15"/>
                <w:szCs w:val="15"/>
              </w:rPr>
              <w:t>arakteru urbanisticky hodnotné venkovské zástavby a obrazu sídla v krajině</w:t>
            </w:r>
            <w:r w:rsidRPr="00A53E1A">
              <w:rPr>
                <w:sz w:val="15"/>
                <w:szCs w:val="15"/>
              </w:rPr>
              <w:t xml:space="preserve">. </w:t>
            </w:r>
          </w:p>
          <w:p w14:paraId="33559463" w14:textId="178243BA" w:rsidR="005F3739" w:rsidRPr="00A53E1A" w:rsidRDefault="005F3739" w:rsidP="003A3351">
            <w:pPr>
              <w:ind w:left="0"/>
              <w:rPr>
                <w:sz w:val="15"/>
                <w:szCs w:val="15"/>
              </w:rPr>
            </w:pPr>
            <w:r w:rsidRPr="00A53E1A">
              <w:rPr>
                <w:sz w:val="15"/>
                <w:szCs w:val="15"/>
              </w:rPr>
              <w:t xml:space="preserve">Podmínka typické střešní krajiny zástavby je stanovena z důvodu ochrany charakteru urbanisticky </w:t>
            </w:r>
            <w:r>
              <w:rPr>
                <w:sz w:val="15"/>
                <w:szCs w:val="15"/>
              </w:rPr>
              <w:t xml:space="preserve">hodnotného historického jádra </w:t>
            </w:r>
            <w:r w:rsidR="00D7410D">
              <w:rPr>
                <w:sz w:val="15"/>
                <w:szCs w:val="15"/>
              </w:rPr>
              <w:t>zástavby</w:t>
            </w:r>
            <w:r w:rsidR="00D7410D" w:rsidRPr="00A53E1A">
              <w:rPr>
                <w:sz w:val="15"/>
                <w:szCs w:val="15"/>
              </w:rPr>
              <w:t>.</w:t>
            </w:r>
          </w:p>
          <w:p w14:paraId="752A57ED" w14:textId="77777777" w:rsidR="005F3739" w:rsidRPr="00D94F05" w:rsidRDefault="005F3739" w:rsidP="003A3351">
            <w:pPr>
              <w:spacing w:before="0" w:after="240"/>
              <w:ind w:left="0"/>
              <w:rPr>
                <w:b/>
                <w:bCs/>
                <w:sz w:val="15"/>
                <w:szCs w:val="15"/>
                <w:u w:val="single"/>
              </w:rPr>
            </w:pPr>
            <w:r>
              <w:rPr>
                <w:sz w:val="15"/>
                <w:szCs w:val="15"/>
              </w:rPr>
              <w:t>P</w:t>
            </w:r>
            <w:r w:rsidRPr="00A53E1A">
              <w:rPr>
                <w:sz w:val="15"/>
                <w:szCs w:val="15"/>
              </w:rPr>
              <w:t xml:space="preserve">odmínka max. výška zástavby 10 m </w:t>
            </w:r>
            <w:r w:rsidRPr="00A53E1A">
              <w:rPr>
                <w:b/>
                <w:bCs/>
                <w:sz w:val="15"/>
                <w:szCs w:val="15"/>
                <w:u w:val="single"/>
              </w:rPr>
              <w:t xml:space="preserve">v ploše </w:t>
            </w:r>
            <w:r w:rsidRPr="00944744">
              <w:rPr>
                <w:b/>
                <w:bCs/>
                <w:sz w:val="15"/>
                <w:szCs w:val="15"/>
                <w:u w:val="single"/>
              </w:rPr>
              <w:t>výrobní všeobecné (HU)</w:t>
            </w:r>
            <w:r w:rsidRPr="00A53E1A">
              <w:rPr>
                <w:sz w:val="15"/>
                <w:szCs w:val="15"/>
              </w:rPr>
              <w:t xml:space="preserve"> je stanovena z důvodu výškové stabilizace zástavby tak, aby </w:t>
            </w:r>
            <w:r>
              <w:rPr>
                <w:sz w:val="15"/>
                <w:szCs w:val="15"/>
              </w:rPr>
              <w:t>byl minimalizován její negativní dopad na</w:t>
            </w:r>
            <w:r w:rsidRPr="00A53E1A">
              <w:rPr>
                <w:sz w:val="15"/>
                <w:szCs w:val="15"/>
              </w:rPr>
              <w:t xml:space="preserve"> panorama </w:t>
            </w:r>
            <w:r>
              <w:rPr>
                <w:sz w:val="15"/>
                <w:szCs w:val="15"/>
              </w:rPr>
              <w:t>sídla z dálkových pohledů zejména od Posluchova a od Radíkova.</w:t>
            </w:r>
          </w:p>
        </w:tc>
      </w:tr>
      <w:tr w:rsidR="005F3739" w:rsidRPr="00842869" w14:paraId="237C7CD9" w14:textId="77777777" w:rsidTr="00BD1D2E">
        <w:tc>
          <w:tcPr>
            <w:tcW w:w="688" w:type="dxa"/>
            <w:vMerge/>
          </w:tcPr>
          <w:p w14:paraId="5A08B070" w14:textId="77777777" w:rsidR="005F3739" w:rsidRDefault="005F3739" w:rsidP="003A3351">
            <w:pPr>
              <w:ind w:left="0"/>
              <w:rPr>
                <w:b/>
              </w:rPr>
            </w:pPr>
          </w:p>
        </w:tc>
        <w:tc>
          <w:tcPr>
            <w:tcW w:w="1254" w:type="dxa"/>
          </w:tcPr>
          <w:p w14:paraId="1A65A303" w14:textId="77777777" w:rsidR="005F3739" w:rsidRPr="00B960DF" w:rsidRDefault="005F3739" w:rsidP="003A3351">
            <w:pPr>
              <w:ind w:left="0"/>
              <w:rPr>
                <w:b/>
              </w:rPr>
            </w:pPr>
            <w:r>
              <w:rPr>
                <w:b/>
              </w:rPr>
              <w:t>Charakter přírodních prvků</w:t>
            </w:r>
          </w:p>
        </w:tc>
        <w:tc>
          <w:tcPr>
            <w:tcW w:w="6705" w:type="dxa"/>
          </w:tcPr>
          <w:p w14:paraId="482B7A43" w14:textId="77777777" w:rsidR="005F3739" w:rsidRDefault="005F3739" w:rsidP="003A3351">
            <w:pPr>
              <w:ind w:left="0"/>
              <w:rPr>
                <w:sz w:val="15"/>
                <w:szCs w:val="15"/>
              </w:rPr>
            </w:pPr>
            <w:r w:rsidRPr="00922575">
              <w:rPr>
                <w:sz w:val="15"/>
                <w:szCs w:val="15"/>
              </w:rPr>
              <w:t xml:space="preserve">Přírodní prvky zastavěného území tvoří dřeviny, rostliny a zatravněné plochy jako součást zahrad a veřejných prostranství. Přírodní prvky nezastavěného území tvoří zejména zemědělská </w:t>
            </w:r>
            <w:r>
              <w:rPr>
                <w:sz w:val="15"/>
                <w:szCs w:val="15"/>
              </w:rPr>
              <w:t>půda a</w:t>
            </w:r>
            <w:r w:rsidRPr="00922575">
              <w:rPr>
                <w:sz w:val="15"/>
                <w:szCs w:val="15"/>
              </w:rPr>
              <w:t xml:space="preserve"> dřeviny podél </w:t>
            </w:r>
            <w:r>
              <w:rPr>
                <w:sz w:val="15"/>
                <w:szCs w:val="15"/>
              </w:rPr>
              <w:t>bezejmenného toku.</w:t>
            </w:r>
          </w:p>
          <w:p w14:paraId="46FE43D1" w14:textId="77777777" w:rsidR="005F3739" w:rsidRPr="00CD5C09" w:rsidRDefault="005F3739" w:rsidP="003A3351">
            <w:pPr>
              <w:ind w:left="0"/>
              <w:rPr>
                <w:sz w:val="15"/>
                <w:szCs w:val="15"/>
              </w:rPr>
            </w:pPr>
            <w:r w:rsidRPr="00A3692F">
              <w:rPr>
                <w:sz w:val="15"/>
                <w:szCs w:val="15"/>
              </w:rPr>
              <w:t>Je doporučeno využívání místních dřevin.</w:t>
            </w:r>
          </w:p>
        </w:tc>
      </w:tr>
      <w:tr w:rsidR="005F3739" w:rsidRPr="00842869" w14:paraId="407B3661" w14:textId="77777777" w:rsidTr="00BD1D2E">
        <w:trPr>
          <w:trHeight w:val="7730"/>
        </w:trPr>
        <w:tc>
          <w:tcPr>
            <w:tcW w:w="688" w:type="dxa"/>
            <w:vMerge/>
          </w:tcPr>
          <w:p w14:paraId="79CE5517" w14:textId="77777777" w:rsidR="005F3739" w:rsidRDefault="005F3739" w:rsidP="003A3351">
            <w:pPr>
              <w:ind w:left="0"/>
              <w:rPr>
                <w:b/>
              </w:rPr>
            </w:pPr>
          </w:p>
        </w:tc>
        <w:tc>
          <w:tcPr>
            <w:tcW w:w="1254" w:type="dxa"/>
          </w:tcPr>
          <w:p w14:paraId="7BA33F66" w14:textId="77777777" w:rsidR="005F3739" w:rsidRPr="00B960DF" w:rsidRDefault="005F3739" w:rsidP="003A3351">
            <w:pPr>
              <w:ind w:left="0"/>
              <w:rPr>
                <w:b/>
              </w:rPr>
            </w:pPr>
            <w:r>
              <w:rPr>
                <w:b/>
              </w:rPr>
              <w:t>Specifické prvky</w:t>
            </w:r>
          </w:p>
        </w:tc>
        <w:tc>
          <w:tcPr>
            <w:tcW w:w="6705" w:type="dxa"/>
          </w:tcPr>
          <w:p w14:paraId="40C4298F" w14:textId="77777777" w:rsidR="005F3739" w:rsidRPr="000906F3" w:rsidRDefault="005F3739" w:rsidP="003A3351">
            <w:pPr>
              <w:ind w:left="0"/>
              <w:rPr>
                <w:sz w:val="16"/>
                <w:szCs w:val="16"/>
              </w:rPr>
            </w:pPr>
            <w:r w:rsidRPr="003D6AAC">
              <w:rPr>
                <w:sz w:val="15"/>
                <w:szCs w:val="15"/>
              </w:rPr>
              <w:t>V lokalitě se nevyskytují specifické prvky.</w:t>
            </w:r>
          </w:p>
        </w:tc>
      </w:tr>
      <w:tr w:rsidR="005F3739" w:rsidRPr="00842869" w14:paraId="1FFC2575" w14:textId="77777777" w:rsidTr="00BD1D2E">
        <w:tc>
          <w:tcPr>
            <w:tcW w:w="688" w:type="dxa"/>
            <w:vMerge w:val="restart"/>
            <w:textDirection w:val="btLr"/>
          </w:tcPr>
          <w:p w14:paraId="51E20280" w14:textId="77777777" w:rsidR="005F3739" w:rsidRDefault="005F3739" w:rsidP="003A3351">
            <w:pPr>
              <w:ind w:left="113" w:right="113"/>
              <w:jc w:val="right"/>
              <w:rPr>
                <w:b/>
              </w:rPr>
            </w:pPr>
            <w:r>
              <w:rPr>
                <w:b/>
              </w:rPr>
              <w:lastRenderedPageBreak/>
              <w:t>Uspořádání</w:t>
            </w:r>
          </w:p>
        </w:tc>
        <w:tc>
          <w:tcPr>
            <w:tcW w:w="1254" w:type="dxa"/>
          </w:tcPr>
          <w:p w14:paraId="6686CB7A" w14:textId="77777777" w:rsidR="005F3739" w:rsidRPr="00B960DF" w:rsidRDefault="005F3739" w:rsidP="003A3351">
            <w:pPr>
              <w:ind w:left="0"/>
              <w:jc w:val="left"/>
              <w:rPr>
                <w:b/>
              </w:rPr>
            </w:pPr>
            <w:r>
              <w:rPr>
                <w:b/>
              </w:rPr>
              <w:t>Velikost a zastavitelnost pozemků</w:t>
            </w:r>
          </w:p>
        </w:tc>
        <w:tc>
          <w:tcPr>
            <w:tcW w:w="6705" w:type="dxa"/>
          </w:tcPr>
          <w:p w14:paraId="5C390580" w14:textId="77777777" w:rsidR="005F3739" w:rsidRDefault="005F3739" w:rsidP="003A3351">
            <w:pPr>
              <w:ind w:left="0"/>
              <w:rPr>
                <w:sz w:val="15"/>
                <w:szCs w:val="15"/>
              </w:rPr>
            </w:pPr>
            <w:r w:rsidRPr="0018028F">
              <w:rPr>
                <w:sz w:val="15"/>
                <w:szCs w:val="15"/>
              </w:rPr>
              <w:t xml:space="preserve">Obvyklá </w:t>
            </w:r>
            <w:r>
              <w:rPr>
                <w:sz w:val="15"/>
                <w:szCs w:val="15"/>
              </w:rPr>
              <w:t>míra velikosti pozemků je cca do</w:t>
            </w:r>
            <w:r w:rsidRPr="0018028F">
              <w:rPr>
                <w:sz w:val="15"/>
                <w:szCs w:val="15"/>
              </w:rPr>
              <w:t xml:space="preserve"> </w:t>
            </w:r>
            <w:r>
              <w:rPr>
                <w:sz w:val="15"/>
                <w:szCs w:val="15"/>
              </w:rPr>
              <w:t>1200 m</w:t>
            </w:r>
            <w:r w:rsidRPr="002009AE">
              <w:rPr>
                <w:sz w:val="15"/>
                <w:szCs w:val="15"/>
                <w:vertAlign w:val="superscript"/>
              </w:rPr>
              <w:t>2</w:t>
            </w:r>
            <w:r w:rsidRPr="0018028F">
              <w:rPr>
                <w:sz w:val="15"/>
                <w:szCs w:val="15"/>
              </w:rPr>
              <w:t>,</w:t>
            </w:r>
            <w:r>
              <w:rPr>
                <w:sz w:val="15"/>
                <w:szCs w:val="15"/>
              </w:rPr>
              <w:t xml:space="preserve"> s průměrnou zastavitelností, </w:t>
            </w:r>
            <w:r w:rsidRPr="0018028F">
              <w:rPr>
                <w:sz w:val="15"/>
                <w:szCs w:val="15"/>
              </w:rPr>
              <w:t xml:space="preserve">s průměrnou typickou </w:t>
            </w:r>
            <w:r>
              <w:rPr>
                <w:sz w:val="15"/>
                <w:szCs w:val="15"/>
              </w:rPr>
              <w:t>zastavitelnost</w:t>
            </w:r>
            <w:r w:rsidRPr="0018028F">
              <w:rPr>
                <w:sz w:val="15"/>
                <w:szCs w:val="15"/>
              </w:rPr>
              <w:t>í 1</w:t>
            </w:r>
            <w:r>
              <w:rPr>
                <w:sz w:val="15"/>
                <w:szCs w:val="15"/>
              </w:rPr>
              <w:t>0-25</w:t>
            </w:r>
            <w:r w:rsidRPr="0018028F">
              <w:rPr>
                <w:sz w:val="15"/>
                <w:szCs w:val="15"/>
              </w:rPr>
              <w:t xml:space="preserve">%. Charakter zástavby lokality udává zástavba dvorcového uspořádání </w:t>
            </w:r>
            <w:r>
              <w:rPr>
                <w:sz w:val="15"/>
                <w:szCs w:val="15"/>
              </w:rPr>
              <w:t>historického jádra vsi</w:t>
            </w:r>
            <w:r w:rsidRPr="0018028F">
              <w:rPr>
                <w:sz w:val="15"/>
                <w:szCs w:val="15"/>
              </w:rPr>
              <w:t xml:space="preserve">. </w:t>
            </w:r>
            <w:r>
              <w:rPr>
                <w:sz w:val="15"/>
                <w:szCs w:val="15"/>
              </w:rPr>
              <w:t xml:space="preserve">Západní část sídla tvoří převážně </w:t>
            </w:r>
            <w:r w:rsidRPr="0018028F">
              <w:rPr>
                <w:sz w:val="15"/>
                <w:szCs w:val="15"/>
              </w:rPr>
              <w:t>samostatn</w:t>
            </w:r>
            <w:r>
              <w:rPr>
                <w:sz w:val="15"/>
                <w:szCs w:val="15"/>
              </w:rPr>
              <w:t>é</w:t>
            </w:r>
            <w:r w:rsidRPr="0018028F">
              <w:rPr>
                <w:sz w:val="15"/>
                <w:szCs w:val="15"/>
              </w:rPr>
              <w:t xml:space="preserve"> rodinn</w:t>
            </w:r>
            <w:r>
              <w:rPr>
                <w:sz w:val="15"/>
                <w:szCs w:val="15"/>
              </w:rPr>
              <w:t>é domy</w:t>
            </w:r>
            <w:r w:rsidRPr="0018028F">
              <w:rPr>
                <w:sz w:val="15"/>
                <w:szCs w:val="15"/>
              </w:rPr>
              <w:t xml:space="preserve">. </w:t>
            </w:r>
          </w:p>
          <w:p w14:paraId="1294D4D9" w14:textId="77777777" w:rsidR="005F3739" w:rsidRDefault="005F3739" w:rsidP="003A3351">
            <w:pPr>
              <w:ind w:left="0"/>
              <w:rPr>
                <w:sz w:val="15"/>
                <w:szCs w:val="15"/>
              </w:rPr>
            </w:pPr>
            <w:r w:rsidRPr="0018028F">
              <w:rPr>
                <w:sz w:val="15"/>
                <w:szCs w:val="15"/>
              </w:rPr>
              <w:t xml:space="preserve">Typickým zástupcem zástavby </w:t>
            </w:r>
            <w:r>
              <w:rPr>
                <w:sz w:val="15"/>
                <w:szCs w:val="15"/>
              </w:rPr>
              <w:t>v návaznosti na náves</w:t>
            </w:r>
            <w:r w:rsidRPr="0018028F">
              <w:rPr>
                <w:sz w:val="15"/>
                <w:szCs w:val="15"/>
              </w:rPr>
              <w:t xml:space="preserve"> je např. č.p. </w:t>
            </w:r>
            <w:r>
              <w:rPr>
                <w:sz w:val="15"/>
                <w:szCs w:val="15"/>
              </w:rPr>
              <w:t>27</w:t>
            </w:r>
            <w:r w:rsidRPr="0018028F">
              <w:rPr>
                <w:sz w:val="15"/>
                <w:szCs w:val="15"/>
              </w:rPr>
              <w:t xml:space="preserve"> o ZP HS cca </w:t>
            </w:r>
            <w:r>
              <w:rPr>
                <w:sz w:val="15"/>
                <w:szCs w:val="15"/>
              </w:rPr>
              <w:t>270</w:t>
            </w:r>
            <w:r w:rsidRPr="0018028F">
              <w:rPr>
                <w:sz w:val="15"/>
                <w:szCs w:val="15"/>
              </w:rPr>
              <w:t xml:space="preserve"> m</w:t>
            </w:r>
            <w:r w:rsidRPr="002009AE">
              <w:rPr>
                <w:sz w:val="15"/>
                <w:szCs w:val="15"/>
                <w:vertAlign w:val="superscript"/>
              </w:rPr>
              <w:t>2</w:t>
            </w:r>
            <w:r w:rsidRPr="0018028F">
              <w:rPr>
                <w:sz w:val="15"/>
                <w:szCs w:val="15"/>
              </w:rPr>
              <w:t xml:space="preserve"> na pozemku cca </w:t>
            </w:r>
            <w:r>
              <w:rPr>
                <w:sz w:val="15"/>
                <w:szCs w:val="15"/>
              </w:rPr>
              <w:t>1400</w:t>
            </w:r>
            <w:r w:rsidRPr="0018028F">
              <w:rPr>
                <w:sz w:val="15"/>
                <w:szCs w:val="15"/>
              </w:rPr>
              <w:t xml:space="preserve"> m</w:t>
            </w:r>
            <w:r w:rsidRPr="002009AE">
              <w:rPr>
                <w:sz w:val="15"/>
                <w:szCs w:val="15"/>
                <w:vertAlign w:val="superscript"/>
              </w:rPr>
              <w:t>2</w:t>
            </w:r>
            <w:r w:rsidRPr="0018028F">
              <w:rPr>
                <w:sz w:val="15"/>
                <w:szCs w:val="15"/>
              </w:rPr>
              <w:t xml:space="preserve"> (</w:t>
            </w:r>
            <w:r>
              <w:rPr>
                <w:sz w:val="15"/>
                <w:szCs w:val="15"/>
              </w:rPr>
              <w:t>zastavitelnost</w:t>
            </w:r>
            <w:r w:rsidRPr="0018028F">
              <w:rPr>
                <w:sz w:val="15"/>
                <w:szCs w:val="15"/>
              </w:rPr>
              <w:t xml:space="preserve"> cca </w:t>
            </w:r>
            <w:r>
              <w:rPr>
                <w:sz w:val="15"/>
                <w:szCs w:val="15"/>
              </w:rPr>
              <w:t>19</w:t>
            </w:r>
            <w:r w:rsidRPr="0018028F">
              <w:rPr>
                <w:sz w:val="15"/>
                <w:szCs w:val="15"/>
              </w:rPr>
              <w:t xml:space="preserve">%). Typickým zástupcem zástavby samostatných rodinných domů je např. RD </w:t>
            </w:r>
            <w:r>
              <w:rPr>
                <w:sz w:val="15"/>
                <w:szCs w:val="15"/>
              </w:rPr>
              <w:t>č.p. 91</w:t>
            </w:r>
            <w:r w:rsidRPr="0018028F">
              <w:rPr>
                <w:sz w:val="15"/>
                <w:szCs w:val="15"/>
              </w:rPr>
              <w:t xml:space="preserve"> o ZP HS cca </w:t>
            </w:r>
            <w:r>
              <w:rPr>
                <w:sz w:val="15"/>
                <w:szCs w:val="15"/>
              </w:rPr>
              <w:t>115</w:t>
            </w:r>
            <w:r w:rsidRPr="0018028F">
              <w:rPr>
                <w:sz w:val="15"/>
                <w:szCs w:val="15"/>
              </w:rPr>
              <w:t xml:space="preserve"> m</w:t>
            </w:r>
            <w:r w:rsidRPr="00641891">
              <w:rPr>
                <w:sz w:val="15"/>
                <w:szCs w:val="15"/>
                <w:vertAlign w:val="superscript"/>
              </w:rPr>
              <w:t>2</w:t>
            </w:r>
            <w:r w:rsidRPr="0018028F">
              <w:rPr>
                <w:sz w:val="15"/>
                <w:szCs w:val="15"/>
              </w:rPr>
              <w:t xml:space="preserve"> na pozemku cca </w:t>
            </w:r>
            <w:r>
              <w:rPr>
                <w:sz w:val="15"/>
                <w:szCs w:val="15"/>
              </w:rPr>
              <w:t>1200</w:t>
            </w:r>
            <w:r w:rsidRPr="0018028F">
              <w:rPr>
                <w:sz w:val="15"/>
                <w:szCs w:val="15"/>
              </w:rPr>
              <w:t xml:space="preserve"> m</w:t>
            </w:r>
            <w:r w:rsidRPr="002009AE">
              <w:rPr>
                <w:sz w:val="15"/>
                <w:szCs w:val="15"/>
                <w:vertAlign w:val="superscript"/>
              </w:rPr>
              <w:t>2</w:t>
            </w:r>
            <w:r w:rsidRPr="0018028F">
              <w:rPr>
                <w:sz w:val="15"/>
                <w:szCs w:val="15"/>
              </w:rPr>
              <w:t xml:space="preserve"> (</w:t>
            </w:r>
            <w:r>
              <w:rPr>
                <w:sz w:val="15"/>
                <w:szCs w:val="15"/>
              </w:rPr>
              <w:t>zastavitelnost</w:t>
            </w:r>
            <w:r w:rsidRPr="0018028F">
              <w:rPr>
                <w:sz w:val="15"/>
                <w:szCs w:val="15"/>
              </w:rPr>
              <w:t xml:space="preserve"> cca 1</w:t>
            </w:r>
            <w:r>
              <w:rPr>
                <w:sz w:val="15"/>
                <w:szCs w:val="15"/>
              </w:rPr>
              <w:t>0</w:t>
            </w:r>
            <w:r w:rsidRPr="0018028F">
              <w:rPr>
                <w:sz w:val="15"/>
                <w:szCs w:val="15"/>
              </w:rPr>
              <w:t>%)</w:t>
            </w:r>
            <w:r>
              <w:rPr>
                <w:sz w:val="15"/>
                <w:szCs w:val="15"/>
              </w:rPr>
              <w:t>.</w:t>
            </w:r>
          </w:p>
          <w:p w14:paraId="72B63809" w14:textId="76281328" w:rsidR="005F3739" w:rsidRPr="00ED1F24" w:rsidRDefault="005F3739" w:rsidP="003A3351">
            <w:pPr>
              <w:ind w:left="0"/>
              <w:rPr>
                <w:sz w:val="15"/>
                <w:szCs w:val="15"/>
              </w:rPr>
            </w:pPr>
            <w:r w:rsidRPr="00ED1F24">
              <w:rPr>
                <w:sz w:val="15"/>
                <w:szCs w:val="15"/>
              </w:rPr>
              <w:t>Pro celou lokalitu je stanoven HS=0,</w:t>
            </w:r>
            <w:r w:rsidR="00904BAC">
              <w:rPr>
                <w:sz w:val="15"/>
                <w:szCs w:val="15"/>
              </w:rPr>
              <w:t>20</w:t>
            </w:r>
            <w:r>
              <w:rPr>
                <w:sz w:val="15"/>
                <w:szCs w:val="15"/>
              </w:rPr>
              <w:t xml:space="preserve"> pro</w:t>
            </w:r>
            <w:r w:rsidRPr="00ED1F24">
              <w:rPr>
                <w:sz w:val="15"/>
                <w:szCs w:val="15"/>
              </w:rPr>
              <w:t xml:space="preserve"> hlavní stavbou tak, aby intenzita využití území respektovala charakter území. Zastavitelnost je stanovena jako maximální pro udržení charakteru </w:t>
            </w:r>
            <w:r w:rsidRPr="0018028F">
              <w:rPr>
                <w:sz w:val="15"/>
                <w:szCs w:val="15"/>
              </w:rPr>
              <w:t>venkovské zástavby s tradičním hospodářským zázemím</w:t>
            </w:r>
            <w:r w:rsidRPr="00ED1F24">
              <w:rPr>
                <w:sz w:val="15"/>
                <w:szCs w:val="15"/>
              </w:rPr>
              <w:t>. KN=0,</w:t>
            </w:r>
            <w:r w:rsidR="00904BAC">
              <w:rPr>
                <w:sz w:val="15"/>
                <w:szCs w:val="15"/>
              </w:rPr>
              <w:t>60</w:t>
            </w:r>
            <w:r w:rsidRPr="00ED1F24">
              <w:rPr>
                <w:sz w:val="15"/>
                <w:szCs w:val="15"/>
              </w:rPr>
              <w:t xml:space="preserve"> zajišťuje plochu zahrady určenou pro vsakování a retenci v</w:t>
            </w:r>
            <w:r w:rsidR="00E76712">
              <w:rPr>
                <w:sz w:val="15"/>
                <w:szCs w:val="15"/>
              </w:rPr>
              <w:t> </w:t>
            </w:r>
            <w:r w:rsidRPr="00ED1F24">
              <w:rPr>
                <w:sz w:val="15"/>
                <w:szCs w:val="15"/>
              </w:rPr>
              <w:t xml:space="preserve">území a zároveň poskytuje dostatečný prostor pro rozvoj zástavby dvorců </w:t>
            </w:r>
            <w:r>
              <w:rPr>
                <w:sz w:val="15"/>
                <w:szCs w:val="15"/>
              </w:rPr>
              <w:t xml:space="preserve">a zahrad </w:t>
            </w:r>
            <w:r w:rsidRPr="00ED1F24">
              <w:rPr>
                <w:sz w:val="15"/>
                <w:szCs w:val="15"/>
              </w:rPr>
              <w:t>vedlejšími objekty.</w:t>
            </w:r>
          </w:p>
          <w:p w14:paraId="53909BBE" w14:textId="49404717" w:rsidR="005F3739" w:rsidRDefault="005F3739" w:rsidP="003A3351">
            <w:pPr>
              <w:ind w:left="0"/>
              <w:rPr>
                <w:sz w:val="15"/>
                <w:szCs w:val="15"/>
              </w:rPr>
            </w:pPr>
            <w:r w:rsidRPr="0018028F">
              <w:rPr>
                <w:b/>
                <w:sz w:val="15"/>
                <w:szCs w:val="15"/>
                <w:u w:val="single"/>
              </w:rPr>
              <w:t xml:space="preserve">Pozemky v návaznosti na plochu </w:t>
            </w:r>
            <w:r>
              <w:rPr>
                <w:b/>
                <w:sz w:val="15"/>
                <w:szCs w:val="15"/>
                <w:u w:val="single"/>
              </w:rPr>
              <w:t>PU.</w:t>
            </w:r>
            <w:r w:rsidR="00AF7F84">
              <w:rPr>
                <w:b/>
                <w:sz w:val="15"/>
                <w:szCs w:val="15"/>
                <w:u w:val="single"/>
              </w:rPr>
              <w:t>v</w:t>
            </w:r>
            <w:r w:rsidRPr="0018028F">
              <w:rPr>
                <w:sz w:val="15"/>
                <w:szCs w:val="15"/>
              </w:rPr>
              <w:t xml:space="preserve"> nemají stanoveny podmínky </w:t>
            </w:r>
            <w:r>
              <w:rPr>
                <w:sz w:val="15"/>
                <w:szCs w:val="15"/>
              </w:rPr>
              <w:t>zastavitelnost</w:t>
            </w:r>
            <w:r w:rsidRPr="0018028F">
              <w:rPr>
                <w:sz w:val="15"/>
                <w:szCs w:val="15"/>
              </w:rPr>
              <w:t xml:space="preserve">i tak, aby bylo podpořeno využití lokálních center pro rozvoj </w:t>
            </w:r>
            <w:r w:rsidRPr="00D86371">
              <w:rPr>
                <w:sz w:val="15"/>
                <w:szCs w:val="15"/>
              </w:rPr>
              <w:t>občanského vybavení místního významu</w:t>
            </w:r>
          </w:p>
          <w:p w14:paraId="6DB3A635" w14:textId="77777777" w:rsidR="005F3739" w:rsidRPr="00732F61" w:rsidRDefault="005F3739" w:rsidP="003A3351">
            <w:pPr>
              <w:ind w:left="0"/>
              <w:rPr>
                <w:sz w:val="15"/>
                <w:szCs w:val="15"/>
                <w:highlight w:val="green"/>
              </w:rPr>
            </w:pPr>
            <w:r w:rsidRPr="0018028F">
              <w:rPr>
                <w:b/>
                <w:bCs/>
                <w:sz w:val="15"/>
                <w:szCs w:val="15"/>
                <w:u w:val="single"/>
              </w:rPr>
              <w:t xml:space="preserve">V ploše smíšené </w:t>
            </w:r>
            <w:r w:rsidRPr="00446963">
              <w:rPr>
                <w:b/>
                <w:bCs/>
                <w:sz w:val="15"/>
                <w:szCs w:val="15"/>
                <w:u w:val="single"/>
              </w:rPr>
              <w:t>výrobní všeobecné (HU)</w:t>
            </w:r>
            <w:r w:rsidRPr="0018028F">
              <w:rPr>
                <w:bCs/>
                <w:sz w:val="15"/>
                <w:szCs w:val="15"/>
              </w:rPr>
              <w:t xml:space="preserve"> nejsou s ohledem na charakter využití plochy stanoveny podmínky </w:t>
            </w:r>
            <w:r>
              <w:rPr>
                <w:bCs/>
                <w:sz w:val="15"/>
                <w:szCs w:val="15"/>
              </w:rPr>
              <w:t>zastavitelnost</w:t>
            </w:r>
            <w:r w:rsidRPr="0018028F">
              <w:rPr>
                <w:bCs/>
                <w:sz w:val="15"/>
                <w:szCs w:val="15"/>
              </w:rPr>
              <w:t xml:space="preserve">i pozemku, z důvodu zajištění dostatečné plochy </w:t>
            </w:r>
            <w:r w:rsidRPr="0018028F">
              <w:rPr>
                <w:sz w:val="15"/>
                <w:szCs w:val="15"/>
              </w:rPr>
              <w:t>pro vsakování a re</w:t>
            </w:r>
            <w:r>
              <w:rPr>
                <w:sz w:val="15"/>
                <w:szCs w:val="15"/>
              </w:rPr>
              <w:t>tenci v území je stanoven KN=0,50</w:t>
            </w:r>
            <w:r w:rsidRPr="0018028F">
              <w:rPr>
                <w:sz w:val="15"/>
                <w:szCs w:val="15"/>
              </w:rPr>
              <w:t>.</w:t>
            </w:r>
          </w:p>
        </w:tc>
      </w:tr>
      <w:tr w:rsidR="005F3739" w:rsidRPr="00182D52" w14:paraId="1600A8E7" w14:textId="77777777" w:rsidTr="00BD1D2E">
        <w:tc>
          <w:tcPr>
            <w:tcW w:w="688" w:type="dxa"/>
            <w:vMerge/>
          </w:tcPr>
          <w:p w14:paraId="2735CA0E" w14:textId="77777777" w:rsidR="005F3739" w:rsidRDefault="005F3739" w:rsidP="003A3351">
            <w:pPr>
              <w:ind w:left="0"/>
              <w:rPr>
                <w:b/>
              </w:rPr>
            </w:pPr>
          </w:p>
        </w:tc>
        <w:tc>
          <w:tcPr>
            <w:tcW w:w="1254" w:type="dxa"/>
          </w:tcPr>
          <w:p w14:paraId="559538AD" w14:textId="77777777" w:rsidR="005F3739" w:rsidRDefault="005F3739" w:rsidP="003A3351">
            <w:pPr>
              <w:ind w:left="0"/>
              <w:rPr>
                <w:b/>
              </w:rPr>
            </w:pPr>
            <w:r>
              <w:rPr>
                <w:b/>
              </w:rPr>
              <w:t>Uspořádání prostranství</w:t>
            </w:r>
          </w:p>
        </w:tc>
        <w:tc>
          <w:tcPr>
            <w:tcW w:w="6705" w:type="dxa"/>
          </w:tcPr>
          <w:p w14:paraId="58AC2A86" w14:textId="77777777" w:rsidR="005F3739" w:rsidRDefault="005F3739" w:rsidP="003A3351">
            <w:pPr>
              <w:ind w:left="0"/>
              <w:rPr>
                <w:sz w:val="15"/>
                <w:szCs w:val="15"/>
              </w:rPr>
            </w:pPr>
            <w:r w:rsidRPr="00A864FB">
              <w:rPr>
                <w:sz w:val="15"/>
                <w:szCs w:val="15"/>
              </w:rPr>
              <w:t xml:space="preserve">Veřejná prostranství tvoří náves jako veřejné prostranství </w:t>
            </w:r>
            <w:r>
              <w:rPr>
                <w:sz w:val="15"/>
                <w:szCs w:val="15"/>
              </w:rPr>
              <w:t>hlavní</w:t>
            </w:r>
            <w:r w:rsidRPr="00A864FB">
              <w:rPr>
                <w:sz w:val="15"/>
                <w:szCs w:val="15"/>
              </w:rPr>
              <w:t xml:space="preserve">, doplněné uliční sítí veřejných prostranství </w:t>
            </w:r>
            <w:r>
              <w:rPr>
                <w:sz w:val="15"/>
                <w:szCs w:val="15"/>
              </w:rPr>
              <w:t>všeobecných</w:t>
            </w:r>
            <w:r w:rsidRPr="00A864FB">
              <w:rPr>
                <w:sz w:val="15"/>
                <w:szCs w:val="15"/>
              </w:rPr>
              <w:t>.</w:t>
            </w:r>
          </w:p>
          <w:p w14:paraId="5FE8432D" w14:textId="77777777" w:rsidR="005F3739" w:rsidRDefault="005F3739" w:rsidP="003A3351">
            <w:pPr>
              <w:ind w:left="0"/>
              <w:rPr>
                <w:sz w:val="15"/>
                <w:szCs w:val="15"/>
              </w:rPr>
            </w:pPr>
            <w:r w:rsidRPr="00A864FB">
              <w:rPr>
                <w:sz w:val="15"/>
                <w:szCs w:val="15"/>
              </w:rPr>
              <w:t xml:space="preserve">Náves je </w:t>
            </w:r>
            <w:r>
              <w:rPr>
                <w:sz w:val="15"/>
                <w:szCs w:val="15"/>
              </w:rPr>
              <w:t xml:space="preserve">okrouhlého tvaru se zatravněnou středovou částí. </w:t>
            </w:r>
            <w:r w:rsidRPr="00A864FB">
              <w:rPr>
                <w:sz w:val="15"/>
                <w:szCs w:val="15"/>
              </w:rPr>
              <w:t>Charakter prostranství udává nezpevněný zatra</w:t>
            </w:r>
            <w:r>
              <w:rPr>
                <w:sz w:val="15"/>
                <w:szCs w:val="15"/>
              </w:rPr>
              <w:t>vněný lem</w:t>
            </w:r>
            <w:r w:rsidRPr="00A864FB">
              <w:rPr>
                <w:sz w:val="15"/>
                <w:szCs w:val="15"/>
              </w:rPr>
              <w:t>.</w:t>
            </w:r>
            <w:r w:rsidRPr="00CD5C09">
              <w:rPr>
                <w:sz w:val="15"/>
                <w:szCs w:val="15"/>
              </w:rPr>
              <w:t xml:space="preserve"> </w:t>
            </w:r>
          </w:p>
          <w:p w14:paraId="6C65EFC9" w14:textId="77777777" w:rsidR="005F3739" w:rsidRDefault="005F3739" w:rsidP="003A3351">
            <w:pPr>
              <w:ind w:left="0"/>
              <w:rPr>
                <w:sz w:val="15"/>
                <w:szCs w:val="15"/>
              </w:rPr>
            </w:pPr>
            <w:r w:rsidRPr="005F0501">
              <w:rPr>
                <w:sz w:val="15"/>
                <w:szCs w:val="15"/>
              </w:rPr>
              <w:t xml:space="preserve">Podmínka </w:t>
            </w:r>
            <w:r w:rsidRPr="00606EF5">
              <w:rPr>
                <w:sz w:val="15"/>
                <w:szCs w:val="15"/>
              </w:rPr>
              <w:t>pěší prostupnosti lokality, vést pěší trasy tak, aby prezentovaly morfologické a přírodní prvky a vyhlídkové body v krajině, je stanovena z důvodu zajištění citlivého řešení a lokalizace rekreační infrastruktury v</w:t>
            </w:r>
            <w:r>
              <w:rPr>
                <w:sz w:val="15"/>
                <w:szCs w:val="15"/>
              </w:rPr>
              <w:t> </w:t>
            </w:r>
            <w:r w:rsidRPr="00606EF5">
              <w:rPr>
                <w:sz w:val="15"/>
                <w:szCs w:val="15"/>
              </w:rPr>
              <w:t>krajině (cestní sítě, pobytových míst v krajině, drobné architektury).</w:t>
            </w:r>
          </w:p>
          <w:p w14:paraId="1DACD514" w14:textId="1FD73B0C" w:rsidR="005F3739" w:rsidRDefault="005F3739" w:rsidP="003A3351">
            <w:pPr>
              <w:ind w:left="0"/>
              <w:rPr>
                <w:sz w:val="15"/>
                <w:szCs w:val="15"/>
              </w:rPr>
            </w:pPr>
            <w:r w:rsidRPr="0018028F">
              <w:rPr>
                <w:b/>
                <w:bCs/>
                <w:iCs/>
                <w:sz w:val="15"/>
                <w:szCs w:val="15"/>
                <w:u w:val="single"/>
              </w:rPr>
              <w:t xml:space="preserve">V ploše </w:t>
            </w:r>
            <w:r>
              <w:rPr>
                <w:b/>
                <w:sz w:val="15"/>
                <w:szCs w:val="15"/>
                <w:u w:val="single"/>
              </w:rPr>
              <w:t>PU.</w:t>
            </w:r>
            <w:r w:rsidR="00AF7F84">
              <w:rPr>
                <w:b/>
                <w:sz w:val="15"/>
                <w:szCs w:val="15"/>
                <w:u w:val="single"/>
              </w:rPr>
              <w:t>v</w:t>
            </w:r>
            <w:r w:rsidRPr="0018028F">
              <w:rPr>
                <w:bCs/>
                <w:iCs/>
                <w:sz w:val="15"/>
                <w:szCs w:val="15"/>
              </w:rPr>
              <w:t xml:space="preserve"> je stanovena podmínka </w:t>
            </w:r>
            <w:r w:rsidRPr="0018028F">
              <w:rPr>
                <w:sz w:val="15"/>
                <w:szCs w:val="15"/>
              </w:rPr>
              <w:t>pojízdné plochy v minimálních nutných dimenzích, převažující podíl nezpevněných ploch</w:t>
            </w:r>
            <w:r>
              <w:rPr>
                <w:sz w:val="15"/>
                <w:szCs w:val="15"/>
              </w:rPr>
              <w:t xml:space="preserve"> a respektovat morfologii území</w:t>
            </w:r>
            <w:r w:rsidRPr="0018028F">
              <w:rPr>
                <w:sz w:val="15"/>
                <w:szCs w:val="15"/>
              </w:rPr>
              <w:t xml:space="preserve"> z důvodu zachování venkovského charakteru prostranství a kvality obytného prostř</w:t>
            </w:r>
            <w:r>
              <w:rPr>
                <w:sz w:val="15"/>
                <w:szCs w:val="15"/>
              </w:rPr>
              <w:t xml:space="preserve">edí. </w:t>
            </w:r>
            <w:r w:rsidRPr="0018028F">
              <w:rPr>
                <w:sz w:val="15"/>
                <w:szCs w:val="15"/>
              </w:rPr>
              <w:t xml:space="preserve">Prvky drobné architektury by měly být komponovány jako jednotlivá těžiště veřejných prostranství a vzájemně harmonicky dotvářet funkci </w:t>
            </w:r>
            <w:r w:rsidR="009265DF">
              <w:rPr>
                <w:sz w:val="15"/>
                <w:szCs w:val="15"/>
              </w:rPr>
              <w:t>veřejných prostranství</w:t>
            </w:r>
            <w:r w:rsidRPr="0018028F">
              <w:rPr>
                <w:sz w:val="15"/>
                <w:szCs w:val="15"/>
              </w:rPr>
              <w:t>.</w:t>
            </w:r>
          </w:p>
          <w:p w14:paraId="0A7718D7" w14:textId="77777777" w:rsidR="005F3739" w:rsidRPr="00CD5C09" w:rsidRDefault="005F3739" w:rsidP="003A3351">
            <w:pPr>
              <w:ind w:left="0"/>
              <w:rPr>
                <w:sz w:val="15"/>
                <w:szCs w:val="15"/>
              </w:rPr>
            </w:pPr>
            <w:r w:rsidRPr="00ED1F24">
              <w:rPr>
                <w:sz w:val="15"/>
                <w:szCs w:val="15"/>
              </w:rPr>
              <w:t>Je doporučeno zachovávat nezpevněný lem prostranství s ohledem na jeho využití jako funkčního prvku modrozelené infrastruktury a dále s ohledem na rozvoj hodnotného měkkého charakteru venkovských prostranství.</w:t>
            </w:r>
          </w:p>
        </w:tc>
      </w:tr>
      <w:tr w:rsidR="005F3739" w:rsidRPr="00842869" w14:paraId="2FDE5CF4" w14:textId="77777777" w:rsidTr="00BD1D2E">
        <w:tc>
          <w:tcPr>
            <w:tcW w:w="688" w:type="dxa"/>
            <w:vMerge/>
          </w:tcPr>
          <w:p w14:paraId="325C739F" w14:textId="77777777" w:rsidR="005F3739" w:rsidRDefault="005F3739" w:rsidP="003A3351">
            <w:pPr>
              <w:ind w:left="0"/>
              <w:rPr>
                <w:b/>
              </w:rPr>
            </w:pPr>
          </w:p>
        </w:tc>
        <w:tc>
          <w:tcPr>
            <w:tcW w:w="1254" w:type="dxa"/>
          </w:tcPr>
          <w:p w14:paraId="1FCC5C1A" w14:textId="77777777" w:rsidR="005F3739" w:rsidRDefault="005F3739" w:rsidP="003A3351">
            <w:pPr>
              <w:ind w:left="0"/>
              <w:rPr>
                <w:b/>
              </w:rPr>
            </w:pPr>
            <w:r>
              <w:rPr>
                <w:b/>
              </w:rPr>
              <w:t>Uspořádání zástavby</w:t>
            </w:r>
          </w:p>
        </w:tc>
        <w:tc>
          <w:tcPr>
            <w:tcW w:w="6705" w:type="dxa"/>
          </w:tcPr>
          <w:p w14:paraId="7DF613E7" w14:textId="23F184D5" w:rsidR="005F3739" w:rsidRPr="0051655A" w:rsidRDefault="005F3739" w:rsidP="003A3351">
            <w:pPr>
              <w:ind w:left="0"/>
              <w:rPr>
                <w:sz w:val="15"/>
                <w:szCs w:val="15"/>
              </w:rPr>
            </w:pPr>
            <w:r w:rsidRPr="0051655A">
              <w:rPr>
                <w:sz w:val="15"/>
                <w:szCs w:val="15"/>
              </w:rPr>
              <w:t>Charakter zástavby udávají hospodářské dvory okolo návsi</w:t>
            </w:r>
            <w:r>
              <w:rPr>
                <w:sz w:val="15"/>
                <w:szCs w:val="15"/>
              </w:rPr>
              <w:t xml:space="preserve"> různé štítové orientace i kolmé orientace na</w:t>
            </w:r>
            <w:r w:rsidR="003E3CEF">
              <w:rPr>
                <w:sz w:val="15"/>
                <w:szCs w:val="15"/>
              </w:rPr>
              <w:t> </w:t>
            </w:r>
            <w:r>
              <w:rPr>
                <w:sz w:val="15"/>
                <w:szCs w:val="15"/>
              </w:rPr>
              <w:t xml:space="preserve">veřejné prostranství. </w:t>
            </w:r>
            <w:r w:rsidRPr="0051655A">
              <w:rPr>
                <w:sz w:val="15"/>
                <w:szCs w:val="15"/>
              </w:rPr>
              <w:t>Pozemky jsou převážně nepravidelných tvarů, v</w:t>
            </w:r>
            <w:r>
              <w:rPr>
                <w:sz w:val="15"/>
                <w:szCs w:val="15"/>
              </w:rPr>
              <w:t xml:space="preserve"> západním </w:t>
            </w:r>
            <w:r w:rsidRPr="0051655A">
              <w:rPr>
                <w:sz w:val="15"/>
                <w:szCs w:val="15"/>
              </w:rPr>
              <w:t xml:space="preserve">cípu </w:t>
            </w:r>
            <w:r>
              <w:rPr>
                <w:sz w:val="15"/>
                <w:szCs w:val="15"/>
              </w:rPr>
              <w:t>sídla jsou pozemky ortogonální</w:t>
            </w:r>
            <w:r w:rsidRPr="0051655A">
              <w:rPr>
                <w:sz w:val="15"/>
                <w:szCs w:val="15"/>
              </w:rPr>
              <w:t>.</w:t>
            </w:r>
          </w:p>
          <w:p w14:paraId="6466898A" w14:textId="77777777" w:rsidR="005F3739" w:rsidRPr="0018028F" w:rsidRDefault="005F3739" w:rsidP="003A3351">
            <w:pPr>
              <w:ind w:left="0"/>
              <w:rPr>
                <w:sz w:val="15"/>
                <w:szCs w:val="15"/>
              </w:rPr>
            </w:pPr>
            <w:r w:rsidRPr="0018028F">
              <w:rPr>
                <w:sz w:val="15"/>
                <w:szCs w:val="15"/>
              </w:rPr>
              <w:t>Podmínka orientace kPV, sVP je stanovena z důvodu ochrany charakteru zástavby a umožňuje různorodost zástavby při dodržení ortogonálního vztahu k veřejnému prostranství</w:t>
            </w:r>
            <w:r>
              <w:rPr>
                <w:sz w:val="15"/>
                <w:szCs w:val="15"/>
              </w:rPr>
              <w:t>.</w:t>
            </w:r>
          </w:p>
          <w:p w14:paraId="4CB76074" w14:textId="56415013" w:rsidR="005F3739" w:rsidRPr="0018028F" w:rsidRDefault="005F3739" w:rsidP="003A3351">
            <w:pPr>
              <w:ind w:left="0"/>
              <w:rPr>
                <w:sz w:val="15"/>
                <w:szCs w:val="15"/>
              </w:rPr>
            </w:pPr>
            <w:r w:rsidRPr="0018028F">
              <w:rPr>
                <w:sz w:val="15"/>
                <w:szCs w:val="15"/>
              </w:rPr>
              <w:t xml:space="preserve">Podmínka nepřípustnosti řadové zástavby je stanovena z důvodu ochrany jedinečnosti venkovské dvorcově uspořádané struktury, kterou je vhodné doplňovat mimo dvorcové uspořádání </w:t>
            </w:r>
            <w:r>
              <w:rPr>
                <w:sz w:val="15"/>
                <w:szCs w:val="15"/>
              </w:rPr>
              <w:t>samostatnými</w:t>
            </w:r>
            <w:r w:rsidRPr="0018028F">
              <w:rPr>
                <w:sz w:val="15"/>
                <w:szCs w:val="15"/>
              </w:rPr>
              <w:t xml:space="preserve"> objekty na</w:t>
            </w:r>
            <w:r w:rsidR="00A6406B">
              <w:rPr>
                <w:sz w:val="15"/>
                <w:szCs w:val="15"/>
              </w:rPr>
              <w:t> </w:t>
            </w:r>
            <w:r w:rsidRPr="0018028F">
              <w:rPr>
                <w:sz w:val="15"/>
                <w:szCs w:val="15"/>
              </w:rPr>
              <w:t>okraji sídla.</w:t>
            </w:r>
          </w:p>
          <w:p w14:paraId="31FC1C81" w14:textId="77777777" w:rsidR="005F3739" w:rsidRPr="00CD5C09" w:rsidRDefault="005F3739" w:rsidP="003A3351">
            <w:pPr>
              <w:ind w:left="0"/>
              <w:rPr>
                <w:sz w:val="15"/>
                <w:szCs w:val="15"/>
                <w:highlight w:val="yellow"/>
              </w:rPr>
            </w:pPr>
            <w:r w:rsidRPr="0018028F">
              <w:rPr>
                <w:sz w:val="15"/>
                <w:szCs w:val="15"/>
              </w:rPr>
              <w:t>Je doporučeno objekty umísťovat rovnoměrně a s ohledem na pohledově exponovanou polohu.</w:t>
            </w:r>
          </w:p>
        </w:tc>
      </w:tr>
      <w:tr w:rsidR="005F3739" w:rsidRPr="00842869" w14:paraId="50DF30FC" w14:textId="77777777" w:rsidTr="00BD1D2E">
        <w:tc>
          <w:tcPr>
            <w:tcW w:w="688" w:type="dxa"/>
            <w:vMerge/>
          </w:tcPr>
          <w:p w14:paraId="00A0B930" w14:textId="77777777" w:rsidR="005F3739" w:rsidRDefault="005F3739" w:rsidP="003A3351">
            <w:pPr>
              <w:ind w:left="0"/>
              <w:rPr>
                <w:b/>
                <w:sz w:val="28"/>
                <w:szCs w:val="28"/>
              </w:rPr>
            </w:pPr>
          </w:p>
        </w:tc>
        <w:tc>
          <w:tcPr>
            <w:tcW w:w="1254" w:type="dxa"/>
          </w:tcPr>
          <w:p w14:paraId="30ED10EC" w14:textId="77777777" w:rsidR="005F3739" w:rsidRPr="00B960DF" w:rsidRDefault="005F3739" w:rsidP="003A3351">
            <w:pPr>
              <w:ind w:left="0"/>
              <w:rPr>
                <w:b/>
              </w:rPr>
            </w:pPr>
            <w:r>
              <w:rPr>
                <w:b/>
              </w:rPr>
              <w:t>Uspořádání přírodních prvků</w:t>
            </w:r>
          </w:p>
        </w:tc>
        <w:tc>
          <w:tcPr>
            <w:tcW w:w="6705" w:type="dxa"/>
          </w:tcPr>
          <w:p w14:paraId="11AF0734" w14:textId="5D6F7537" w:rsidR="005F3739" w:rsidRPr="00CD5C09" w:rsidRDefault="005F3739" w:rsidP="003A3351">
            <w:pPr>
              <w:ind w:left="0"/>
              <w:rPr>
                <w:sz w:val="15"/>
                <w:szCs w:val="15"/>
              </w:rPr>
            </w:pPr>
            <w:r w:rsidRPr="0051655A">
              <w:rPr>
                <w:sz w:val="15"/>
                <w:szCs w:val="15"/>
              </w:rPr>
              <w:t xml:space="preserve">Charakter lokality představuje </w:t>
            </w:r>
            <w:r>
              <w:rPr>
                <w:sz w:val="15"/>
                <w:szCs w:val="15"/>
              </w:rPr>
              <w:t>rovinná zemědělská krajina a přírodní park Údolí Bystřice. Orná půda je II.,</w:t>
            </w:r>
            <w:r w:rsidR="002D09D9">
              <w:rPr>
                <w:sz w:val="15"/>
                <w:szCs w:val="15"/>
              </w:rPr>
              <w:t> </w:t>
            </w:r>
            <w:r>
              <w:rPr>
                <w:sz w:val="15"/>
                <w:szCs w:val="15"/>
              </w:rPr>
              <w:t>III. a V. třídy ochrany ZPF. Na okrajích lokality přechází zemědělská půda v les.</w:t>
            </w:r>
          </w:p>
          <w:p w14:paraId="02B4103A" w14:textId="77777777" w:rsidR="005F3739" w:rsidRPr="002621D6" w:rsidRDefault="005F3739" w:rsidP="003A3351">
            <w:pPr>
              <w:ind w:left="0"/>
              <w:rPr>
                <w:sz w:val="15"/>
                <w:szCs w:val="15"/>
              </w:rPr>
            </w:pPr>
            <w:r>
              <w:rPr>
                <w:sz w:val="15"/>
                <w:szCs w:val="15"/>
              </w:rPr>
              <w:t>P</w:t>
            </w:r>
            <w:r w:rsidRPr="001F01A6">
              <w:rPr>
                <w:sz w:val="15"/>
                <w:szCs w:val="15"/>
              </w:rPr>
              <w:t>odmínk</w:t>
            </w:r>
            <w:r>
              <w:rPr>
                <w:sz w:val="15"/>
                <w:szCs w:val="15"/>
              </w:rPr>
              <w:t>y</w:t>
            </w:r>
            <w:r w:rsidRPr="001F01A6">
              <w:rPr>
                <w:sz w:val="15"/>
                <w:szCs w:val="15"/>
              </w:rPr>
              <w:t xml:space="preserve"> stromořadí podél ploch dopravních</w:t>
            </w:r>
            <w:r>
              <w:rPr>
                <w:sz w:val="15"/>
                <w:szCs w:val="15"/>
              </w:rPr>
              <w:t>, v blízkosti pěších tras, v terénních zářezech a v trasách interakčních prvků jsou stanoveny z důvodu ochrany a rozvoje</w:t>
            </w:r>
            <w:r w:rsidRPr="001F01A6">
              <w:rPr>
                <w:sz w:val="15"/>
                <w:szCs w:val="15"/>
              </w:rPr>
              <w:t xml:space="preserve"> charakte</w:t>
            </w:r>
            <w:r>
              <w:rPr>
                <w:sz w:val="15"/>
                <w:szCs w:val="15"/>
              </w:rPr>
              <w:t>ru a krajinného rázu lokality, ochraně před erozí a </w:t>
            </w:r>
            <w:r w:rsidRPr="001F01A6">
              <w:rPr>
                <w:sz w:val="15"/>
                <w:szCs w:val="15"/>
              </w:rPr>
              <w:t>stabilizaci vodního režimu krajiny.</w:t>
            </w:r>
            <w:r>
              <w:rPr>
                <w:sz w:val="15"/>
                <w:szCs w:val="15"/>
              </w:rPr>
              <w:t xml:space="preserve"> </w:t>
            </w:r>
            <w:r w:rsidRPr="00BF022B">
              <w:rPr>
                <w:sz w:val="15"/>
                <w:szCs w:val="15"/>
              </w:rPr>
              <w:t>Je doporučeno využívání místních dřevin.</w:t>
            </w:r>
          </w:p>
        </w:tc>
      </w:tr>
      <w:tr w:rsidR="005F3739" w:rsidRPr="009D4DBB" w14:paraId="38A85A75" w14:textId="77777777" w:rsidTr="00BD1D2E">
        <w:trPr>
          <w:trHeight w:val="4222"/>
        </w:trPr>
        <w:tc>
          <w:tcPr>
            <w:tcW w:w="688" w:type="dxa"/>
            <w:vMerge/>
          </w:tcPr>
          <w:p w14:paraId="1D6726AE" w14:textId="77777777" w:rsidR="005F3739" w:rsidRDefault="005F3739" w:rsidP="003A3351">
            <w:pPr>
              <w:ind w:left="0"/>
              <w:rPr>
                <w:b/>
                <w:sz w:val="28"/>
                <w:szCs w:val="28"/>
              </w:rPr>
            </w:pPr>
          </w:p>
        </w:tc>
        <w:tc>
          <w:tcPr>
            <w:tcW w:w="1254" w:type="dxa"/>
          </w:tcPr>
          <w:p w14:paraId="19439BF5" w14:textId="77777777" w:rsidR="005F3739" w:rsidRPr="00B960DF" w:rsidRDefault="005F3739" w:rsidP="003A3351">
            <w:pPr>
              <w:ind w:left="0"/>
              <w:rPr>
                <w:b/>
              </w:rPr>
            </w:pPr>
            <w:r>
              <w:rPr>
                <w:b/>
              </w:rPr>
              <w:t>Specifické uspořádání</w:t>
            </w:r>
          </w:p>
        </w:tc>
        <w:tc>
          <w:tcPr>
            <w:tcW w:w="6705" w:type="dxa"/>
          </w:tcPr>
          <w:p w14:paraId="51C2C910" w14:textId="77777777" w:rsidR="005F3739" w:rsidRPr="00CD5C09" w:rsidRDefault="005F3739" w:rsidP="003A3351">
            <w:pPr>
              <w:ind w:left="0"/>
              <w:rPr>
                <w:sz w:val="15"/>
                <w:szCs w:val="15"/>
              </w:rPr>
            </w:pPr>
            <w:r>
              <w:rPr>
                <w:sz w:val="15"/>
                <w:szCs w:val="15"/>
              </w:rPr>
              <w:t>-</w:t>
            </w:r>
          </w:p>
        </w:tc>
      </w:tr>
    </w:tbl>
    <w:p w14:paraId="1EACA52F" w14:textId="77777777" w:rsidR="00BD1D2E" w:rsidRDefault="00BD1D2E">
      <w:pPr>
        <w:spacing w:before="0" w:after="0"/>
        <w:ind w:left="0"/>
        <w:jc w:val="left"/>
        <w:rPr>
          <w:b/>
          <w:sz w:val="15"/>
          <w:szCs w:val="15"/>
        </w:rPr>
      </w:pPr>
      <w:r>
        <w:rPr>
          <w:b/>
          <w:sz w:val="15"/>
          <w:szCs w:val="15"/>
        </w:rPr>
        <w:br w:type="page"/>
      </w:r>
    </w:p>
    <w:tbl>
      <w:tblPr>
        <w:tblStyle w:val="Motivtabulky"/>
        <w:tblW w:w="8647" w:type="dxa"/>
        <w:tblBorders>
          <w:top w:val="dashSmallGap" w:sz="4" w:space="0" w:color="auto"/>
          <w:bottom w:val="dashSmallGap" w:sz="4" w:space="0" w:color="auto"/>
          <w:insideH w:val="dashSmallGap" w:sz="4" w:space="0" w:color="auto"/>
        </w:tblBorders>
        <w:tblLook w:val="04A0" w:firstRow="1" w:lastRow="0" w:firstColumn="1" w:lastColumn="0" w:noHBand="0" w:noVBand="1"/>
      </w:tblPr>
      <w:tblGrid>
        <w:gridCol w:w="688"/>
        <w:gridCol w:w="1254"/>
        <w:gridCol w:w="6705"/>
      </w:tblGrid>
      <w:tr w:rsidR="005F3739" w14:paraId="404E3562" w14:textId="77777777" w:rsidTr="00BD1D2E">
        <w:tc>
          <w:tcPr>
            <w:tcW w:w="1942" w:type="dxa"/>
            <w:gridSpan w:val="2"/>
          </w:tcPr>
          <w:p w14:paraId="107D35DF" w14:textId="3F0BA309" w:rsidR="005F3739" w:rsidRPr="00BA51FB" w:rsidRDefault="005F3739" w:rsidP="003A3351">
            <w:pPr>
              <w:ind w:left="0"/>
              <w:rPr>
                <w:b/>
                <w:sz w:val="24"/>
              </w:rPr>
            </w:pPr>
            <w:r>
              <w:rPr>
                <w:b/>
                <w:sz w:val="24"/>
              </w:rPr>
              <w:lastRenderedPageBreak/>
              <w:t>L.</w:t>
            </w:r>
            <w:r w:rsidR="00BD1D2E">
              <w:rPr>
                <w:b/>
                <w:sz w:val="24"/>
              </w:rPr>
              <w:t>0</w:t>
            </w:r>
            <w:r>
              <w:rPr>
                <w:b/>
                <w:sz w:val="24"/>
              </w:rPr>
              <w:t>5</w:t>
            </w:r>
          </w:p>
        </w:tc>
        <w:tc>
          <w:tcPr>
            <w:tcW w:w="6705" w:type="dxa"/>
            <w:vAlign w:val="bottom"/>
          </w:tcPr>
          <w:p w14:paraId="2E885C6B" w14:textId="77777777" w:rsidR="005F3739" w:rsidRPr="00BA51FB" w:rsidRDefault="005F3739" w:rsidP="003A3351">
            <w:pPr>
              <w:ind w:left="0"/>
              <w:rPr>
                <w:b/>
                <w:sz w:val="28"/>
                <w:szCs w:val="28"/>
              </w:rPr>
            </w:pPr>
            <w:r>
              <w:rPr>
                <w:b/>
                <w:sz w:val="24"/>
              </w:rPr>
              <w:t>V Podlesí</w:t>
            </w:r>
            <w:r w:rsidRPr="00BA51FB">
              <w:rPr>
                <w:b/>
                <w:sz w:val="24"/>
              </w:rPr>
              <w:tab/>
            </w:r>
          </w:p>
        </w:tc>
      </w:tr>
      <w:tr w:rsidR="005F3739" w14:paraId="523EE8BA" w14:textId="77777777" w:rsidTr="00BD1D2E">
        <w:tc>
          <w:tcPr>
            <w:tcW w:w="8647" w:type="dxa"/>
            <w:gridSpan w:val="3"/>
            <w:vAlign w:val="bottom"/>
          </w:tcPr>
          <w:p w14:paraId="1362D981" w14:textId="77777777" w:rsidR="005F3739" w:rsidRDefault="005F3739" w:rsidP="003A3351">
            <w:pPr>
              <w:ind w:left="0"/>
            </w:pPr>
            <w:r>
              <w:t>Ves při bezejmenném potoku v údolí Bystřice</w:t>
            </w:r>
          </w:p>
        </w:tc>
      </w:tr>
      <w:tr w:rsidR="005F3739" w14:paraId="06582520" w14:textId="77777777" w:rsidTr="00BD1D2E">
        <w:tc>
          <w:tcPr>
            <w:tcW w:w="1942" w:type="dxa"/>
            <w:gridSpan w:val="2"/>
          </w:tcPr>
          <w:p w14:paraId="5273109E" w14:textId="77777777" w:rsidR="005F3739" w:rsidRDefault="005F3739" w:rsidP="003A3351">
            <w:pPr>
              <w:ind w:left="0"/>
              <w:rPr>
                <w:b/>
                <w:sz w:val="28"/>
                <w:szCs w:val="28"/>
              </w:rPr>
            </w:pPr>
            <w:r w:rsidRPr="00CB1ACC">
              <w:rPr>
                <w:b/>
              </w:rPr>
              <w:t>Vymezení</w:t>
            </w:r>
          </w:p>
        </w:tc>
        <w:tc>
          <w:tcPr>
            <w:tcW w:w="6705" w:type="dxa"/>
          </w:tcPr>
          <w:p w14:paraId="23517091" w14:textId="77777777" w:rsidR="005F3739" w:rsidRPr="00CD5C09" w:rsidRDefault="005F3739" w:rsidP="003A3351">
            <w:pPr>
              <w:ind w:left="0"/>
              <w:rPr>
                <w:sz w:val="15"/>
                <w:szCs w:val="15"/>
                <w:highlight w:val="yellow"/>
              </w:rPr>
            </w:pPr>
            <w:r w:rsidRPr="00CD5C09">
              <w:rPr>
                <w:sz w:val="15"/>
                <w:szCs w:val="15"/>
              </w:rPr>
              <w:t xml:space="preserve">Lokalita je definována </w:t>
            </w:r>
            <w:r>
              <w:rPr>
                <w:sz w:val="15"/>
                <w:szCs w:val="15"/>
              </w:rPr>
              <w:t>krajinným rozhraním údolí Bystřice a údolím bezejmenného potoku.</w:t>
            </w:r>
          </w:p>
        </w:tc>
      </w:tr>
      <w:tr w:rsidR="005F3739" w:rsidRPr="00842869" w14:paraId="0249A532" w14:textId="77777777" w:rsidTr="00BD1D2E">
        <w:tc>
          <w:tcPr>
            <w:tcW w:w="688" w:type="dxa"/>
            <w:vMerge w:val="restart"/>
            <w:textDirection w:val="btLr"/>
          </w:tcPr>
          <w:p w14:paraId="7E94E3CF" w14:textId="77777777" w:rsidR="005F3739" w:rsidRPr="00B960DF" w:rsidRDefault="005F3739" w:rsidP="003A3351">
            <w:pPr>
              <w:ind w:left="113" w:right="113"/>
              <w:jc w:val="right"/>
              <w:rPr>
                <w:b/>
              </w:rPr>
            </w:pPr>
            <w:r>
              <w:rPr>
                <w:b/>
              </w:rPr>
              <w:t>Prvky</w:t>
            </w:r>
          </w:p>
        </w:tc>
        <w:tc>
          <w:tcPr>
            <w:tcW w:w="1254" w:type="dxa"/>
          </w:tcPr>
          <w:p w14:paraId="30F47C54" w14:textId="77777777" w:rsidR="005F3739" w:rsidRPr="00B960DF" w:rsidRDefault="005F3739" w:rsidP="003A3351">
            <w:pPr>
              <w:ind w:left="0"/>
              <w:rPr>
                <w:b/>
              </w:rPr>
            </w:pPr>
            <w:r w:rsidRPr="00B960DF">
              <w:rPr>
                <w:b/>
              </w:rPr>
              <w:t>Plošné řešení zástavby</w:t>
            </w:r>
          </w:p>
        </w:tc>
        <w:tc>
          <w:tcPr>
            <w:tcW w:w="6705" w:type="dxa"/>
          </w:tcPr>
          <w:p w14:paraId="2E526D5F" w14:textId="0D040884" w:rsidR="005F3739" w:rsidRPr="00E54607" w:rsidRDefault="005F3739" w:rsidP="003A3351">
            <w:pPr>
              <w:ind w:left="0"/>
              <w:rPr>
                <w:sz w:val="15"/>
                <w:szCs w:val="15"/>
              </w:rPr>
            </w:pPr>
            <w:r w:rsidRPr="00E54607">
              <w:rPr>
                <w:sz w:val="15"/>
                <w:szCs w:val="15"/>
              </w:rPr>
              <w:t xml:space="preserve">Charakter zástavby </w:t>
            </w:r>
            <w:r w:rsidR="00272CEA" w:rsidRPr="00E54607">
              <w:rPr>
                <w:sz w:val="15"/>
                <w:szCs w:val="15"/>
              </w:rPr>
              <w:t>udávají rodinné</w:t>
            </w:r>
            <w:r w:rsidRPr="00E54607">
              <w:rPr>
                <w:sz w:val="15"/>
                <w:szCs w:val="15"/>
              </w:rPr>
              <w:t xml:space="preserve"> domy s poměrem stran pohybujícím se mezi cca 1:1 až cca do 1:2,5. Vzhledem k různorodosti stávající zástavby není stanovena podmínka plošného řešení.</w:t>
            </w:r>
          </w:p>
          <w:p w14:paraId="2B3A9A99" w14:textId="77777777" w:rsidR="005F3739" w:rsidRPr="00E54607" w:rsidRDefault="005F3739" w:rsidP="003A3351">
            <w:pPr>
              <w:ind w:left="0"/>
              <w:rPr>
                <w:sz w:val="15"/>
                <w:szCs w:val="15"/>
              </w:rPr>
            </w:pPr>
            <w:r w:rsidRPr="00E54607">
              <w:rPr>
                <w:sz w:val="15"/>
                <w:szCs w:val="15"/>
              </w:rPr>
              <w:t>Je doporučeno při plošném řešení zástavby respektovat terénní podmínky.</w:t>
            </w:r>
          </w:p>
        </w:tc>
      </w:tr>
      <w:tr w:rsidR="005F3739" w:rsidRPr="004B4D78" w14:paraId="556B6856" w14:textId="77777777" w:rsidTr="00BD1D2E">
        <w:tc>
          <w:tcPr>
            <w:tcW w:w="688" w:type="dxa"/>
            <w:vMerge/>
          </w:tcPr>
          <w:p w14:paraId="5E5318D3" w14:textId="77777777" w:rsidR="005F3739" w:rsidRDefault="005F3739" w:rsidP="003A3351">
            <w:pPr>
              <w:ind w:left="0"/>
              <w:rPr>
                <w:b/>
              </w:rPr>
            </w:pPr>
          </w:p>
        </w:tc>
        <w:tc>
          <w:tcPr>
            <w:tcW w:w="1254" w:type="dxa"/>
          </w:tcPr>
          <w:p w14:paraId="34EC3032" w14:textId="77777777" w:rsidR="005F3739" w:rsidRPr="00B960DF" w:rsidRDefault="005F3739" w:rsidP="003A3351">
            <w:pPr>
              <w:ind w:left="0"/>
              <w:rPr>
                <w:b/>
              </w:rPr>
            </w:pPr>
            <w:r w:rsidRPr="00B960DF">
              <w:rPr>
                <w:b/>
              </w:rPr>
              <w:t>Výškové řešení zástavby</w:t>
            </w:r>
          </w:p>
        </w:tc>
        <w:tc>
          <w:tcPr>
            <w:tcW w:w="6705" w:type="dxa"/>
          </w:tcPr>
          <w:p w14:paraId="6401BAF7" w14:textId="77777777" w:rsidR="005F3739" w:rsidRPr="00E54607" w:rsidRDefault="005F3739" w:rsidP="003A3351">
            <w:pPr>
              <w:ind w:left="0"/>
              <w:rPr>
                <w:sz w:val="15"/>
                <w:szCs w:val="15"/>
              </w:rPr>
            </w:pPr>
            <w:r w:rsidRPr="00E54607">
              <w:rPr>
                <w:sz w:val="15"/>
                <w:szCs w:val="15"/>
              </w:rPr>
              <w:t>Zástavbu tvoří převážně objekty o 2 NP, resp. s přízemím a podkrovím, místy se vyskytují budovy o 3NP, resp. o 2NP a podkrovím. Charakter střešní krajiny tvoří převážně střechy šikmé – sedlové, ojediněle se vyskytují i střechy valbové, polovalbové a ploché.</w:t>
            </w:r>
          </w:p>
          <w:p w14:paraId="316E768A" w14:textId="72FBFC18" w:rsidR="005F3739" w:rsidRPr="00E54607" w:rsidRDefault="005F3739" w:rsidP="003A3351">
            <w:pPr>
              <w:ind w:left="0"/>
              <w:rPr>
                <w:sz w:val="15"/>
                <w:szCs w:val="15"/>
              </w:rPr>
            </w:pPr>
            <w:r w:rsidRPr="00E54607">
              <w:rPr>
                <w:sz w:val="15"/>
                <w:szCs w:val="15"/>
              </w:rPr>
              <w:t xml:space="preserve">Podmínka max. </w:t>
            </w:r>
            <w:r w:rsidR="00272CEA">
              <w:rPr>
                <w:sz w:val="15"/>
                <w:szCs w:val="15"/>
              </w:rPr>
              <w:t>2</w:t>
            </w:r>
            <w:r w:rsidRPr="00E54607">
              <w:rPr>
                <w:sz w:val="15"/>
                <w:szCs w:val="15"/>
              </w:rPr>
              <w:t xml:space="preserve"> NP je stanovena z důvodu ochrany charakteru urbanisticky hodnotné venkovské zástavby a obrazu sídla v krajině. </w:t>
            </w:r>
          </w:p>
          <w:p w14:paraId="75C659AE" w14:textId="77777777" w:rsidR="005F3739" w:rsidRPr="00E54607" w:rsidRDefault="005F3739" w:rsidP="003A3351">
            <w:pPr>
              <w:ind w:left="0"/>
              <w:rPr>
                <w:sz w:val="15"/>
                <w:szCs w:val="15"/>
              </w:rPr>
            </w:pPr>
            <w:r w:rsidRPr="00E54607">
              <w:rPr>
                <w:sz w:val="15"/>
                <w:szCs w:val="15"/>
              </w:rPr>
              <w:t>Podmínka typické střešní krajiny zástavby je stanovena z důvodu ochrany charakteru hodnotného osídlení v nivě řeky.</w:t>
            </w:r>
          </w:p>
        </w:tc>
      </w:tr>
      <w:tr w:rsidR="005F3739" w:rsidRPr="00842869" w14:paraId="7960E2F7" w14:textId="77777777" w:rsidTr="00BD1D2E">
        <w:tc>
          <w:tcPr>
            <w:tcW w:w="688" w:type="dxa"/>
            <w:vMerge/>
          </w:tcPr>
          <w:p w14:paraId="148E9C76" w14:textId="77777777" w:rsidR="005F3739" w:rsidRDefault="005F3739" w:rsidP="003A3351">
            <w:pPr>
              <w:ind w:left="0"/>
              <w:rPr>
                <w:b/>
              </w:rPr>
            </w:pPr>
          </w:p>
        </w:tc>
        <w:tc>
          <w:tcPr>
            <w:tcW w:w="1254" w:type="dxa"/>
          </w:tcPr>
          <w:p w14:paraId="3E151FF4" w14:textId="77777777" w:rsidR="005F3739" w:rsidRPr="00B960DF" w:rsidRDefault="005F3739" w:rsidP="003A3351">
            <w:pPr>
              <w:ind w:left="0"/>
              <w:rPr>
                <w:b/>
              </w:rPr>
            </w:pPr>
            <w:r>
              <w:rPr>
                <w:b/>
              </w:rPr>
              <w:t>Charakter přírodních prvků</w:t>
            </w:r>
          </w:p>
        </w:tc>
        <w:tc>
          <w:tcPr>
            <w:tcW w:w="6705" w:type="dxa"/>
          </w:tcPr>
          <w:p w14:paraId="4B779940" w14:textId="77777777" w:rsidR="005F3739" w:rsidRPr="00E54607" w:rsidRDefault="005F3739" w:rsidP="003A3351">
            <w:pPr>
              <w:ind w:left="0"/>
              <w:rPr>
                <w:sz w:val="15"/>
                <w:szCs w:val="15"/>
              </w:rPr>
            </w:pPr>
            <w:r w:rsidRPr="00E54607">
              <w:rPr>
                <w:sz w:val="15"/>
                <w:szCs w:val="15"/>
              </w:rPr>
              <w:t>Přírodní prvky zastavěného území tvoří dřeviny, rostliny a zatravněné plochy jako součást zahrad a veřejných prostranství. Přírodní prvky nezastavěného území tvoří zejména zemědělská půda a lesní plochy ve svahu údolí bezejmenného potoka.</w:t>
            </w:r>
          </w:p>
          <w:p w14:paraId="463EFC46" w14:textId="77777777" w:rsidR="005F3739" w:rsidRPr="00344AF6" w:rsidRDefault="005F3739" w:rsidP="003A3351">
            <w:pPr>
              <w:ind w:left="0"/>
              <w:rPr>
                <w:color w:val="FF0000"/>
                <w:sz w:val="15"/>
                <w:szCs w:val="15"/>
              </w:rPr>
            </w:pPr>
            <w:r w:rsidRPr="00E54607">
              <w:rPr>
                <w:sz w:val="15"/>
                <w:szCs w:val="15"/>
              </w:rPr>
              <w:t>Je doporučeno využívání místních dřevin.</w:t>
            </w:r>
          </w:p>
        </w:tc>
      </w:tr>
      <w:tr w:rsidR="005F3739" w:rsidRPr="00842869" w14:paraId="79081355" w14:textId="77777777" w:rsidTr="00BD1D2E">
        <w:tc>
          <w:tcPr>
            <w:tcW w:w="688" w:type="dxa"/>
            <w:vMerge/>
          </w:tcPr>
          <w:p w14:paraId="14F02042" w14:textId="77777777" w:rsidR="005F3739" w:rsidRDefault="005F3739" w:rsidP="003A3351">
            <w:pPr>
              <w:ind w:left="0"/>
              <w:rPr>
                <w:b/>
              </w:rPr>
            </w:pPr>
          </w:p>
        </w:tc>
        <w:tc>
          <w:tcPr>
            <w:tcW w:w="1254" w:type="dxa"/>
          </w:tcPr>
          <w:p w14:paraId="5B1247A3" w14:textId="77777777" w:rsidR="005F3739" w:rsidRPr="00B960DF" w:rsidRDefault="005F3739" w:rsidP="003A3351">
            <w:pPr>
              <w:ind w:left="0"/>
              <w:rPr>
                <w:b/>
              </w:rPr>
            </w:pPr>
            <w:r>
              <w:rPr>
                <w:b/>
              </w:rPr>
              <w:t>Specifické prvky</w:t>
            </w:r>
          </w:p>
        </w:tc>
        <w:tc>
          <w:tcPr>
            <w:tcW w:w="6705" w:type="dxa"/>
          </w:tcPr>
          <w:p w14:paraId="675312E0" w14:textId="77777777" w:rsidR="005F3739" w:rsidRPr="00E54607" w:rsidRDefault="005F3739" w:rsidP="003A3351">
            <w:pPr>
              <w:ind w:left="0"/>
              <w:rPr>
                <w:sz w:val="16"/>
                <w:szCs w:val="16"/>
              </w:rPr>
            </w:pPr>
            <w:r w:rsidRPr="00E54607">
              <w:rPr>
                <w:sz w:val="15"/>
                <w:szCs w:val="15"/>
              </w:rPr>
              <w:t>V lokalitě se nevyskytují specifické prvky.</w:t>
            </w:r>
          </w:p>
        </w:tc>
      </w:tr>
      <w:tr w:rsidR="005F3739" w:rsidRPr="00842869" w14:paraId="57C0C142" w14:textId="77777777" w:rsidTr="00BD1D2E">
        <w:tc>
          <w:tcPr>
            <w:tcW w:w="688" w:type="dxa"/>
            <w:vMerge w:val="restart"/>
            <w:textDirection w:val="btLr"/>
          </w:tcPr>
          <w:p w14:paraId="45DA9CAA" w14:textId="77777777" w:rsidR="005F3739" w:rsidRDefault="005F3739" w:rsidP="003A3351">
            <w:pPr>
              <w:ind w:left="113" w:right="113"/>
              <w:jc w:val="right"/>
              <w:rPr>
                <w:b/>
              </w:rPr>
            </w:pPr>
            <w:r>
              <w:rPr>
                <w:b/>
              </w:rPr>
              <w:t>Uspořádání</w:t>
            </w:r>
          </w:p>
        </w:tc>
        <w:tc>
          <w:tcPr>
            <w:tcW w:w="1254" w:type="dxa"/>
          </w:tcPr>
          <w:p w14:paraId="6EB8F81A" w14:textId="77777777" w:rsidR="005F3739" w:rsidRPr="00EA09F0" w:rsidRDefault="005F3739" w:rsidP="003A3351">
            <w:pPr>
              <w:ind w:left="0"/>
              <w:jc w:val="left"/>
              <w:rPr>
                <w:b/>
              </w:rPr>
            </w:pPr>
            <w:r w:rsidRPr="00EA09F0">
              <w:rPr>
                <w:b/>
              </w:rPr>
              <w:t>Velikost a zastavitelnost pozemků</w:t>
            </w:r>
          </w:p>
        </w:tc>
        <w:tc>
          <w:tcPr>
            <w:tcW w:w="6705" w:type="dxa"/>
          </w:tcPr>
          <w:p w14:paraId="4912EF30" w14:textId="77777777" w:rsidR="005F3739" w:rsidRDefault="005F3739" w:rsidP="003A3351">
            <w:pPr>
              <w:ind w:left="0"/>
              <w:contextualSpacing/>
              <w:rPr>
                <w:sz w:val="15"/>
                <w:szCs w:val="15"/>
              </w:rPr>
            </w:pPr>
            <w:r w:rsidRPr="00EA09F0">
              <w:rPr>
                <w:sz w:val="15"/>
                <w:szCs w:val="15"/>
              </w:rPr>
              <w:t xml:space="preserve">Typická </w:t>
            </w:r>
            <w:r>
              <w:rPr>
                <w:sz w:val="15"/>
                <w:szCs w:val="15"/>
              </w:rPr>
              <w:t>velikost</w:t>
            </w:r>
            <w:r w:rsidRPr="00EA09F0">
              <w:rPr>
                <w:sz w:val="15"/>
                <w:szCs w:val="15"/>
              </w:rPr>
              <w:t xml:space="preserve"> pozemků je cca od 350 do cca 3000 m</w:t>
            </w:r>
            <w:r w:rsidRPr="00EA09F0">
              <w:rPr>
                <w:sz w:val="15"/>
                <w:szCs w:val="15"/>
                <w:vertAlign w:val="superscript"/>
              </w:rPr>
              <w:t>2</w:t>
            </w:r>
            <w:r w:rsidRPr="00EA09F0">
              <w:rPr>
                <w:sz w:val="15"/>
                <w:szCs w:val="15"/>
              </w:rPr>
              <w:t>, s typickou velikostí pozemků cca 800 m</w:t>
            </w:r>
            <w:r w:rsidRPr="00EA09F0">
              <w:rPr>
                <w:sz w:val="15"/>
                <w:szCs w:val="15"/>
                <w:vertAlign w:val="superscript"/>
              </w:rPr>
              <w:t xml:space="preserve">2 </w:t>
            </w:r>
            <w:r w:rsidRPr="00EA09F0">
              <w:rPr>
                <w:sz w:val="15"/>
                <w:szCs w:val="15"/>
              </w:rPr>
              <w:t>s průměrnou typickou zastavitelností 10-20%. Typickým zástupcem zástavby je např. RD č.p. 661 o ZP HS cca 130 m</w:t>
            </w:r>
            <w:r w:rsidRPr="00EA09F0">
              <w:rPr>
                <w:sz w:val="15"/>
                <w:szCs w:val="15"/>
                <w:vertAlign w:val="superscript"/>
              </w:rPr>
              <w:t>2</w:t>
            </w:r>
            <w:r w:rsidRPr="00EA09F0">
              <w:rPr>
                <w:sz w:val="15"/>
                <w:szCs w:val="15"/>
              </w:rPr>
              <w:t xml:space="preserve"> na pozemku cca 850 m</w:t>
            </w:r>
            <w:r w:rsidRPr="00EA09F0">
              <w:rPr>
                <w:sz w:val="15"/>
                <w:szCs w:val="15"/>
                <w:vertAlign w:val="superscript"/>
              </w:rPr>
              <w:t>2</w:t>
            </w:r>
            <w:r w:rsidRPr="00EA09F0">
              <w:rPr>
                <w:sz w:val="15"/>
                <w:szCs w:val="15"/>
              </w:rPr>
              <w:t xml:space="preserve"> (zastavitelnost cca 15%). V jádru lokality se nachází zástavba se zastavěností až 52%.</w:t>
            </w:r>
          </w:p>
          <w:p w14:paraId="766ED415" w14:textId="77777777" w:rsidR="005F3739" w:rsidRPr="00EA09F0" w:rsidRDefault="005F3739" w:rsidP="003A3351">
            <w:pPr>
              <w:ind w:left="0"/>
              <w:contextualSpacing/>
              <w:rPr>
                <w:sz w:val="15"/>
                <w:szCs w:val="15"/>
              </w:rPr>
            </w:pPr>
          </w:p>
          <w:p w14:paraId="14CB2D0E" w14:textId="745F738E" w:rsidR="005F3739" w:rsidRPr="00EA09F0" w:rsidRDefault="005F3739" w:rsidP="003A3351">
            <w:pPr>
              <w:ind w:left="0"/>
              <w:rPr>
                <w:sz w:val="15"/>
                <w:szCs w:val="15"/>
              </w:rPr>
            </w:pPr>
            <w:r w:rsidRPr="00EA09F0">
              <w:rPr>
                <w:sz w:val="15"/>
                <w:szCs w:val="15"/>
              </w:rPr>
              <w:t>Pro celou lokalitu je stanoven HS=0,2</w:t>
            </w:r>
            <w:r w:rsidR="00272CEA">
              <w:rPr>
                <w:sz w:val="15"/>
                <w:szCs w:val="15"/>
              </w:rPr>
              <w:t>0</w:t>
            </w:r>
            <w:r>
              <w:rPr>
                <w:sz w:val="15"/>
                <w:szCs w:val="15"/>
              </w:rPr>
              <w:t xml:space="preserve"> pro hlavní stavb</w:t>
            </w:r>
            <w:r w:rsidRPr="00EA09F0">
              <w:rPr>
                <w:sz w:val="15"/>
                <w:szCs w:val="15"/>
              </w:rPr>
              <w:t>u tak, aby intenzita využití území respektovala charakter území. Zastavitelnost je stanovena jako maximální pro udržení charakteru venkovské zástavby. KN=0,</w:t>
            </w:r>
            <w:r w:rsidR="00272CEA">
              <w:rPr>
                <w:sz w:val="15"/>
                <w:szCs w:val="15"/>
              </w:rPr>
              <w:t>60</w:t>
            </w:r>
            <w:r w:rsidRPr="00EA09F0">
              <w:rPr>
                <w:sz w:val="15"/>
                <w:szCs w:val="15"/>
              </w:rPr>
              <w:t xml:space="preserve"> zajišťuje plochu zahrady určenou pro vsakování a retenci v území.</w:t>
            </w:r>
          </w:p>
          <w:p w14:paraId="518C3CA4" w14:textId="77777777" w:rsidR="005F3739" w:rsidRPr="00EA09F0" w:rsidRDefault="005F3739" w:rsidP="003A3351">
            <w:pPr>
              <w:ind w:left="0"/>
              <w:rPr>
                <w:iCs/>
                <w:sz w:val="15"/>
                <w:szCs w:val="15"/>
              </w:rPr>
            </w:pPr>
            <w:r w:rsidRPr="00EA09F0">
              <w:rPr>
                <w:b/>
                <w:iCs/>
                <w:sz w:val="15"/>
                <w:szCs w:val="15"/>
                <w:u w:val="single"/>
              </w:rPr>
              <w:t>V ploše rekreace individuální (RI)</w:t>
            </w:r>
            <w:r w:rsidRPr="00EA09F0">
              <w:rPr>
                <w:bCs/>
                <w:iCs/>
                <w:sz w:val="15"/>
                <w:szCs w:val="15"/>
              </w:rPr>
              <w:t xml:space="preserve"> </w:t>
            </w:r>
            <w:r w:rsidRPr="00EA09F0">
              <w:rPr>
                <w:iCs/>
                <w:sz w:val="15"/>
                <w:szCs w:val="15"/>
              </w:rPr>
              <w:t>je stanovena zastavitelnost pozemku rekreační zástavby max. 40 m</w:t>
            </w:r>
            <w:r w:rsidRPr="00272CEA">
              <w:rPr>
                <w:iCs/>
                <w:sz w:val="15"/>
                <w:szCs w:val="15"/>
                <w:vertAlign w:val="superscript"/>
              </w:rPr>
              <w:t>2</w:t>
            </w:r>
            <w:r w:rsidRPr="00EA09F0">
              <w:rPr>
                <w:iCs/>
                <w:sz w:val="15"/>
                <w:szCs w:val="15"/>
              </w:rPr>
              <w:t xml:space="preserve"> z důvodu přiměřené možnosti využití stávajících pozemků individuální rekreace při minimalizaci negativního dopadu na ochranu přírody a krajiny.</w:t>
            </w:r>
          </w:p>
          <w:p w14:paraId="0BFF2F28" w14:textId="77777777" w:rsidR="005F3739" w:rsidRPr="00EA09F0" w:rsidRDefault="005F3739" w:rsidP="003A3351">
            <w:pPr>
              <w:ind w:left="0"/>
              <w:rPr>
                <w:sz w:val="15"/>
                <w:szCs w:val="15"/>
                <w:highlight w:val="green"/>
              </w:rPr>
            </w:pPr>
          </w:p>
        </w:tc>
      </w:tr>
      <w:tr w:rsidR="005F3739" w:rsidRPr="00182D52" w14:paraId="45B73D97" w14:textId="77777777" w:rsidTr="00BD1D2E">
        <w:tc>
          <w:tcPr>
            <w:tcW w:w="688" w:type="dxa"/>
            <w:vMerge/>
          </w:tcPr>
          <w:p w14:paraId="18C2F5DE" w14:textId="77777777" w:rsidR="005F3739" w:rsidRDefault="005F3739" w:rsidP="003A3351">
            <w:pPr>
              <w:ind w:left="0"/>
              <w:rPr>
                <w:b/>
              </w:rPr>
            </w:pPr>
          </w:p>
        </w:tc>
        <w:tc>
          <w:tcPr>
            <w:tcW w:w="1254" w:type="dxa"/>
          </w:tcPr>
          <w:p w14:paraId="0A5F06EA" w14:textId="77777777" w:rsidR="005F3739" w:rsidRPr="00863AEF" w:rsidRDefault="005F3739" w:rsidP="003A3351">
            <w:pPr>
              <w:ind w:left="0"/>
              <w:rPr>
                <w:b/>
              </w:rPr>
            </w:pPr>
            <w:r w:rsidRPr="00863AEF">
              <w:rPr>
                <w:b/>
              </w:rPr>
              <w:t>Uspořádání prostranství</w:t>
            </w:r>
          </w:p>
        </w:tc>
        <w:tc>
          <w:tcPr>
            <w:tcW w:w="6705" w:type="dxa"/>
          </w:tcPr>
          <w:p w14:paraId="7A98FA7F" w14:textId="77777777" w:rsidR="005F3739" w:rsidRPr="00863AEF" w:rsidRDefault="005F3739" w:rsidP="003A3351">
            <w:pPr>
              <w:ind w:left="0"/>
              <w:rPr>
                <w:sz w:val="15"/>
                <w:szCs w:val="15"/>
              </w:rPr>
            </w:pPr>
            <w:r w:rsidRPr="00863AEF">
              <w:rPr>
                <w:sz w:val="15"/>
                <w:szCs w:val="15"/>
              </w:rPr>
              <w:t>Veřejná prostranství tvoří uliční síť veřejných prostranství všeobecných.</w:t>
            </w:r>
          </w:p>
          <w:p w14:paraId="59CEE2E1" w14:textId="77777777" w:rsidR="005F3739" w:rsidRPr="00863AEF" w:rsidRDefault="005F3739" w:rsidP="003A3351">
            <w:pPr>
              <w:ind w:left="0"/>
              <w:rPr>
                <w:sz w:val="15"/>
                <w:szCs w:val="15"/>
              </w:rPr>
            </w:pPr>
            <w:r w:rsidRPr="00863AEF">
              <w:rPr>
                <w:bCs/>
                <w:iCs/>
                <w:sz w:val="15"/>
                <w:szCs w:val="15"/>
              </w:rPr>
              <w:t xml:space="preserve">Je stanovena podmínka </w:t>
            </w:r>
            <w:r w:rsidRPr="00863AEF">
              <w:rPr>
                <w:sz w:val="15"/>
                <w:szCs w:val="15"/>
              </w:rPr>
              <w:t>pojízdné plochy v minimálních nutných dimenzích, převažující podíl nezpevněných ploch a respektovat morfologii území z důvodu zachování venkovského charakteru prostranství a kvality obytného prostředí. Prvky drobné architektury by měly být komponovány jako jednotlivá těžiště veřejných prostranství a vzájemně harmonicky dotvářet funkci VP.</w:t>
            </w:r>
          </w:p>
          <w:p w14:paraId="70E2BE9B" w14:textId="77777777" w:rsidR="005F3739" w:rsidRPr="00863AEF" w:rsidRDefault="005F3739" w:rsidP="003A3351">
            <w:pPr>
              <w:ind w:left="0"/>
              <w:rPr>
                <w:sz w:val="15"/>
                <w:szCs w:val="15"/>
              </w:rPr>
            </w:pPr>
            <w:r w:rsidRPr="00863AEF">
              <w:rPr>
                <w:sz w:val="15"/>
                <w:szCs w:val="15"/>
              </w:rPr>
              <w:t>Je doporučeno zachovávat nezpevněný lem prostranství s ohledem na jeho využití jako funkčního prvku modrozelené infrastruktury a dále s ohledem na rozvoj hodnotného měkkého charakteru venkovských prostranství.</w:t>
            </w:r>
          </w:p>
        </w:tc>
      </w:tr>
      <w:tr w:rsidR="005F3739" w:rsidRPr="00842869" w14:paraId="0FD8B0EF" w14:textId="77777777" w:rsidTr="00BD1D2E">
        <w:tc>
          <w:tcPr>
            <w:tcW w:w="688" w:type="dxa"/>
            <w:vMerge/>
          </w:tcPr>
          <w:p w14:paraId="21C2984F" w14:textId="77777777" w:rsidR="005F3739" w:rsidRDefault="005F3739" w:rsidP="003A3351">
            <w:pPr>
              <w:ind w:left="0"/>
              <w:rPr>
                <w:b/>
              </w:rPr>
            </w:pPr>
          </w:p>
        </w:tc>
        <w:tc>
          <w:tcPr>
            <w:tcW w:w="1254" w:type="dxa"/>
          </w:tcPr>
          <w:p w14:paraId="4159C8FE" w14:textId="77777777" w:rsidR="005F3739" w:rsidRDefault="005F3739" w:rsidP="003A3351">
            <w:pPr>
              <w:ind w:left="0"/>
              <w:rPr>
                <w:b/>
              </w:rPr>
            </w:pPr>
            <w:r>
              <w:rPr>
                <w:b/>
              </w:rPr>
              <w:t>Uspořádání zástavby</w:t>
            </w:r>
          </w:p>
        </w:tc>
        <w:tc>
          <w:tcPr>
            <w:tcW w:w="6705" w:type="dxa"/>
          </w:tcPr>
          <w:p w14:paraId="2C809E41" w14:textId="77777777" w:rsidR="005F3739" w:rsidRPr="00863AEF" w:rsidRDefault="005F3739" w:rsidP="003A3351">
            <w:pPr>
              <w:ind w:left="0"/>
              <w:rPr>
                <w:sz w:val="15"/>
                <w:szCs w:val="15"/>
              </w:rPr>
            </w:pPr>
            <w:r w:rsidRPr="00863AEF">
              <w:rPr>
                <w:sz w:val="15"/>
                <w:szCs w:val="15"/>
              </w:rPr>
              <w:t>Charakter zástavby udávají rodinné domy různé štítové orientace i natočení vůči veřejným prostranstvím.</w:t>
            </w:r>
          </w:p>
          <w:p w14:paraId="5D43DF41" w14:textId="77777777" w:rsidR="005F3739" w:rsidRPr="00863AEF" w:rsidRDefault="005F3739" w:rsidP="003A3351">
            <w:pPr>
              <w:ind w:left="0"/>
              <w:rPr>
                <w:color w:val="FF0000"/>
                <w:sz w:val="15"/>
                <w:szCs w:val="15"/>
              </w:rPr>
            </w:pPr>
            <w:r w:rsidRPr="00863AEF">
              <w:rPr>
                <w:sz w:val="15"/>
                <w:szCs w:val="15"/>
              </w:rPr>
              <w:t>Podmínka nepřípustnosti řadové zástavby je stanovena z důvodu ochrany venkovského charakteru lokality.</w:t>
            </w:r>
          </w:p>
        </w:tc>
      </w:tr>
      <w:tr w:rsidR="005F3739" w:rsidRPr="00842869" w14:paraId="60FE8A67" w14:textId="77777777" w:rsidTr="00BD1D2E">
        <w:tc>
          <w:tcPr>
            <w:tcW w:w="688" w:type="dxa"/>
            <w:vMerge/>
          </w:tcPr>
          <w:p w14:paraId="07087F05" w14:textId="77777777" w:rsidR="005F3739" w:rsidRDefault="005F3739" w:rsidP="003A3351">
            <w:pPr>
              <w:ind w:left="0"/>
              <w:rPr>
                <w:b/>
                <w:sz w:val="28"/>
                <w:szCs w:val="28"/>
              </w:rPr>
            </w:pPr>
          </w:p>
        </w:tc>
        <w:tc>
          <w:tcPr>
            <w:tcW w:w="1254" w:type="dxa"/>
          </w:tcPr>
          <w:p w14:paraId="6BFD8D26" w14:textId="77777777" w:rsidR="005F3739" w:rsidRPr="00B960DF" w:rsidRDefault="005F3739" w:rsidP="003A3351">
            <w:pPr>
              <w:ind w:left="0"/>
              <w:rPr>
                <w:b/>
              </w:rPr>
            </w:pPr>
            <w:r>
              <w:rPr>
                <w:b/>
              </w:rPr>
              <w:t>Uspořádání přírodních prvků</w:t>
            </w:r>
          </w:p>
        </w:tc>
        <w:tc>
          <w:tcPr>
            <w:tcW w:w="6705" w:type="dxa"/>
          </w:tcPr>
          <w:p w14:paraId="791CDCB1" w14:textId="77777777" w:rsidR="005F3739" w:rsidRPr="00863AEF" w:rsidRDefault="005F3739" w:rsidP="003A3351">
            <w:pPr>
              <w:ind w:left="0"/>
              <w:rPr>
                <w:sz w:val="15"/>
                <w:szCs w:val="15"/>
              </w:rPr>
            </w:pPr>
            <w:r w:rsidRPr="00863AEF">
              <w:rPr>
                <w:sz w:val="15"/>
                <w:szCs w:val="15"/>
              </w:rPr>
              <w:t>Charakter lokality představuje zalesněný svah údolí bezejmenného potoka</w:t>
            </w:r>
            <w:r>
              <w:rPr>
                <w:sz w:val="15"/>
                <w:szCs w:val="15"/>
              </w:rPr>
              <w:t>, přírodní park Údolí Bystřice</w:t>
            </w:r>
            <w:r w:rsidRPr="00863AEF">
              <w:rPr>
                <w:sz w:val="15"/>
                <w:szCs w:val="15"/>
              </w:rPr>
              <w:t xml:space="preserve"> a zemědělská půda. Orná půda je V. třídy ochrany ZPF. Na okrajích lokality přechází zemědělská půda v les.</w:t>
            </w:r>
          </w:p>
          <w:p w14:paraId="634B7619" w14:textId="77777777" w:rsidR="005F3739" w:rsidRPr="00863AEF" w:rsidRDefault="005F3739" w:rsidP="003A3351">
            <w:pPr>
              <w:ind w:left="0"/>
              <w:rPr>
                <w:sz w:val="15"/>
                <w:szCs w:val="15"/>
              </w:rPr>
            </w:pPr>
            <w:r w:rsidRPr="00863AEF">
              <w:rPr>
                <w:sz w:val="15"/>
                <w:szCs w:val="15"/>
              </w:rPr>
              <w:t>Podmínky stromořadí podél vodních toků a v terénních zářezech jsou stanoveny z důvodu ochrany a rozvoje charakteru a krajinného rázu lokality a stabilizaci vodního režimu krajiny. Je doporučeno využívání místních dřevin.</w:t>
            </w:r>
          </w:p>
        </w:tc>
      </w:tr>
      <w:tr w:rsidR="005F3739" w:rsidRPr="009D4DBB" w14:paraId="60C7154F" w14:textId="77777777" w:rsidTr="00BD1D2E">
        <w:trPr>
          <w:trHeight w:val="2475"/>
        </w:trPr>
        <w:tc>
          <w:tcPr>
            <w:tcW w:w="688" w:type="dxa"/>
            <w:vMerge/>
          </w:tcPr>
          <w:p w14:paraId="20106BC9" w14:textId="77777777" w:rsidR="005F3739" w:rsidRDefault="005F3739" w:rsidP="003A3351">
            <w:pPr>
              <w:ind w:left="0"/>
              <w:rPr>
                <w:b/>
                <w:sz w:val="28"/>
                <w:szCs w:val="28"/>
              </w:rPr>
            </w:pPr>
          </w:p>
        </w:tc>
        <w:tc>
          <w:tcPr>
            <w:tcW w:w="1254" w:type="dxa"/>
          </w:tcPr>
          <w:p w14:paraId="3103B3BF" w14:textId="77777777" w:rsidR="005F3739" w:rsidRPr="00B960DF" w:rsidRDefault="005F3739" w:rsidP="003A3351">
            <w:pPr>
              <w:ind w:left="0"/>
              <w:rPr>
                <w:b/>
              </w:rPr>
            </w:pPr>
            <w:r>
              <w:rPr>
                <w:b/>
              </w:rPr>
              <w:t>Specifické uspořádání</w:t>
            </w:r>
          </w:p>
        </w:tc>
        <w:tc>
          <w:tcPr>
            <w:tcW w:w="6705" w:type="dxa"/>
          </w:tcPr>
          <w:p w14:paraId="761362ED" w14:textId="77777777" w:rsidR="005F3739" w:rsidRPr="00863AEF" w:rsidRDefault="005F3739" w:rsidP="003A3351">
            <w:pPr>
              <w:ind w:left="0"/>
              <w:rPr>
                <w:sz w:val="15"/>
                <w:szCs w:val="15"/>
              </w:rPr>
            </w:pPr>
            <w:r w:rsidRPr="00863AEF">
              <w:rPr>
                <w:sz w:val="15"/>
                <w:szCs w:val="15"/>
              </w:rPr>
              <w:t>-</w:t>
            </w:r>
          </w:p>
        </w:tc>
      </w:tr>
    </w:tbl>
    <w:p w14:paraId="5089513D" w14:textId="77777777" w:rsidR="005F3739" w:rsidRPr="00AE250D" w:rsidRDefault="005F3739" w:rsidP="00BD1D2E">
      <w:pPr>
        <w:spacing w:before="0" w:after="0"/>
        <w:ind w:left="0"/>
        <w:jc w:val="left"/>
        <w:rPr>
          <w:b/>
          <w:sz w:val="15"/>
          <w:szCs w:val="15"/>
        </w:rPr>
      </w:pPr>
      <w:r>
        <w:rPr>
          <w:b/>
          <w:sz w:val="15"/>
          <w:szCs w:val="15"/>
        </w:rPr>
        <w:br w:type="page"/>
      </w:r>
    </w:p>
    <w:tbl>
      <w:tblPr>
        <w:tblStyle w:val="Motivtabulky"/>
        <w:tblW w:w="8505" w:type="dxa"/>
        <w:tblBorders>
          <w:top w:val="dashSmallGap" w:sz="4" w:space="0" w:color="auto"/>
          <w:bottom w:val="dashSmallGap" w:sz="4" w:space="0" w:color="auto"/>
          <w:insideH w:val="dashSmallGap" w:sz="4" w:space="0" w:color="auto"/>
        </w:tblBorders>
        <w:tblLook w:val="04A0" w:firstRow="1" w:lastRow="0" w:firstColumn="1" w:lastColumn="0" w:noHBand="0" w:noVBand="1"/>
      </w:tblPr>
      <w:tblGrid>
        <w:gridCol w:w="682"/>
        <w:gridCol w:w="1254"/>
        <w:gridCol w:w="6569"/>
      </w:tblGrid>
      <w:tr w:rsidR="005F3739" w14:paraId="70729C83" w14:textId="77777777" w:rsidTr="00BD1D2E">
        <w:tc>
          <w:tcPr>
            <w:tcW w:w="1936" w:type="dxa"/>
            <w:gridSpan w:val="2"/>
          </w:tcPr>
          <w:p w14:paraId="165B6179" w14:textId="032E35E7" w:rsidR="005F3739" w:rsidRPr="00944DA7" w:rsidRDefault="005F3739" w:rsidP="003A3351">
            <w:pPr>
              <w:ind w:left="0"/>
              <w:rPr>
                <w:b/>
                <w:sz w:val="24"/>
              </w:rPr>
            </w:pPr>
            <w:r>
              <w:rPr>
                <w:b/>
                <w:sz w:val="24"/>
              </w:rPr>
              <w:lastRenderedPageBreak/>
              <w:t>L.</w:t>
            </w:r>
            <w:r w:rsidR="00BD1D2E">
              <w:rPr>
                <w:b/>
                <w:sz w:val="24"/>
              </w:rPr>
              <w:t>06</w:t>
            </w:r>
          </w:p>
        </w:tc>
        <w:tc>
          <w:tcPr>
            <w:tcW w:w="6569" w:type="dxa"/>
            <w:vAlign w:val="bottom"/>
          </w:tcPr>
          <w:p w14:paraId="4AB72E28" w14:textId="77777777" w:rsidR="005F3739" w:rsidRPr="00944DA7" w:rsidRDefault="005F3739" w:rsidP="003A3351">
            <w:pPr>
              <w:ind w:left="0"/>
              <w:rPr>
                <w:b/>
                <w:sz w:val="28"/>
                <w:szCs w:val="28"/>
              </w:rPr>
            </w:pPr>
            <w:r>
              <w:rPr>
                <w:b/>
                <w:sz w:val="24"/>
              </w:rPr>
              <w:t>Údolí Hlubočku</w:t>
            </w:r>
          </w:p>
        </w:tc>
      </w:tr>
      <w:tr w:rsidR="005F3739" w14:paraId="152EC34C" w14:textId="77777777" w:rsidTr="00BD1D2E">
        <w:tc>
          <w:tcPr>
            <w:tcW w:w="8505" w:type="dxa"/>
            <w:gridSpan w:val="3"/>
            <w:vAlign w:val="bottom"/>
          </w:tcPr>
          <w:p w14:paraId="77EB33CA" w14:textId="77777777" w:rsidR="005F3739" w:rsidRDefault="005F3739" w:rsidP="003A3351">
            <w:pPr>
              <w:ind w:left="0"/>
            </w:pPr>
            <w:r>
              <w:t>Rekreačně využívané svahy údolí Hlubočku</w:t>
            </w:r>
          </w:p>
        </w:tc>
      </w:tr>
      <w:tr w:rsidR="005F3739" w14:paraId="4CDDFB47" w14:textId="77777777" w:rsidTr="00BD1D2E">
        <w:tc>
          <w:tcPr>
            <w:tcW w:w="1936" w:type="dxa"/>
            <w:gridSpan w:val="2"/>
          </w:tcPr>
          <w:p w14:paraId="3E06F847" w14:textId="77777777" w:rsidR="005F3739" w:rsidRDefault="005F3739" w:rsidP="003A3351">
            <w:pPr>
              <w:ind w:left="0"/>
              <w:rPr>
                <w:b/>
                <w:sz w:val="28"/>
                <w:szCs w:val="28"/>
              </w:rPr>
            </w:pPr>
            <w:r w:rsidRPr="00CB1ACC">
              <w:rPr>
                <w:b/>
              </w:rPr>
              <w:t>Vymezení</w:t>
            </w:r>
          </w:p>
        </w:tc>
        <w:tc>
          <w:tcPr>
            <w:tcW w:w="6569" w:type="dxa"/>
          </w:tcPr>
          <w:p w14:paraId="2C6F8214" w14:textId="77777777" w:rsidR="005F3739" w:rsidRPr="00944DA7" w:rsidRDefault="005F3739" w:rsidP="003A3351">
            <w:pPr>
              <w:ind w:left="0"/>
              <w:rPr>
                <w:sz w:val="15"/>
                <w:szCs w:val="15"/>
                <w:highlight w:val="yellow"/>
              </w:rPr>
            </w:pPr>
            <w:r w:rsidRPr="00944DA7">
              <w:rPr>
                <w:sz w:val="15"/>
                <w:szCs w:val="15"/>
              </w:rPr>
              <w:t xml:space="preserve">Lokalita je </w:t>
            </w:r>
            <w:r>
              <w:rPr>
                <w:sz w:val="15"/>
                <w:szCs w:val="15"/>
              </w:rPr>
              <w:t>vymezena nivou vodního toku Hluboček Ze západu je ohraničena obytným centrem Hluboček a z východu hranicí správního území a uzavřenou lokalitou vojenského újezdu Libavá.</w:t>
            </w:r>
          </w:p>
        </w:tc>
      </w:tr>
      <w:tr w:rsidR="005F3739" w:rsidRPr="00842869" w14:paraId="1BDBDF03" w14:textId="77777777" w:rsidTr="00BD1D2E">
        <w:tc>
          <w:tcPr>
            <w:tcW w:w="682" w:type="dxa"/>
            <w:vMerge w:val="restart"/>
            <w:textDirection w:val="btLr"/>
          </w:tcPr>
          <w:p w14:paraId="7AFDAD9A" w14:textId="77777777" w:rsidR="005F3739" w:rsidRPr="00B960DF" w:rsidRDefault="005F3739" w:rsidP="003A3351">
            <w:pPr>
              <w:ind w:left="113" w:right="113"/>
              <w:jc w:val="right"/>
              <w:rPr>
                <w:b/>
              </w:rPr>
            </w:pPr>
            <w:r>
              <w:rPr>
                <w:b/>
              </w:rPr>
              <w:t>Prvky</w:t>
            </w:r>
          </w:p>
        </w:tc>
        <w:tc>
          <w:tcPr>
            <w:tcW w:w="1254" w:type="dxa"/>
          </w:tcPr>
          <w:p w14:paraId="70F9F2D7" w14:textId="77777777" w:rsidR="005F3739" w:rsidRPr="00B960DF" w:rsidRDefault="005F3739" w:rsidP="003A3351">
            <w:pPr>
              <w:ind w:left="0"/>
              <w:rPr>
                <w:b/>
              </w:rPr>
            </w:pPr>
            <w:r w:rsidRPr="00B960DF">
              <w:rPr>
                <w:b/>
              </w:rPr>
              <w:t>Plošné řešení zástavby</w:t>
            </w:r>
          </w:p>
        </w:tc>
        <w:tc>
          <w:tcPr>
            <w:tcW w:w="6569" w:type="dxa"/>
          </w:tcPr>
          <w:p w14:paraId="3FE612B9" w14:textId="77777777" w:rsidR="005F3739" w:rsidRPr="004E5C8A" w:rsidRDefault="005F3739" w:rsidP="003A3351">
            <w:pPr>
              <w:ind w:left="0"/>
              <w:rPr>
                <w:sz w:val="15"/>
                <w:szCs w:val="15"/>
              </w:rPr>
            </w:pPr>
            <w:r w:rsidRPr="004E5C8A">
              <w:rPr>
                <w:sz w:val="15"/>
                <w:szCs w:val="15"/>
              </w:rPr>
              <w:t>Charakter zástavby udávají rekreační objekty s poměrem stran od 1:1 až po 1:2,5 a rodinné domy s poměrem stran od 1:1 až po 1:4.</w:t>
            </w:r>
          </w:p>
          <w:p w14:paraId="78691D58" w14:textId="77777777" w:rsidR="005F3739" w:rsidRPr="004E5C8A" w:rsidRDefault="005F3739" w:rsidP="003A3351">
            <w:pPr>
              <w:ind w:left="0"/>
              <w:rPr>
                <w:sz w:val="15"/>
                <w:szCs w:val="15"/>
              </w:rPr>
            </w:pPr>
            <w:r w:rsidRPr="004E5C8A">
              <w:rPr>
                <w:sz w:val="15"/>
                <w:szCs w:val="15"/>
              </w:rPr>
              <w:t xml:space="preserve">S ohledem na různorodost zástavby není plošné řešení stanoveno. </w:t>
            </w:r>
          </w:p>
          <w:p w14:paraId="7397A683" w14:textId="77777777" w:rsidR="005F3739" w:rsidRPr="004E5C8A" w:rsidRDefault="005F3739" w:rsidP="003A3351">
            <w:pPr>
              <w:ind w:left="0"/>
              <w:rPr>
                <w:sz w:val="15"/>
                <w:szCs w:val="15"/>
              </w:rPr>
            </w:pPr>
            <w:r w:rsidRPr="004E5C8A">
              <w:rPr>
                <w:sz w:val="15"/>
                <w:szCs w:val="15"/>
              </w:rPr>
              <w:t>Je doporučeno při plošném řešení zástavby respektovat terénní podmínky.</w:t>
            </w:r>
          </w:p>
        </w:tc>
      </w:tr>
      <w:tr w:rsidR="005F3739" w:rsidRPr="004B4D78" w14:paraId="741DED44" w14:textId="77777777" w:rsidTr="00BD1D2E">
        <w:tc>
          <w:tcPr>
            <w:tcW w:w="682" w:type="dxa"/>
            <w:vMerge/>
          </w:tcPr>
          <w:p w14:paraId="5D072D76" w14:textId="77777777" w:rsidR="005F3739" w:rsidRDefault="005F3739" w:rsidP="003A3351">
            <w:pPr>
              <w:ind w:left="0"/>
              <w:rPr>
                <w:b/>
              </w:rPr>
            </w:pPr>
          </w:p>
        </w:tc>
        <w:tc>
          <w:tcPr>
            <w:tcW w:w="1254" w:type="dxa"/>
          </w:tcPr>
          <w:p w14:paraId="7767EA9F" w14:textId="77777777" w:rsidR="005F3739" w:rsidRPr="00B960DF" w:rsidRDefault="005F3739" w:rsidP="003A3351">
            <w:pPr>
              <w:ind w:left="0"/>
              <w:rPr>
                <w:b/>
              </w:rPr>
            </w:pPr>
            <w:r w:rsidRPr="00B960DF">
              <w:rPr>
                <w:b/>
              </w:rPr>
              <w:t>Výškové řešení zástavby</w:t>
            </w:r>
          </w:p>
        </w:tc>
        <w:tc>
          <w:tcPr>
            <w:tcW w:w="6569" w:type="dxa"/>
          </w:tcPr>
          <w:p w14:paraId="68A0BF09" w14:textId="77777777" w:rsidR="005F3739" w:rsidRDefault="005F3739" w:rsidP="003A3351">
            <w:pPr>
              <w:ind w:left="0"/>
              <w:rPr>
                <w:sz w:val="15"/>
                <w:szCs w:val="15"/>
              </w:rPr>
            </w:pPr>
            <w:r w:rsidRPr="00EC2AFC">
              <w:rPr>
                <w:sz w:val="15"/>
                <w:szCs w:val="15"/>
              </w:rPr>
              <w:t>Zás</w:t>
            </w:r>
            <w:r>
              <w:rPr>
                <w:sz w:val="15"/>
                <w:szCs w:val="15"/>
              </w:rPr>
              <w:t>tavbu tvoří převážně objekty o 1-2</w:t>
            </w:r>
            <w:r w:rsidRPr="00EC2AFC">
              <w:rPr>
                <w:sz w:val="15"/>
                <w:szCs w:val="15"/>
              </w:rPr>
              <w:t xml:space="preserve"> NP, resp. jednom </w:t>
            </w:r>
            <w:r>
              <w:rPr>
                <w:sz w:val="15"/>
                <w:szCs w:val="15"/>
              </w:rPr>
              <w:t>podlaží a podkroví</w:t>
            </w:r>
            <w:r w:rsidRPr="00EC2AFC">
              <w:rPr>
                <w:sz w:val="15"/>
                <w:szCs w:val="15"/>
              </w:rPr>
              <w:t>. Výrazný</w:t>
            </w:r>
            <w:r>
              <w:rPr>
                <w:sz w:val="15"/>
                <w:szCs w:val="15"/>
              </w:rPr>
              <w:t xml:space="preserve"> charakter střešní krajiny</w:t>
            </w:r>
            <w:r w:rsidRPr="00EC2AFC">
              <w:rPr>
                <w:sz w:val="15"/>
                <w:szCs w:val="15"/>
              </w:rPr>
              <w:t xml:space="preserve">, udávají převážně </w:t>
            </w:r>
            <w:r>
              <w:rPr>
                <w:sz w:val="15"/>
                <w:szCs w:val="15"/>
              </w:rPr>
              <w:t>střechy šikmé – sedlové, místy se nachází střechy pultové a valbové</w:t>
            </w:r>
            <w:r w:rsidRPr="00EC2AFC">
              <w:rPr>
                <w:sz w:val="15"/>
                <w:szCs w:val="15"/>
              </w:rPr>
              <w:t>.</w:t>
            </w:r>
          </w:p>
          <w:p w14:paraId="79CD9E0C" w14:textId="77777777" w:rsidR="005F3739" w:rsidRDefault="005F3739" w:rsidP="003A3351">
            <w:pPr>
              <w:ind w:left="0"/>
              <w:rPr>
                <w:sz w:val="15"/>
                <w:szCs w:val="15"/>
              </w:rPr>
            </w:pPr>
            <w:r w:rsidRPr="00A53E1A">
              <w:rPr>
                <w:sz w:val="15"/>
                <w:szCs w:val="15"/>
              </w:rPr>
              <w:t>Podmínka max</w:t>
            </w:r>
            <w:r>
              <w:rPr>
                <w:sz w:val="15"/>
                <w:szCs w:val="15"/>
              </w:rPr>
              <w:t>.</w:t>
            </w:r>
            <w:r w:rsidRPr="00A53E1A">
              <w:rPr>
                <w:sz w:val="15"/>
                <w:szCs w:val="15"/>
              </w:rPr>
              <w:t xml:space="preserve"> 2</w:t>
            </w:r>
            <w:r>
              <w:rPr>
                <w:sz w:val="15"/>
                <w:szCs w:val="15"/>
              </w:rPr>
              <w:t xml:space="preserve"> </w:t>
            </w:r>
            <w:r w:rsidRPr="00A53E1A">
              <w:rPr>
                <w:sz w:val="15"/>
                <w:szCs w:val="15"/>
              </w:rPr>
              <w:t>NP je stanovena z důvodu ochrany ch</w:t>
            </w:r>
            <w:r>
              <w:rPr>
                <w:sz w:val="15"/>
                <w:szCs w:val="15"/>
              </w:rPr>
              <w:t>arakteru krajiny.</w:t>
            </w:r>
          </w:p>
          <w:p w14:paraId="60353422" w14:textId="77777777" w:rsidR="005F3739" w:rsidRPr="00674302" w:rsidRDefault="005F3739" w:rsidP="003A3351">
            <w:pPr>
              <w:ind w:left="0"/>
              <w:rPr>
                <w:sz w:val="15"/>
                <w:szCs w:val="15"/>
              </w:rPr>
            </w:pPr>
            <w:r w:rsidRPr="00A53E1A">
              <w:rPr>
                <w:sz w:val="15"/>
                <w:szCs w:val="15"/>
              </w:rPr>
              <w:t xml:space="preserve">Podmínka typické střešní krajiny zástavby je stanovena z důvodu ochrany charakteru </w:t>
            </w:r>
            <w:r>
              <w:rPr>
                <w:sz w:val="15"/>
                <w:szCs w:val="15"/>
              </w:rPr>
              <w:t>krajiny.</w:t>
            </w:r>
          </w:p>
        </w:tc>
      </w:tr>
      <w:tr w:rsidR="005F3739" w:rsidRPr="00842869" w14:paraId="12FF7520" w14:textId="77777777" w:rsidTr="00BD1D2E">
        <w:tc>
          <w:tcPr>
            <w:tcW w:w="682" w:type="dxa"/>
            <w:vMerge/>
          </w:tcPr>
          <w:p w14:paraId="3B243FA4" w14:textId="77777777" w:rsidR="005F3739" w:rsidRDefault="005F3739" w:rsidP="003A3351">
            <w:pPr>
              <w:ind w:left="0"/>
              <w:rPr>
                <w:b/>
              </w:rPr>
            </w:pPr>
          </w:p>
        </w:tc>
        <w:tc>
          <w:tcPr>
            <w:tcW w:w="1254" w:type="dxa"/>
          </w:tcPr>
          <w:p w14:paraId="78AA4CD1" w14:textId="77777777" w:rsidR="005F3739" w:rsidRPr="00B960DF" w:rsidRDefault="005F3739" w:rsidP="003A3351">
            <w:pPr>
              <w:ind w:left="0"/>
              <w:rPr>
                <w:b/>
              </w:rPr>
            </w:pPr>
            <w:r>
              <w:rPr>
                <w:b/>
              </w:rPr>
              <w:t>Charakter přírodních prvků</w:t>
            </w:r>
          </w:p>
        </w:tc>
        <w:tc>
          <w:tcPr>
            <w:tcW w:w="6569" w:type="dxa"/>
          </w:tcPr>
          <w:p w14:paraId="3851F0C0" w14:textId="77777777" w:rsidR="005F3739" w:rsidRDefault="005F3739" w:rsidP="003A3351">
            <w:pPr>
              <w:ind w:left="0"/>
              <w:rPr>
                <w:sz w:val="15"/>
                <w:szCs w:val="15"/>
              </w:rPr>
            </w:pPr>
            <w:r w:rsidRPr="00E6313D">
              <w:rPr>
                <w:sz w:val="15"/>
                <w:szCs w:val="15"/>
              </w:rPr>
              <w:t xml:space="preserve">Přírodní prvky </w:t>
            </w:r>
            <w:r>
              <w:rPr>
                <w:sz w:val="15"/>
                <w:szCs w:val="15"/>
              </w:rPr>
              <w:t>zastavěného území</w:t>
            </w:r>
            <w:r w:rsidRPr="00E6313D">
              <w:rPr>
                <w:sz w:val="15"/>
                <w:szCs w:val="15"/>
              </w:rPr>
              <w:t xml:space="preserve"> tvoří dřeviny, rostliny a zatravněné plochy jako součást zahrad a veřejných prostranství. Přírodní prvky </w:t>
            </w:r>
            <w:r>
              <w:rPr>
                <w:sz w:val="15"/>
                <w:szCs w:val="15"/>
              </w:rPr>
              <w:t>nezastavěného území</w:t>
            </w:r>
            <w:r w:rsidRPr="00E6313D">
              <w:rPr>
                <w:sz w:val="15"/>
                <w:szCs w:val="15"/>
              </w:rPr>
              <w:t xml:space="preserve"> tvoří</w:t>
            </w:r>
            <w:r>
              <w:rPr>
                <w:sz w:val="15"/>
                <w:szCs w:val="15"/>
              </w:rPr>
              <w:t xml:space="preserve"> zejména zemědělská půda a zalesněné terénní zlomy.</w:t>
            </w:r>
          </w:p>
          <w:p w14:paraId="3A8DD549" w14:textId="4AE09188" w:rsidR="005F3739" w:rsidRPr="003B1F87" w:rsidRDefault="005F3739" w:rsidP="003A3351">
            <w:pPr>
              <w:ind w:left="0"/>
              <w:rPr>
                <w:sz w:val="15"/>
                <w:szCs w:val="15"/>
              </w:rPr>
            </w:pPr>
            <w:r w:rsidRPr="003B1F87">
              <w:rPr>
                <w:sz w:val="15"/>
                <w:szCs w:val="15"/>
              </w:rPr>
              <w:t xml:space="preserve">Podmínka přírodního charakteru </w:t>
            </w:r>
            <w:r w:rsidRPr="003B1F87">
              <w:rPr>
                <w:b/>
                <w:sz w:val="15"/>
                <w:szCs w:val="15"/>
                <w:u w:val="single"/>
              </w:rPr>
              <w:t>koryta Hlubočku</w:t>
            </w:r>
            <w:r w:rsidRPr="004E5C8A">
              <w:rPr>
                <w:b/>
                <w:sz w:val="15"/>
                <w:szCs w:val="15"/>
              </w:rPr>
              <w:t xml:space="preserve"> </w:t>
            </w:r>
            <w:r w:rsidRPr="003B1F87">
              <w:rPr>
                <w:sz w:val="15"/>
                <w:szCs w:val="15"/>
              </w:rPr>
              <w:t xml:space="preserve">je stanovena </w:t>
            </w:r>
            <w:r w:rsidR="004F10AE" w:rsidRPr="003B1F87">
              <w:rPr>
                <w:sz w:val="15"/>
                <w:szCs w:val="15"/>
              </w:rPr>
              <w:t>z</w:t>
            </w:r>
            <w:r w:rsidRPr="003B1F87">
              <w:rPr>
                <w:sz w:val="15"/>
                <w:szCs w:val="15"/>
              </w:rPr>
              <w:t> důvodu ochrany cenného biotopu říční nivy a doprovodných remízů a přírodních prvků.</w:t>
            </w:r>
          </w:p>
          <w:p w14:paraId="6E3C1BB2" w14:textId="77777777" w:rsidR="005F3739" w:rsidRPr="00944DA7" w:rsidRDefault="005F3739" w:rsidP="003A3351">
            <w:pPr>
              <w:ind w:left="0"/>
              <w:rPr>
                <w:sz w:val="15"/>
                <w:szCs w:val="15"/>
                <w:highlight w:val="yellow"/>
              </w:rPr>
            </w:pPr>
            <w:r w:rsidRPr="003B1F87">
              <w:rPr>
                <w:sz w:val="15"/>
                <w:szCs w:val="15"/>
              </w:rPr>
              <w:t>Je doporučeno využívání místních dřevin.</w:t>
            </w:r>
          </w:p>
        </w:tc>
      </w:tr>
      <w:tr w:rsidR="005F3739" w:rsidRPr="00842869" w14:paraId="3469FB52" w14:textId="77777777" w:rsidTr="00BD1D2E">
        <w:trPr>
          <w:trHeight w:val="8806"/>
        </w:trPr>
        <w:tc>
          <w:tcPr>
            <w:tcW w:w="682" w:type="dxa"/>
            <w:vMerge/>
          </w:tcPr>
          <w:p w14:paraId="6D3D1108" w14:textId="77777777" w:rsidR="005F3739" w:rsidRDefault="005F3739" w:rsidP="003A3351">
            <w:pPr>
              <w:ind w:left="0"/>
              <w:rPr>
                <w:b/>
              </w:rPr>
            </w:pPr>
          </w:p>
        </w:tc>
        <w:tc>
          <w:tcPr>
            <w:tcW w:w="1254" w:type="dxa"/>
          </w:tcPr>
          <w:p w14:paraId="5AC359E3" w14:textId="77777777" w:rsidR="005F3739" w:rsidRPr="00B960DF" w:rsidRDefault="005F3739" w:rsidP="003A3351">
            <w:pPr>
              <w:ind w:left="0"/>
              <w:rPr>
                <w:b/>
              </w:rPr>
            </w:pPr>
            <w:r>
              <w:rPr>
                <w:b/>
              </w:rPr>
              <w:t>Specifické prvky</w:t>
            </w:r>
          </w:p>
        </w:tc>
        <w:tc>
          <w:tcPr>
            <w:tcW w:w="6569" w:type="dxa"/>
          </w:tcPr>
          <w:p w14:paraId="135C4E95" w14:textId="77777777" w:rsidR="005F3739" w:rsidRPr="003B1F87" w:rsidRDefault="005F3739" w:rsidP="003A3351">
            <w:pPr>
              <w:ind w:left="0"/>
              <w:rPr>
                <w:sz w:val="15"/>
                <w:szCs w:val="15"/>
              </w:rPr>
            </w:pPr>
            <w:r w:rsidRPr="003B1F87">
              <w:rPr>
                <w:sz w:val="15"/>
                <w:szCs w:val="15"/>
              </w:rPr>
              <w:t>V lokalitě se vyskytují zemědělské plochy, které jsou sezónně využívané jako lyžařské sjezdovky a jsou vybavené doprovodnou infrastrukturou (např. vleky, dráhy, osvětlení).</w:t>
            </w:r>
          </w:p>
          <w:p w14:paraId="7A7996A3" w14:textId="77777777" w:rsidR="005F3739" w:rsidRDefault="005F3739" w:rsidP="003A3351">
            <w:pPr>
              <w:ind w:left="0"/>
              <w:rPr>
                <w:sz w:val="15"/>
                <w:szCs w:val="15"/>
              </w:rPr>
            </w:pPr>
            <w:r w:rsidRPr="003B1F87">
              <w:rPr>
                <w:b/>
                <w:sz w:val="15"/>
                <w:szCs w:val="15"/>
                <w:u w:val="single"/>
              </w:rPr>
              <w:t>V plochách rekreace jiné (RX)</w:t>
            </w:r>
            <w:r w:rsidRPr="003B1F87">
              <w:rPr>
                <w:sz w:val="15"/>
                <w:szCs w:val="15"/>
              </w:rPr>
              <w:t xml:space="preserve"> je stanovena podmínka využití pro zimní rekreaci ve formě lyžařských středisek a sjezdovek a doprovodných využití pro sport a rekreaci, přírodně blízkého charakteru.</w:t>
            </w:r>
          </w:p>
          <w:p w14:paraId="573F59EF" w14:textId="467449F3" w:rsidR="00BD1D2E" w:rsidRPr="003B1F87" w:rsidRDefault="00BD1D2E" w:rsidP="003A3351">
            <w:pPr>
              <w:ind w:left="0"/>
              <w:rPr>
                <w:sz w:val="15"/>
                <w:szCs w:val="15"/>
              </w:rPr>
            </w:pPr>
          </w:p>
        </w:tc>
      </w:tr>
      <w:tr w:rsidR="005F3739" w:rsidRPr="00842869" w14:paraId="4779EE10" w14:textId="77777777" w:rsidTr="00BD1D2E">
        <w:tc>
          <w:tcPr>
            <w:tcW w:w="682" w:type="dxa"/>
            <w:vMerge w:val="restart"/>
            <w:textDirection w:val="btLr"/>
          </w:tcPr>
          <w:p w14:paraId="60DB35EE" w14:textId="77777777" w:rsidR="005F3739" w:rsidRDefault="005F3739" w:rsidP="003A3351">
            <w:pPr>
              <w:ind w:left="113" w:right="113"/>
              <w:jc w:val="right"/>
              <w:rPr>
                <w:b/>
              </w:rPr>
            </w:pPr>
            <w:r>
              <w:rPr>
                <w:b/>
              </w:rPr>
              <w:lastRenderedPageBreak/>
              <w:t>Uspořádání</w:t>
            </w:r>
          </w:p>
        </w:tc>
        <w:tc>
          <w:tcPr>
            <w:tcW w:w="1254" w:type="dxa"/>
          </w:tcPr>
          <w:p w14:paraId="54B0CDB1" w14:textId="77777777" w:rsidR="005F3739" w:rsidRPr="003E47A7" w:rsidRDefault="005F3739" w:rsidP="003A3351">
            <w:pPr>
              <w:ind w:left="0"/>
              <w:jc w:val="left"/>
              <w:rPr>
                <w:b/>
              </w:rPr>
            </w:pPr>
            <w:r w:rsidRPr="003E47A7">
              <w:rPr>
                <w:b/>
              </w:rPr>
              <w:t>Velikost a zastavitelnost pozemků</w:t>
            </w:r>
          </w:p>
        </w:tc>
        <w:tc>
          <w:tcPr>
            <w:tcW w:w="6569" w:type="dxa"/>
          </w:tcPr>
          <w:p w14:paraId="1DCFDE2A" w14:textId="77777777" w:rsidR="005F3739" w:rsidRDefault="005F3739" w:rsidP="003A3351">
            <w:pPr>
              <w:ind w:left="0"/>
              <w:rPr>
                <w:sz w:val="15"/>
                <w:szCs w:val="15"/>
              </w:rPr>
            </w:pPr>
            <w:r w:rsidRPr="003E47A7">
              <w:rPr>
                <w:sz w:val="15"/>
                <w:szCs w:val="15"/>
              </w:rPr>
              <w:t>Obvyklá míra velikosti pozemků</w:t>
            </w:r>
            <w:r>
              <w:rPr>
                <w:sz w:val="15"/>
                <w:szCs w:val="15"/>
              </w:rPr>
              <w:t xml:space="preserve"> rodinných domů</w:t>
            </w:r>
            <w:r w:rsidRPr="003E47A7">
              <w:rPr>
                <w:sz w:val="15"/>
                <w:szCs w:val="15"/>
              </w:rPr>
              <w:t xml:space="preserve"> je cca od </w:t>
            </w:r>
            <w:r>
              <w:rPr>
                <w:sz w:val="15"/>
                <w:szCs w:val="15"/>
              </w:rPr>
              <w:t>900</w:t>
            </w:r>
            <w:r w:rsidRPr="003E47A7">
              <w:rPr>
                <w:sz w:val="15"/>
                <w:szCs w:val="15"/>
              </w:rPr>
              <w:t xml:space="preserve"> do cca </w:t>
            </w:r>
            <w:r>
              <w:rPr>
                <w:sz w:val="15"/>
                <w:szCs w:val="15"/>
              </w:rPr>
              <w:t>2000</w:t>
            </w:r>
            <w:r w:rsidRPr="003E47A7">
              <w:rPr>
                <w:sz w:val="15"/>
                <w:szCs w:val="15"/>
              </w:rPr>
              <w:t xml:space="preserve"> m</w:t>
            </w:r>
            <w:r w:rsidRPr="003E47A7">
              <w:rPr>
                <w:sz w:val="15"/>
                <w:szCs w:val="15"/>
                <w:vertAlign w:val="superscript"/>
              </w:rPr>
              <w:t>2</w:t>
            </w:r>
            <w:r w:rsidRPr="003E47A7">
              <w:rPr>
                <w:sz w:val="15"/>
                <w:szCs w:val="15"/>
              </w:rPr>
              <w:t>, s průměrnou typickou zastavitelnost</w:t>
            </w:r>
            <w:r>
              <w:rPr>
                <w:sz w:val="15"/>
                <w:szCs w:val="15"/>
              </w:rPr>
              <w:t>í 5</w:t>
            </w:r>
            <w:r w:rsidRPr="003E47A7">
              <w:rPr>
                <w:sz w:val="15"/>
                <w:szCs w:val="15"/>
              </w:rPr>
              <w:t>-</w:t>
            </w:r>
            <w:r>
              <w:rPr>
                <w:sz w:val="15"/>
                <w:szCs w:val="15"/>
              </w:rPr>
              <w:t>40</w:t>
            </w:r>
            <w:r w:rsidRPr="003E47A7">
              <w:rPr>
                <w:sz w:val="15"/>
                <w:szCs w:val="15"/>
              </w:rPr>
              <w:t>%.</w:t>
            </w:r>
            <w:r>
              <w:rPr>
                <w:sz w:val="15"/>
                <w:szCs w:val="15"/>
              </w:rPr>
              <w:t xml:space="preserve"> </w:t>
            </w:r>
            <w:r w:rsidRPr="003E47A7">
              <w:rPr>
                <w:sz w:val="15"/>
                <w:szCs w:val="15"/>
              </w:rPr>
              <w:t xml:space="preserve">Charakter zástavby lokality udává zástavba individuálních rekreačních chat. Typickým zástupcem je chata </w:t>
            </w:r>
            <w:r w:rsidRPr="00926E24">
              <w:rPr>
                <w:sz w:val="15"/>
                <w:szCs w:val="15"/>
              </w:rPr>
              <w:t xml:space="preserve">č. ev. </w:t>
            </w:r>
            <w:r>
              <w:rPr>
                <w:sz w:val="15"/>
                <w:szCs w:val="15"/>
              </w:rPr>
              <w:t>24 o ZP cca 130</w:t>
            </w:r>
            <w:r w:rsidRPr="003E47A7">
              <w:rPr>
                <w:sz w:val="15"/>
                <w:szCs w:val="15"/>
              </w:rPr>
              <w:t xml:space="preserve"> m</w:t>
            </w:r>
            <w:r w:rsidRPr="003E47A7">
              <w:rPr>
                <w:sz w:val="15"/>
                <w:szCs w:val="15"/>
                <w:vertAlign w:val="superscript"/>
              </w:rPr>
              <w:t>2</w:t>
            </w:r>
            <w:r>
              <w:rPr>
                <w:sz w:val="15"/>
                <w:szCs w:val="15"/>
              </w:rPr>
              <w:t xml:space="preserve"> HS cca 1740</w:t>
            </w:r>
            <w:r w:rsidRPr="003E47A7">
              <w:rPr>
                <w:sz w:val="15"/>
                <w:szCs w:val="15"/>
              </w:rPr>
              <w:t xml:space="preserve"> m</w:t>
            </w:r>
            <w:r w:rsidRPr="003E47A7">
              <w:rPr>
                <w:sz w:val="15"/>
                <w:szCs w:val="15"/>
                <w:vertAlign w:val="superscript"/>
              </w:rPr>
              <w:t>2</w:t>
            </w:r>
            <w:r>
              <w:rPr>
                <w:sz w:val="15"/>
                <w:szCs w:val="15"/>
              </w:rPr>
              <w:t xml:space="preserve"> (zastavitelnost cca 8%). </w:t>
            </w:r>
          </w:p>
          <w:p w14:paraId="4A8AA316" w14:textId="77777777" w:rsidR="005F3739" w:rsidRDefault="005F3739" w:rsidP="003A3351">
            <w:pPr>
              <w:ind w:left="0"/>
              <w:rPr>
                <w:sz w:val="15"/>
                <w:szCs w:val="15"/>
              </w:rPr>
            </w:pPr>
            <w:r>
              <w:rPr>
                <w:sz w:val="15"/>
                <w:szCs w:val="15"/>
              </w:rPr>
              <w:t xml:space="preserve">V celé lokalitě </w:t>
            </w:r>
            <w:r w:rsidRPr="003E47A7">
              <w:rPr>
                <w:sz w:val="15"/>
                <w:szCs w:val="15"/>
              </w:rPr>
              <w:t>je stanoven HS=0,</w:t>
            </w:r>
            <w:r>
              <w:rPr>
                <w:sz w:val="15"/>
                <w:szCs w:val="15"/>
              </w:rPr>
              <w:t>30</w:t>
            </w:r>
            <w:r w:rsidRPr="003E47A7">
              <w:rPr>
                <w:sz w:val="15"/>
                <w:szCs w:val="15"/>
              </w:rPr>
              <w:t xml:space="preserve"> pro hlavní stavbu tak, aby intenzita využití území respektovala charakter území. Zastavitelnost je stanovena jako maximální pro udržení charakteru rekreační lokality. KN=0,60 zajišťuje plochu zahrady určenou pro vsakování a retenci v území a zároveň poskytuje dostatečný prostor pro zahrady a vedlejší objekty.</w:t>
            </w:r>
          </w:p>
          <w:p w14:paraId="439F54D0" w14:textId="77777777" w:rsidR="005F3739" w:rsidRDefault="005F3739" w:rsidP="003A3351">
            <w:pPr>
              <w:ind w:left="0"/>
              <w:rPr>
                <w:sz w:val="15"/>
                <w:szCs w:val="15"/>
              </w:rPr>
            </w:pPr>
            <w:r w:rsidRPr="003E47A7">
              <w:rPr>
                <w:sz w:val="15"/>
                <w:szCs w:val="15"/>
              </w:rPr>
              <w:t>Obvyklá míra velikosti pozemků</w:t>
            </w:r>
            <w:r>
              <w:rPr>
                <w:sz w:val="15"/>
                <w:szCs w:val="15"/>
              </w:rPr>
              <w:t xml:space="preserve"> rekreačních chat</w:t>
            </w:r>
            <w:r w:rsidRPr="003E47A7">
              <w:rPr>
                <w:sz w:val="15"/>
                <w:szCs w:val="15"/>
              </w:rPr>
              <w:t xml:space="preserve"> je cca od </w:t>
            </w:r>
            <w:r>
              <w:rPr>
                <w:sz w:val="15"/>
                <w:szCs w:val="15"/>
              </w:rPr>
              <w:t>400</w:t>
            </w:r>
            <w:r w:rsidRPr="003E47A7">
              <w:rPr>
                <w:sz w:val="15"/>
                <w:szCs w:val="15"/>
              </w:rPr>
              <w:t xml:space="preserve"> do cca </w:t>
            </w:r>
            <w:r>
              <w:rPr>
                <w:sz w:val="15"/>
                <w:szCs w:val="15"/>
              </w:rPr>
              <w:t>1100</w:t>
            </w:r>
            <w:r w:rsidRPr="003E47A7">
              <w:rPr>
                <w:sz w:val="15"/>
                <w:szCs w:val="15"/>
              </w:rPr>
              <w:t xml:space="preserve"> m</w:t>
            </w:r>
            <w:r w:rsidRPr="003E47A7">
              <w:rPr>
                <w:sz w:val="15"/>
                <w:szCs w:val="15"/>
                <w:vertAlign w:val="superscript"/>
              </w:rPr>
              <w:t>2</w:t>
            </w:r>
            <w:r w:rsidRPr="003E47A7">
              <w:rPr>
                <w:sz w:val="15"/>
                <w:szCs w:val="15"/>
              </w:rPr>
              <w:t>, s průměrnou typickou zastavitelnost</w:t>
            </w:r>
            <w:r>
              <w:rPr>
                <w:sz w:val="15"/>
                <w:szCs w:val="15"/>
              </w:rPr>
              <w:t>í 5</w:t>
            </w:r>
            <w:r w:rsidRPr="003E47A7">
              <w:rPr>
                <w:sz w:val="15"/>
                <w:szCs w:val="15"/>
              </w:rPr>
              <w:t>-1</w:t>
            </w:r>
            <w:r>
              <w:rPr>
                <w:sz w:val="15"/>
                <w:szCs w:val="15"/>
              </w:rPr>
              <w:t xml:space="preserve">5%. </w:t>
            </w:r>
            <w:r w:rsidRPr="003E47A7">
              <w:rPr>
                <w:sz w:val="15"/>
                <w:szCs w:val="15"/>
              </w:rPr>
              <w:t xml:space="preserve">Charakter zástavby lokality udává zástavba individuálních rekreačních chat. Typickým zástupcem je chata </w:t>
            </w:r>
            <w:r w:rsidRPr="00926E24">
              <w:rPr>
                <w:sz w:val="15"/>
                <w:szCs w:val="15"/>
              </w:rPr>
              <w:t xml:space="preserve">č. ev. </w:t>
            </w:r>
            <w:r>
              <w:rPr>
                <w:sz w:val="15"/>
                <w:szCs w:val="15"/>
              </w:rPr>
              <w:t>24 o ZP cca 70</w:t>
            </w:r>
            <w:r w:rsidRPr="003E47A7">
              <w:rPr>
                <w:sz w:val="15"/>
                <w:szCs w:val="15"/>
              </w:rPr>
              <w:t xml:space="preserve"> m</w:t>
            </w:r>
            <w:r w:rsidRPr="003E47A7">
              <w:rPr>
                <w:sz w:val="15"/>
                <w:szCs w:val="15"/>
                <w:vertAlign w:val="superscript"/>
              </w:rPr>
              <w:t>2</w:t>
            </w:r>
            <w:r>
              <w:rPr>
                <w:sz w:val="15"/>
                <w:szCs w:val="15"/>
              </w:rPr>
              <w:t xml:space="preserve"> HS cca 950</w:t>
            </w:r>
            <w:r w:rsidRPr="003E47A7">
              <w:rPr>
                <w:sz w:val="15"/>
                <w:szCs w:val="15"/>
              </w:rPr>
              <w:t xml:space="preserve"> m</w:t>
            </w:r>
            <w:r w:rsidRPr="003E47A7">
              <w:rPr>
                <w:sz w:val="15"/>
                <w:szCs w:val="15"/>
                <w:vertAlign w:val="superscript"/>
              </w:rPr>
              <w:t>2</w:t>
            </w:r>
            <w:r>
              <w:rPr>
                <w:sz w:val="15"/>
                <w:szCs w:val="15"/>
              </w:rPr>
              <w:t xml:space="preserve"> (zastavitelnost cca 7</w:t>
            </w:r>
            <w:r w:rsidRPr="003E47A7">
              <w:rPr>
                <w:sz w:val="15"/>
                <w:szCs w:val="15"/>
              </w:rPr>
              <w:t xml:space="preserve">%) </w:t>
            </w:r>
            <w:r>
              <w:rPr>
                <w:sz w:val="15"/>
                <w:szCs w:val="15"/>
              </w:rPr>
              <w:t>.</w:t>
            </w:r>
          </w:p>
          <w:p w14:paraId="528596E3" w14:textId="77777777" w:rsidR="005F3739" w:rsidRPr="003E47A7" w:rsidRDefault="005F3739" w:rsidP="003A3351">
            <w:pPr>
              <w:ind w:left="0"/>
              <w:rPr>
                <w:sz w:val="15"/>
                <w:szCs w:val="15"/>
              </w:rPr>
            </w:pPr>
            <w:r>
              <w:rPr>
                <w:b/>
                <w:sz w:val="15"/>
                <w:szCs w:val="15"/>
                <w:u w:val="single"/>
              </w:rPr>
              <w:t>V plochách rekreace individuální (RI</w:t>
            </w:r>
            <w:r w:rsidRPr="003B1F87">
              <w:rPr>
                <w:b/>
                <w:sz w:val="15"/>
                <w:szCs w:val="15"/>
                <w:u w:val="single"/>
              </w:rPr>
              <w:t>)</w:t>
            </w:r>
            <w:r w:rsidRPr="003B1F87">
              <w:rPr>
                <w:sz w:val="15"/>
                <w:szCs w:val="15"/>
              </w:rPr>
              <w:t xml:space="preserve"> </w:t>
            </w:r>
            <w:r w:rsidRPr="003E47A7">
              <w:rPr>
                <w:sz w:val="15"/>
                <w:szCs w:val="15"/>
              </w:rPr>
              <w:t>je stanoven HS=0,</w:t>
            </w:r>
            <w:r>
              <w:rPr>
                <w:sz w:val="15"/>
                <w:szCs w:val="15"/>
              </w:rPr>
              <w:t>15</w:t>
            </w:r>
            <w:r w:rsidRPr="003E47A7">
              <w:rPr>
                <w:sz w:val="15"/>
                <w:szCs w:val="15"/>
              </w:rPr>
              <w:t xml:space="preserve"> pro hlavní stavbu tak, aby intenzita využití území respektovala charakter území. Zastavitelnost je stanovena jako maximální pro udržení charakteru rekreační lokality. KN=0,60 zajišťuje plochu zahrady určenou pro vsakování a retenci v území a zároveň poskytuje dostatečný prostor pro zahrady a vedlejší objekty.</w:t>
            </w:r>
          </w:p>
          <w:p w14:paraId="69FA6ECF" w14:textId="6B90B6B4" w:rsidR="005F3739" w:rsidRPr="003E47A7" w:rsidRDefault="005F3739" w:rsidP="003A3351">
            <w:pPr>
              <w:ind w:left="0"/>
              <w:rPr>
                <w:sz w:val="15"/>
                <w:szCs w:val="15"/>
                <w:highlight w:val="yellow"/>
              </w:rPr>
            </w:pPr>
            <w:r w:rsidRPr="003E47A7">
              <w:rPr>
                <w:sz w:val="15"/>
                <w:szCs w:val="15"/>
              </w:rPr>
              <w:t>Je doporučen</w:t>
            </w:r>
            <w:r w:rsidR="001D108F">
              <w:rPr>
                <w:sz w:val="15"/>
                <w:szCs w:val="15"/>
              </w:rPr>
              <w:t>o řešit</w:t>
            </w:r>
            <w:r w:rsidRPr="003E47A7">
              <w:rPr>
                <w:sz w:val="15"/>
                <w:szCs w:val="15"/>
              </w:rPr>
              <w:t xml:space="preserve"> parcelac</w:t>
            </w:r>
            <w:r w:rsidR="001D108F">
              <w:rPr>
                <w:sz w:val="15"/>
                <w:szCs w:val="15"/>
              </w:rPr>
              <w:t>i</w:t>
            </w:r>
            <w:r w:rsidRPr="003E47A7">
              <w:rPr>
                <w:sz w:val="15"/>
                <w:szCs w:val="15"/>
              </w:rPr>
              <w:t xml:space="preserve"> s ohledem na terénní podmínky a umožnění rovnoměrného rozmístění pozemků.</w:t>
            </w:r>
          </w:p>
        </w:tc>
      </w:tr>
      <w:tr w:rsidR="005F3739" w:rsidRPr="00182D52" w14:paraId="3BA27D98" w14:textId="77777777" w:rsidTr="00BD1D2E">
        <w:tc>
          <w:tcPr>
            <w:tcW w:w="682" w:type="dxa"/>
            <w:vMerge/>
          </w:tcPr>
          <w:p w14:paraId="2BAEC71D" w14:textId="77777777" w:rsidR="005F3739" w:rsidRDefault="005F3739" w:rsidP="003A3351">
            <w:pPr>
              <w:ind w:left="0"/>
              <w:rPr>
                <w:b/>
              </w:rPr>
            </w:pPr>
          </w:p>
        </w:tc>
        <w:tc>
          <w:tcPr>
            <w:tcW w:w="1254" w:type="dxa"/>
          </w:tcPr>
          <w:p w14:paraId="6B195B34" w14:textId="77777777" w:rsidR="005F3739" w:rsidRDefault="005F3739" w:rsidP="003A3351">
            <w:pPr>
              <w:ind w:left="0"/>
              <w:rPr>
                <w:b/>
              </w:rPr>
            </w:pPr>
            <w:r>
              <w:rPr>
                <w:b/>
              </w:rPr>
              <w:t>Uspořádání prostranství</w:t>
            </w:r>
          </w:p>
        </w:tc>
        <w:tc>
          <w:tcPr>
            <w:tcW w:w="6569" w:type="dxa"/>
          </w:tcPr>
          <w:p w14:paraId="46CCD885" w14:textId="77777777" w:rsidR="005F3739" w:rsidRDefault="005F3739" w:rsidP="003A3351">
            <w:pPr>
              <w:ind w:left="0"/>
              <w:rPr>
                <w:sz w:val="15"/>
                <w:szCs w:val="15"/>
              </w:rPr>
            </w:pPr>
            <w:r w:rsidRPr="0018028F">
              <w:rPr>
                <w:sz w:val="15"/>
                <w:szCs w:val="15"/>
              </w:rPr>
              <w:t>Veřejná prostranství tvoří</w:t>
            </w:r>
            <w:r>
              <w:rPr>
                <w:sz w:val="15"/>
                <w:szCs w:val="15"/>
              </w:rPr>
              <w:t xml:space="preserve"> obslužné komunikace pro rekreační lokality s nezpevněným travnatým lemem a účelové příjezdové komunikace.</w:t>
            </w:r>
          </w:p>
          <w:p w14:paraId="3B9B3F42" w14:textId="77777777" w:rsidR="005F3739" w:rsidRDefault="005F3739" w:rsidP="003A3351">
            <w:pPr>
              <w:ind w:left="0"/>
              <w:rPr>
                <w:sz w:val="15"/>
                <w:szCs w:val="15"/>
              </w:rPr>
            </w:pPr>
            <w:r w:rsidRPr="0053153C">
              <w:rPr>
                <w:iCs/>
                <w:sz w:val="15"/>
                <w:szCs w:val="15"/>
              </w:rPr>
              <w:t>P</w:t>
            </w:r>
            <w:r w:rsidRPr="0018028F">
              <w:rPr>
                <w:bCs/>
                <w:iCs/>
                <w:sz w:val="15"/>
                <w:szCs w:val="15"/>
              </w:rPr>
              <w:t xml:space="preserve">odmínka </w:t>
            </w:r>
            <w:r>
              <w:rPr>
                <w:bCs/>
                <w:iCs/>
                <w:sz w:val="15"/>
                <w:szCs w:val="15"/>
              </w:rPr>
              <w:t xml:space="preserve">řešit </w:t>
            </w:r>
            <w:r w:rsidRPr="0018028F">
              <w:rPr>
                <w:sz w:val="15"/>
                <w:szCs w:val="15"/>
              </w:rPr>
              <w:t>pojízdné plochy v minimálních nutných dimenzích</w:t>
            </w:r>
            <w:r>
              <w:rPr>
                <w:sz w:val="15"/>
                <w:szCs w:val="15"/>
              </w:rPr>
              <w:t xml:space="preserve"> je stanovena </w:t>
            </w:r>
            <w:r w:rsidRPr="0018028F">
              <w:rPr>
                <w:sz w:val="15"/>
                <w:szCs w:val="15"/>
              </w:rPr>
              <w:t xml:space="preserve">z důvodu zachování </w:t>
            </w:r>
            <w:r>
              <w:rPr>
                <w:sz w:val="15"/>
                <w:szCs w:val="15"/>
              </w:rPr>
              <w:t>krajinného charakteru</w:t>
            </w:r>
            <w:r w:rsidRPr="0018028F">
              <w:rPr>
                <w:sz w:val="15"/>
                <w:szCs w:val="15"/>
              </w:rPr>
              <w:t xml:space="preserve"> prostranství a kvality obytného prostředí. </w:t>
            </w:r>
          </w:p>
          <w:p w14:paraId="4DD691C1" w14:textId="77777777" w:rsidR="005F3739" w:rsidRPr="003E47A7" w:rsidRDefault="005F3739" w:rsidP="003A3351">
            <w:pPr>
              <w:ind w:left="0"/>
              <w:rPr>
                <w:sz w:val="15"/>
                <w:szCs w:val="15"/>
              </w:rPr>
            </w:pPr>
            <w:r w:rsidRPr="00606EF5">
              <w:rPr>
                <w:bCs/>
                <w:iCs/>
                <w:sz w:val="15"/>
                <w:szCs w:val="15"/>
              </w:rPr>
              <w:t xml:space="preserve">Podmínka </w:t>
            </w:r>
            <w:r w:rsidRPr="00606EF5">
              <w:rPr>
                <w:sz w:val="15"/>
                <w:szCs w:val="15"/>
              </w:rPr>
              <w:t>pěší prostupnosti lokality, vést pěší trasy tak, aby prezentovaly morfologické a přírodní prvky a vyhlídkové body v krajině,</w:t>
            </w:r>
            <w:r>
              <w:rPr>
                <w:sz w:val="15"/>
                <w:szCs w:val="15"/>
              </w:rPr>
              <w:t xml:space="preserve"> </w:t>
            </w:r>
            <w:r w:rsidRPr="00606EF5">
              <w:rPr>
                <w:sz w:val="15"/>
                <w:szCs w:val="15"/>
              </w:rPr>
              <w:t>je stanovena z důvodu zajištění citlivého řešení a lokalizace rekreační infrastruktury v</w:t>
            </w:r>
            <w:r>
              <w:rPr>
                <w:sz w:val="15"/>
                <w:szCs w:val="15"/>
              </w:rPr>
              <w:t> </w:t>
            </w:r>
            <w:r w:rsidRPr="00606EF5">
              <w:rPr>
                <w:sz w:val="15"/>
                <w:szCs w:val="15"/>
              </w:rPr>
              <w:t>krajině (cestní sítě, pobytových míst v krajině, drobné architektury).</w:t>
            </w:r>
          </w:p>
        </w:tc>
      </w:tr>
      <w:tr w:rsidR="005F3739" w:rsidRPr="00842869" w14:paraId="6A5FF7E0" w14:textId="77777777" w:rsidTr="00BD1D2E">
        <w:tc>
          <w:tcPr>
            <w:tcW w:w="682" w:type="dxa"/>
            <w:vMerge/>
          </w:tcPr>
          <w:p w14:paraId="63B8F9F2" w14:textId="77777777" w:rsidR="005F3739" w:rsidRDefault="005F3739" w:rsidP="003A3351">
            <w:pPr>
              <w:ind w:left="0"/>
              <w:rPr>
                <w:b/>
              </w:rPr>
            </w:pPr>
          </w:p>
        </w:tc>
        <w:tc>
          <w:tcPr>
            <w:tcW w:w="1254" w:type="dxa"/>
          </w:tcPr>
          <w:p w14:paraId="4A59AEED" w14:textId="77777777" w:rsidR="005F3739" w:rsidRDefault="005F3739" w:rsidP="003A3351">
            <w:pPr>
              <w:ind w:left="0"/>
              <w:rPr>
                <w:b/>
              </w:rPr>
            </w:pPr>
            <w:r>
              <w:rPr>
                <w:b/>
              </w:rPr>
              <w:t>Uspořádání zástavby</w:t>
            </w:r>
          </w:p>
        </w:tc>
        <w:tc>
          <w:tcPr>
            <w:tcW w:w="6569" w:type="dxa"/>
          </w:tcPr>
          <w:p w14:paraId="6D989728" w14:textId="77777777" w:rsidR="005F3739" w:rsidRPr="00182AF5" w:rsidRDefault="005F3739" w:rsidP="003A3351">
            <w:pPr>
              <w:ind w:left="0"/>
              <w:rPr>
                <w:sz w:val="15"/>
                <w:szCs w:val="15"/>
              </w:rPr>
            </w:pPr>
            <w:r w:rsidRPr="0018028F">
              <w:rPr>
                <w:sz w:val="15"/>
                <w:szCs w:val="15"/>
              </w:rPr>
              <w:t>Charakter zástavby udávají</w:t>
            </w:r>
            <w:r>
              <w:rPr>
                <w:sz w:val="15"/>
                <w:szCs w:val="15"/>
              </w:rPr>
              <w:t xml:space="preserve"> rodinné domy a rekreační chaty orientované okapovou i štítovou stranou rovnoběžně s veřejným prostranstvím.</w:t>
            </w:r>
          </w:p>
          <w:p w14:paraId="11EBCA4D" w14:textId="77777777" w:rsidR="005F3739" w:rsidRPr="00182AF5" w:rsidRDefault="005F3739" w:rsidP="003A3351">
            <w:pPr>
              <w:ind w:left="0"/>
              <w:rPr>
                <w:sz w:val="15"/>
                <w:szCs w:val="15"/>
              </w:rPr>
            </w:pPr>
            <w:r w:rsidRPr="00182AF5">
              <w:rPr>
                <w:sz w:val="15"/>
                <w:szCs w:val="15"/>
              </w:rPr>
              <w:t xml:space="preserve">Podmínka orientace kPV, sVP je stanovena z důvodu ochrany charakteru zástavby a umožňuje různorodost zástavby při dodržení ortogonálního vztahu k veřejnému prostranství. </w:t>
            </w:r>
          </w:p>
          <w:p w14:paraId="1DBCADB0" w14:textId="77777777" w:rsidR="005F3739" w:rsidRPr="005448C3" w:rsidRDefault="005F3739" w:rsidP="003A3351">
            <w:pPr>
              <w:ind w:left="0"/>
              <w:rPr>
                <w:sz w:val="15"/>
                <w:szCs w:val="15"/>
              </w:rPr>
            </w:pPr>
            <w:r w:rsidRPr="00182AF5">
              <w:rPr>
                <w:sz w:val="15"/>
                <w:szCs w:val="15"/>
              </w:rPr>
              <w:t xml:space="preserve">Podmínka nepřípustnosti řadové zástavby je stanovena z důvodu ochrany </w:t>
            </w:r>
            <w:r>
              <w:rPr>
                <w:sz w:val="15"/>
                <w:szCs w:val="15"/>
              </w:rPr>
              <w:t>pohledů a krajinného rázu.</w:t>
            </w:r>
          </w:p>
        </w:tc>
      </w:tr>
      <w:tr w:rsidR="005F3739" w:rsidRPr="00842869" w14:paraId="6058B6A2" w14:textId="77777777" w:rsidTr="00BD1D2E">
        <w:tc>
          <w:tcPr>
            <w:tcW w:w="682" w:type="dxa"/>
            <w:vMerge/>
          </w:tcPr>
          <w:p w14:paraId="7EB53C64" w14:textId="77777777" w:rsidR="005F3739" w:rsidRDefault="005F3739" w:rsidP="003A3351">
            <w:pPr>
              <w:ind w:left="0"/>
              <w:rPr>
                <w:b/>
                <w:sz w:val="28"/>
                <w:szCs w:val="28"/>
              </w:rPr>
            </w:pPr>
          </w:p>
        </w:tc>
        <w:tc>
          <w:tcPr>
            <w:tcW w:w="1254" w:type="dxa"/>
          </w:tcPr>
          <w:p w14:paraId="09DAB760" w14:textId="77777777" w:rsidR="005F3739" w:rsidRPr="00B960DF" w:rsidRDefault="005F3739" w:rsidP="003A3351">
            <w:pPr>
              <w:ind w:left="0"/>
              <w:rPr>
                <w:b/>
              </w:rPr>
            </w:pPr>
            <w:r>
              <w:rPr>
                <w:b/>
              </w:rPr>
              <w:t>Uspořádání přírodních prvků</w:t>
            </w:r>
          </w:p>
        </w:tc>
        <w:tc>
          <w:tcPr>
            <w:tcW w:w="6569" w:type="dxa"/>
          </w:tcPr>
          <w:p w14:paraId="26B998D8" w14:textId="77777777" w:rsidR="005F3739" w:rsidRPr="00944DA7" w:rsidRDefault="005F3739" w:rsidP="003A3351">
            <w:pPr>
              <w:ind w:left="0"/>
              <w:rPr>
                <w:sz w:val="15"/>
                <w:szCs w:val="15"/>
              </w:rPr>
            </w:pPr>
            <w:r>
              <w:rPr>
                <w:sz w:val="15"/>
                <w:szCs w:val="15"/>
              </w:rPr>
              <w:t>Charakter lokality udávají smíšené lesy a přírodní park Údolí Bystřice a</w:t>
            </w:r>
            <w:r w:rsidRPr="00FD705A">
              <w:rPr>
                <w:sz w:val="15"/>
                <w:szCs w:val="15"/>
              </w:rPr>
              <w:t xml:space="preserve"> orná půda V. třídy ochrany ZPF</w:t>
            </w:r>
            <w:r>
              <w:rPr>
                <w:sz w:val="15"/>
                <w:szCs w:val="15"/>
              </w:rPr>
              <w:t xml:space="preserve"> . </w:t>
            </w:r>
            <w:r w:rsidRPr="0018028F">
              <w:rPr>
                <w:sz w:val="15"/>
                <w:szCs w:val="15"/>
              </w:rPr>
              <w:t>Skupiny dřevin a stromo</w:t>
            </w:r>
            <w:r>
              <w:rPr>
                <w:sz w:val="15"/>
                <w:szCs w:val="15"/>
              </w:rPr>
              <w:t xml:space="preserve">řadí jsou uspořádány jako remízy v blízkosti vodních toků, </w:t>
            </w:r>
            <w:r w:rsidRPr="0018028F">
              <w:rPr>
                <w:sz w:val="15"/>
                <w:szCs w:val="15"/>
              </w:rPr>
              <w:t>na terénních zlomech a v</w:t>
            </w:r>
            <w:r>
              <w:rPr>
                <w:sz w:val="15"/>
                <w:szCs w:val="15"/>
              </w:rPr>
              <w:t> </w:t>
            </w:r>
            <w:r w:rsidRPr="0018028F">
              <w:rPr>
                <w:sz w:val="15"/>
                <w:szCs w:val="15"/>
              </w:rPr>
              <w:t>zářezech</w:t>
            </w:r>
            <w:r>
              <w:rPr>
                <w:sz w:val="15"/>
                <w:szCs w:val="15"/>
              </w:rPr>
              <w:t>.</w:t>
            </w:r>
          </w:p>
          <w:p w14:paraId="39296E6F" w14:textId="77777777" w:rsidR="005F3739" w:rsidRDefault="005F3739" w:rsidP="003A3351">
            <w:pPr>
              <w:ind w:left="0"/>
              <w:rPr>
                <w:sz w:val="15"/>
                <w:szCs w:val="15"/>
              </w:rPr>
            </w:pPr>
            <w:r>
              <w:rPr>
                <w:sz w:val="15"/>
                <w:szCs w:val="15"/>
              </w:rPr>
              <w:t>P</w:t>
            </w:r>
            <w:r w:rsidRPr="001F01A6">
              <w:rPr>
                <w:sz w:val="15"/>
                <w:szCs w:val="15"/>
              </w:rPr>
              <w:t xml:space="preserve">odmínka </w:t>
            </w:r>
            <w:r w:rsidRPr="00BF022B">
              <w:rPr>
                <w:sz w:val="15"/>
                <w:szCs w:val="15"/>
              </w:rPr>
              <w:t xml:space="preserve">skupiny dřevin </w:t>
            </w:r>
            <w:r>
              <w:rPr>
                <w:sz w:val="15"/>
                <w:szCs w:val="15"/>
              </w:rPr>
              <w:t xml:space="preserve">podél ploch dopravy silniční (DS) vodních toků </w:t>
            </w:r>
            <w:r w:rsidRPr="00BF022B">
              <w:rPr>
                <w:sz w:val="15"/>
                <w:szCs w:val="15"/>
              </w:rPr>
              <w:t>na terénních zlomech, v</w:t>
            </w:r>
            <w:r>
              <w:rPr>
                <w:sz w:val="15"/>
                <w:szCs w:val="15"/>
              </w:rPr>
              <w:t> </w:t>
            </w:r>
            <w:r w:rsidRPr="00BF022B">
              <w:rPr>
                <w:sz w:val="15"/>
                <w:szCs w:val="15"/>
              </w:rPr>
              <w:t>terénních zářezech</w:t>
            </w:r>
            <w:r>
              <w:rPr>
                <w:sz w:val="15"/>
                <w:szCs w:val="15"/>
              </w:rPr>
              <w:t>, v trasách interakčních prvků</w:t>
            </w:r>
            <w:r w:rsidRPr="00BF022B">
              <w:rPr>
                <w:sz w:val="15"/>
                <w:szCs w:val="15"/>
              </w:rPr>
              <w:t xml:space="preserve"> a v b</w:t>
            </w:r>
            <w:r>
              <w:rPr>
                <w:sz w:val="15"/>
                <w:szCs w:val="15"/>
              </w:rPr>
              <w:t>lízkosti pěších tras</w:t>
            </w:r>
            <w:r w:rsidRPr="001F01A6">
              <w:rPr>
                <w:sz w:val="15"/>
                <w:szCs w:val="15"/>
              </w:rPr>
              <w:t xml:space="preserve"> </w:t>
            </w:r>
            <w:r>
              <w:rPr>
                <w:sz w:val="15"/>
                <w:szCs w:val="15"/>
              </w:rPr>
              <w:t>je stanovena z důvodu ochrany a rozvoje</w:t>
            </w:r>
            <w:r w:rsidRPr="001F01A6">
              <w:rPr>
                <w:sz w:val="15"/>
                <w:szCs w:val="15"/>
              </w:rPr>
              <w:t xml:space="preserve"> charakteru a krajinného rázu lokality a stabilizaci vodního režimu krajiny.</w:t>
            </w:r>
          </w:p>
          <w:p w14:paraId="057E7B9C" w14:textId="77777777" w:rsidR="005F3739" w:rsidRPr="00944DA7" w:rsidRDefault="005F3739" w:rsidP="003A3351">
            <w:pPr>
              <w:ind w:left="0"/>
              <w:rPr>
                <w:sz w:val="15"/>
                <w:szCs w:val="15"/>
                <w:highlight w:val="yellow"/>
              </w:rPr>
            </w:pPr>
            <w:r w:rsidRPr="00BF022B">
              <w:rPr>
                <w:sz w:val="15"/>
                <w:szCs w:val="15"/>
              </w:rPr>
              <w:t>Je doporučeno využívání místních dřevin.</w:t>
            </w:r>
          </w:p>
        </w:tc>
      </w:tr>
      <w:tr w:rsidR="005F3739" w:rsidRPr="009D4DBB" w14:paraId="34236C2D" w14:textId="77777777" w:rsidTr="00BD1D2E">
        <w:trPr>
          <w:trHeight w:val="5857"/>
        </w:trPr>
        <w:tc>
          <w:tcPr>
            <w:tcW w:w="682" w:type="dxa"/>
            <w:vMerge/>
          </w:tcPr>
          <w:p w14:paraId="46635013" w14:textId="77777777" w:rsidR="005F3739" w:rsidRDefault="005F3739" w:rsidP="003A3351">
            <w:pPr>
              <w:ind w:left="0"/>
              <w:rPr>
                <w:b/>
                <w:sz w:val="28"/>
                <w:szCs w:val="28"/>
              </w:rPr>
            </w:pPr>
          </w:p>
        </w:tc>
        <w:tc>
          <w:tcPr>
            <w:tcW w:w="1254" w:type="dxa"/>
          </w:tcPr>
          <w:p w14:paraId="6B03BFF7" w14:textId="77777777" w:rsidR="005F3739" w:rsidRPr="00B960DF" w:rsidRDefault="005F3739" w:rsidP="003A3351">
            <w:pPr>
              <w:ind w:left="0"/>
              <w:rPr>
                <w:b/>
              </w:rPr>
            </w:pPr>
            <w:r>
              <w:rPr>
                <w:b/>
              </w:rPr>
              <w:t>Specifické uspořádání</w:t>
            </w:r>
          </w:p>
        </w:tc>
        <w:tc>
          <w:tcPr>
            <w:tcW w:w="6569" w:type="dxa"/>
          </w:tcPr>
          <w:p w14:paraId="09E8697C" w14:textId="77777777" w:rsidR="005F3739" w:rsidRPr="00944DA7" w:rsidRDefault="005F3739" w:rsidP="003A3351">
            <w:pPr>
              <w:ind w:left="0"/>
              <w:rPr>
                <w:sz w:val="15"/>
                <w:szCs w:val="15"/>
              </w:rPr>
            </w:pPr>
            <w:r>
              <w:rPr>
                <w:sz w:val="15"/>
                <w:szCs w:val="15"/>
              </w:rPr>
              <w:t>-</w:t>
            </w:r>
          </w:p>
        </w:tc>
      </w:tr>
    </w:tbl>
    <w:p w14:paraId="1182CE71" w14:textId="77777777" w:rsidR="00BD1D2E" w:rsidRDefault="00BD1D2E">
      <w:pPr>
        <w:spacing w:before="0" w:after="0"/>
        <w:ind w:left="0"/>
        <w:jc w:val="left"/>
        <w:rPr>
          <w:b/>
          <w:sz w:val="15"/>
          <w:szCs w:val="15"/>
        </w:rPr>
      </w:pPr>
      <w:r>
        <w:rPr>
          <w:b/>
          <w:sz w:val="15"/>
          <w:szCs w:val="15"/>
        </w:rPr>
        <w:br w:type="page"/>
      </w:r>
    </w:p>
    <w:tbl>
      <w:tblPr>
        <w:tblStyle w:val="Motivtabulky"/>
        <w:tblW w:w="8505" w:type="dxa"/>
        <w:tblBorders>
          <w:top w:val="dashSmallGap" w:sz="4" w:space="0" w:color="auto"/>
          <w:bottom w:val="dashSmallGap" w:sz="4" w:space="0" w:color="auto"/>
          <w:insideH w:val="dashSmallGap" w:sz="4" w:space="0" w:color="auto"/>
        </w:tblBorders>
        <w:tblLook w:val="04A0" w:firstRow="1" w:lastRow="0" w:firstColumn="1" w:lastColumn="0" w:noHBand="0" w:noVBand="1"/>
      </w:tblPr>
      <w:tblGrid>
        <w:gridCol w:w="682"/>
        <w:gridCol w:w="1254"/>
        <w:gridCol w:w="6569"/>
      </w:tblGrid>
      <w:tr w:rsidR="005F3739" w14:paraId="067A1936" w14:textId="77777777" w:rsidTr="00BD1D2E">
        <w:tc>
          <w:tcPr>
            <w:tcW w:w="1936" w:type="dxa"/>
            <w:gridSpan w:val="2"/>
          </w:tcPr>
          <w:p w14:paraId="5A836B91" w14:textId="0B5BFD7A" w:rsidR="005F3739" w:rsidRPr="00944DA7" w:rsidRDefault="005F3739" w:rsidP="003A3351">
            <w:pPr>
              <w:ind w:left="0"/>
              <w:rPr>
                <w:b/>
                <w:sz w:val="24"/>
              </w:rPr>
            </w:pPr>
            <w:r>
              <w:rPr>
                <w:b/>
                <w:sz w:val="24"/>
              </w:rPr>
              <w:lastRenderedPageBreak/>
              <w:t>L.</w:t>
            </w:r>
            <w:r w:rsidR="00BD1D2E">
              <w:rPr>
                <w:b/>
                <w:sz w:val="24"/>
              </w:rPr>
              <w:t>07</w:t>
            </w:r>
          </w:p>
        </w:tc>
        <w:tc>
          <w:tcPr>
            <w:tcW w:w="6569" w:type="dxa"/>
            <w:vAlign w:val="bottom"/>
          </w:tcPr>
          <w:p w14:paraId="7EC27E74" w14:textId="77777777" w:rsidR="005F3739" w:rsidRPr="00944DA7" w:rsidRDefault="005F3739" w:rsidP="003A3351">
            <w:pPr>
              <w:ind w:left="0"/>
              <w:rPr>
                <w:b/>
                <w:sz w:val="28"/>
                <w:szCs w:val="28"/>
              </w:rPr>
            </w:pPr>
            <w:r>
              <w:rPr>
                <w:b/>
                <w:sz w:val="24"/>
              </w:rPr>
              <w:t>Údolí Trnavy</w:t>
            </w:r>
          </w:p>
        </w:tc>
      </w:tr>
      <w:tr w:rsidR="005F3739" w14:paraId="69A283EC" w14:textId="77777777" w:rsidTr="00BD1D2E">
        <w:tc>
          <w:tcPr>
            <w:tcW w:w="8505" w:type="dxa"/>
            <w:gridSpan w:val="3"/>
            <w:vAlign w:val="bottom"/>
          </w:tcPr>
          <w:p w14:paraId="1525E3D8" w14:textId="77777777" w:rsidR="005F3739" w:rsidRDefault="005F3739" w:rsidP="003A3351">
            <w:pPr>
              <w:ind w:left="0"/>
            </w:pPr>
            <w:r>
              <w:t>Rekreačně využívané svahy údolí Trnavy</w:t>
            </w:r>
          </w:p>
        </w:tc>
      </w:tr>
      <w:tr w:rsidR="005F3739" w14:paraId="3BD3FABE" w14:textId="77777777" w:rsidTr="00BD1D2E">
        <w:tc>
          <w:tcPr>
            <w:tcW w:w="1936" w:type="dxa"/>
            <w:gridSpan w:val="2"/>
          </w:tcPr>
          <w:p w14:paraId="1AABE641" w14:textId="77777777" w:rsidR="005F3739" w:rsidRDefault="005F3739" w:rsidP="003A3351">
            <w:pPr>
              <w:ind w:left="0"/>
              <w:rPr>
                <w:b/>
                <w:sz w:val="28"/>
                <w:szCs w:val="28"/>
              </w:rPr>
            </w:pPr>
            <w:r w:rsidRPr="00CB1ACC">
              <w:rPr>
                <w:b/>
              </w:rPr>
              <w:t>Vymezení</w:t>
            </w:r>
          </w:p>
        </w:tc>
        <w:tc>
          <w:tcPr>
            <w:tcW w:w="6569" w:type="dxa"/>
          </w:tcPr>
          <w:p w14:paraId="4FAD0635" w14:textId="77777777" w:rsidR="005F3739" w:rsidRPr="00944DA7" w:rsidRDefault="005F3739" w:rsidP="003A3351">
            <w:pPr>
              <w:ind w:left="0"/>
              <w:rPr>
                <w:sz w:val="15"/>
                <w:szCs w:val="15"/>
                <w:highlight w:val="yellow"/>
              </w:rPr>
            </w:pPr>
            <w:r w:rsidRPr="00944DA7">
              <w:rPr>
                <w:sz w:val="15"/>
                <w:szCs w:val="15"/>
              </w:rPr>
              <w:t xml:space="preserve">Lokalita je </w:t>
            </w:r>
            <w:r>
              <w:rPr>
                <w:sz w:val="15"/>
                <w:szCs w:val="15"/>
              </w:rPr>
              <w:t>vymezena mezi vodními toky Hluboček a Nepřívazský potok, z východu je limitována uzavřenou lokalitou vojenského újezdu Libavá a ze západu centrem Hluboček.</w:t>
            </w:r>
          </w:p>
        </w:tc>
      </w:tr>
      <w:tr w:rsidR="005F3739" w:rsidRPr="00842869" w14:paraId="0AA0F02B" w14:textId="77777777" w:rsidTr="00BD1D2E">
        <w:tc>
          <w:tcPr>
            <w:tcW w:w="682" w:type="dxa"/>
            <w:vMerge w:val="restart"/>
            <w:textDirection w:val="btLr"/>
          </w:tcPr>
          <w:p w14:paraId="4E471C8B" w14:textId="77777777" w:rsidR="005F3739" w:rsidRPr="00B960DF" w:rsidRDefault="005F3739" w:rsidP="003A3351">
            <w:pPr>
              <w:ind w:left="113" w:right="113"/>
              <w:jc w:val="right"/>
              <w:rPr>
                <w:b/>
              </w:rPr>
            </w:pPr>
            <w:r>
              <w:rPr>
                <w:b/>
              </w:rPr>
              <w:t>Prvky</w:t>
            </w:r>
          </w:p>
        </w:tc>
        <w:tc>
          <w:tcPr>
            <w:tcW w:w="1254" w:type="dxa"/>
          </w:tcPr>
          <w:p w14:paraId="191EF251" w14:textId="77777777" w:rsidR="005F3739" w:rsidRPr="00B960DF" w:rsidRDefault="005F3739" w:rsidP="003A3351">
            <w:pPr>
              <w:ind w:left="0"/>
              <w:rPr>
                <w:b/>
              </w:rPr>
            </w:pPr>
            <w:r w:rsidRPr="00B960DF">
              <w:rPr>
                <w:b/>
              </w:rPr>
              <w:t>Plošné řešení zástavby</w:t>
            </w:r>
          </w:p>
        </w:tc>
        <w:tc>
          <w:tcPr>
            <w:tcW w:w="6569" w:type="dxa"/>
          </w:tcPr>
          <w:p w14:paraId="5342BD87" w14:textId="77777777" w:rsidR="005F3739" w:rsidRDefault="005F3739" w:rsidP="003A3351">
            <w:pPr>
              <w:ind w:left="0"/>
              <w:rPr>
                <w:sz w:val="15"/>
                <w:szCs w:val="15"/>
              </w:rPr>
            </w:pPr>
            <w:r>
              <w:rPr>
                <w:sz w:val="15"/>
                <w:szCs w:val="15"/>
              </w:rPr>
              <w:t>Charakter zástavby udávají rekreační objekty s poměrem stran od 1:1 až po 1:1,2.</w:t>
            </w:r>
          </w:p>
          <w:p w14:paraId="426DD569" w14:textId="77777777" w:rsidR="005F3739" w:rsidRPr="00944DA7" w:rsidRDefault="005F3739" w:rsidP="003A3351">
            <w:pPr>
              <w:ind w:left="0"/>
              <w:rPr>
                <w:sz w:val="15"/>
                <w:szCs w:val="15"/>
              </w:rPr>
            </w:pPr>
            <w:r w:rsidRPr="00A53E1A">
              <w:rPr>
                <w:sz w:val="15"/>
                <w:szCs w:val="15"/>
              </w:rPr>
              <w:t>Je doporučeno při plošném řešení zástavby respektovat terénní podmínky.</w:t>
            </w:r>
          </w:p>
        </w:tc>
      </w:tr>
      <w:tr w:rsidR="005F3739" w:rsidRPr="004B4D78" w14:paraId="5EC3AFCD" w14:textId="77777777" w:rsidTr="00BD1D2E">
        <w:tc>
          <w:tcPr>
            <w:tcW w:w="682" w:type="dxa"/>
            <w:vMerge/>
          </w:tcPr>
          <w:p w14:paraId="5B2A5EFC" w14:textId="77777777" w:rsidR="005F3739" w:rsidRDefault="005F3739" w:rsidP="003A3351">
            <w:pPr>
              <w:ind w:left="0"/>
              <w:rPr>
                <w:b/>
              </w:rPr>
            </w:pPr>
          </w:p>
        </w:tc>
        <w:tc>
          <w:tcPr>
            <w:tcW w:w="1254" w:type="dxa"/>
          </w:tcPr>
          <w:p w14:paraId="038AE0B0" w14:textId="77777777" w:rsidR="005F3739" w:rsidRPr="00B960DF" w:rsidRDefault="005F3739" w:rsidP="003A3351">
            <w:pPr>
              <w:ind w:left="0"/>
              <w:rPr>
                <w:b/>
              </w:rPr>
            </w:pPr>
            <w:r w:rsidRPr="00B960DF">
              <w:rPr>
                <w:b/>
              </w:rPr>
              <w:t>Výškové řešení zástavby</w:t>
            </w:r>
          </w:p>
        </w:tc>
        <w:tc>
          <w:tcPr>
            <w:tcW w:w="6569" w:type="dxa"/>
          </w:tcPr>
          <w:p w14:paraId="01DA6C13" w14:textId="77777777" w:rsidR="005F3739" w:rsidRDefault="005F3739" w:rsidP="003A3351">
            <w:pPr>
              <w:ind w:left="0"/>
              <w:rPr>
                <w:sz w:val="15"/>
                <w:szCs w:val="15"/>
              </w:rPr>
            </w:pPr>
            <w:r w:rsidRPr="00EC2AFC">
              <w:rPr>
                <w:sz w:val="15"/>
                <w:szCs w:val="15"/>
              </w:rPr>
              <w:t>Zás</w:t>
            </w:r>
            <w:r>
              <w:rPr>
                <w:sz w:val="15"/>
                <w:szCs w:val="15"/>
              </w:rPr>
              <w:t>tavbu tvoří převážně objekty o 1-2</w:t>
            </w:r>
            <w:r w:rsidRPr="00EC2AFC">
              <w:rPr>
                <w:sz w:val="15"/>
                <w:szCs w:val="15"/>
              </w:rPr>
              <w:t xml:space="preserve"> NP, resp. jednom </w:t>
            </w:r>
            <w:r>
              <w:rPr>
                <w:sz w:val="15"/>
                <w:szCs w:val="15"/>
              </w:rPr>
              <w:t>podlaží a podkroví</w:t>
            </w:r>
            <w:r w:rsidRPr="00EC2AFC">
              <w:rPr>
                <w:sz w:val="15"/>
                <w:szCs w:val="15"/>
              </w:rPr>
              <w:t>. Výrazný</w:t>
            </w:r>
            <w:r>
              <w:rPr>
                <w:sz w:val="15"/>
                <w:szCs w:val="15"/>
              </w:rPr>
              <w:t xml:space="preserve"> charakter střešní krajiny</w:t>
            </w:r>
            <w:r w:rsidRPr="00EC2AFC">
              <w:rPr>
                <w:sz w:val="15"/>
                <w:szCs w:val="15"/>
              </w:rPr>
              <w:t xml:space="preserve">, udávají převážně </w:t>
            </w:r>
            <w:r>
              <w:rPr>
                <w:sz w:val="15"/>
                <w:szCs w:val="15"/>
              </w:rPr>
              <w:t>střechy šikmé</w:t>
            </w:r>
            <w:r w:rsidRPr="00EC2AFC">
              <w:rPr>
                <w:sz w:val="15"/>
                <w:szCs w:val="15"/>
              </w:rPr>
              <w:t>.</w:t>
            </w:r>
          </w:p>
          <w:p w14:paraId="3370C7DB" w14:textId="77777777" w:rsidR="005F3739" w:rsidRDefault="005F3739" w:rsidP="003A3351">
            <w:pPr>
              <w:ind w:left="0"/>
              <w:rPr>
                <w:sz w:val="15"/>
                <w:szCs w:val="15"/>
              </w:rPr>
            </w:pPr>
            <w:r w:rsidRPr="00A53E1A">
              <w:rPr>
                <w:sz w:val="15"/>
                <w:szCs w:val="15"/>
              </w:rPr>
              <w:t>Podmínka max</w:t>
            </w:r>
            <w:r>
              <w:rPr>
                <w:sz w:val="15"/>
                <w:szCs w:val="15"/>
              </w:rPr>
              <w:t>.</w:t>
            </w:r>
            <w:r w:rsidRPr="00A53E1A">
              <w:rPr>
                <w:sz w:val="15"/>
                <w:szCs w:val="15"/>
              </w:rPr>
              <w:t xml:space="preserve"> 2</w:t>
            </w:r>
            <w:r>
              <w:rPr>
                <w:sz w:val="15"/>
                <w:szCs w:val="15"/>
              </w:rPr>
              <w:t xml:space="preserve"> </w:t>
            </w:r>
            <w:r w:rsidRPr="00A53E1A">
              <w:rPr>
                <w:sz w:val="15"/>
                <w:szCs w:val="15"/>
              </w:rPr>
              <w:t>NP je stanovena z důvodu ochrany ch</w:t>
            </w:r>
            <w:r>
              <w:rPr>
                <w:sz w:val="15"/>
                <w:szCs w:val="15"/>
              </w:rPr>
              <w:t>arakteru krajiny.</w:t>
            </w:r>
          </w:p>
          <w:p w14:paraId="08AFE3D2" w14:textId="77777777" w:rsidR="005F3739" w:rsidRPr="00674302" w:rsidRDefault="005F3739" w:rsidP="003A3351">
            <w:pPr>
              <w:ind w:left="0"/>
              <w:rPr>
                <w:sz w:val="15"/>
                <w:szCs w:val="15"/>
              </w:rPr>
            </w:pPr>
            <w:r w:rsidRPr="00A53E1A">
              <w:rPr>
                <w:sz w:val="15"/>
                <w:szCs w:val="15"/>
              </w:rPr>
              <w:t xml:space="preserve">Podmínka typické střešní krajiny zástavby je stanovena z důvodu ochrany charakteru </w:t>
            </w:r>
            <w:r>
              <w:rPr>
                <w:sz w:val="15"/>
                <w:szCs w:val="15"/>
              </w:rPr>
              <w:t>krajiny.</w:t>
            </w:r>
          </w:p>
        </w:tc>
      </w:tr>
      <w:tr w:rsidR="005F3739" w:rsidRPr="00842869" w14:paraId="491BC843" w14:textId="77777777" w:rsidTr="00BD1D2E">
        <w:tc>
          <w:tcPr>
            <w:tcW w:w="682" w:type="dxa"/>
            <w:vMerge/>
          </w:tcPr>
          <w:p w14:paraId="143C3460" w14:textId="77777777" w:rsidR="005F3739" w:rsidRDefault="005F3739" w:rsidP="003A3351">
            <w:pPr>
              <w:ind w:left="0"/>
              <w:rPr>
                <w:b/>
              </w:rPr>
            </w:pPr>
          </w:p>
        </w:tc>
        <w:tc>
          <w:tcPr>
            <w:tcW w:w="1254" w:type="dxa"/>
          </w:tcPr>
          <w:p w14:paraId="64B205BD" w14:textId="77777777" w:rsidR="005F3739" w:rsidRPr="00B960DF" w:rsidRDefault="005F3739" w:rsidP="003A3351">
            <w:pPr>
              <w:ind w:left="0"/>
              <w:rPr>
                <w:b/>
              </w:rPr>
            </w:pPr>
            <w:r>
              <w:rPr>
                <w:b/>
              </w:rPr>
              <w:t>Charakter přírodních prvků</w:t>
            </w:r>
          </w:p>
        </w:tc>
        <w:tc>
          <w:tcPr>
            <w:tcW w:w="6569" w:type="dxa"/>
          </w:tcPr>
          <w:p w14:paraId="1C930CB6" w14:textId="374B545A" w:rsidR="005F3739" w:rsidRDefault="005F3739" w:rsidP="003A3351">
            <w:pPr>
              <w:ind w:left="0"/>
              <w:rPr>
                <w:sz w:val="15"/>
                <w:szCs w:val="15"/>
              </w:rPr>
            </w:pPr>
            <w:r w:rsidRPr="00E6313D">
              <w:rPr>
                <w:sz w:val="15"/>
                <w:szCs w:val="15"/>
              </w:rPr>
              <w:t xml:space="preserve">Přírodní prvky </w:t>
            </w:r>
            <w:r>
              <w:rPr>
                <w:sz w:val="15"/>
                <w:szCs w:val="15"/>
              </w:rPr>
              <w:t>zastavěného území</w:t>
            </w:r>
            <w:r w:rsidRPr="00E6313D">
              <w:rPr>
                <w:sz w:val="15"/>
                <w:szCs w:val="15"/>
              </w:rPr>
              <w:t xml:space="preserve"> tvoří dřeviny, rostliny a zatravněné plochy jako součást zahrad a</w:t>
            </w:r>
            <w:r w:rsidR="004F10AE">
              <w:rPr>
                <w:sz w:val="15"/>
                <w:szCs w:val="15"/>
              </w:rPr>
              <w:t> </w:t>
            </w:r>
            <w:r w:rsidRPr="00E6313D">
              <w:rPr>
                <w:sz w:val="15"/>
                <w:szCs w:val="15"/>
              </w:rPr>
              <w:t xml:space="preserve">veřejných prostranství. Přírodní prvky </w:t>
            </w:r>
            <w:r>
              <w:rPr>
                <w:sz w:val="15"/>
                <w:szCs w:val="15"/>
              </w:rPr>
              <w:t>nezastavěného území</w:t>
            </w:r>
            <w:r w:rsidRPr="00E6313D">
              <w:rPr>
                <w:sz w:val="15"/>
                <w:szCs w:val="15"/>
              </w:rPr>
              <w:t xml:space="preserve"> tvoří</w:t>
            </w:r>
            <w:r>
              <w:rPr>
                <w:sz w:val="15"/>
                <w:szCs w:val="15"/>
              </w:rPr>
              <w:t xml:space="preserve"> zejména zemědělská půda a</w:t>
            </w:r>
            <w:r w:rsidR="004F10AE">
              <w:rPr>
                <w:sz w:val="15"/>
                <w:szCs w:val="15"/>
              </w:rPr>
              <w:t> </w:t>
            </w:r>
            <w:r>
              <w:rPr>
                <w:sz w:val="15"/>
                <w:szCs w:val="15"/>
              </w:rPr>
              <w:t>zalesněné terénní zlomy.</w:t>
            </w:r>
          </w:p>
          <w:p w14:paraId="505B6EEB" w14:textId="77777777" w:rsidR="005F3739" w:rsidRDefault="005F3739" w:rsidP="003A3351">
            <w:pPr>
              <w:ind w:left="0"/>
              <w:rPr>
                <w:sz w:val="15"/>
                <w:szCs w:val="15"/>
              </w:rPr>
            </w:pPr>
            <w:r w:rsidRPr="003B1F87">
              <w:rPr>
                <w:sz w:val="15"/>
                <w:szCs w:val="15"/>
              </w:rPr>
              <w:t xml:space="preserve">Podmínka přírodního charakteru </w:t>
            </w:r>
            <w:r w:rsidRPr="003B1F87">
              <w:rPr>
                <w:b/>
                <w:sz w:val="15"/>
                <w:szCs w:val="15"/>
                <w:u w:val="single"/>
              </w:rPr>
              <w:t xml:space="preserve">koryta </w:t>
            </w:r>
            <w:r>
              <w:rPr>
                <w:b/>
                <w:sz w:val="15"/>
                <w:szCs w:val="15"/>
                <w:u w:val="single"/>
              </w:rPr>
              <w:t>Trnavy</w:t>
            </w:r>
            <w:r w:rsidRPr="004E5C8A">
              <w:rPr>
                <w:b/>
                <w:sz w:val="15"/>
                <w:szCs w:val="15"/>
              </w:rPr>
              <w:t xml:space="preserve"> </w:t>
            </w:r>
            <w:r w:rsidRPr="003B1F87">
              <w:rPr>
                <w:sz w:val="15"/>
                <w:szCs w:val="15"/>
              </w:rPr>
              <w:t>je stanovena s důvodu ochrany cenného biotopu říční nivy a doprovodných remízů a přírodních prvků.</w:t>
            </w:r>
          </w:p>
          <w:p w14:paraId="5EBB0E2D" w14:textId="77777777" w:rsidR="005F3739" w:rsidRPr="00944DA7" w:rsidRDefault="005F3739" w:rsidP="003A3351">
            <w:pPr>
              <w:ind w:left="0"/>
              <w:rPr>
                <w:sz w:val="15"/>
                <w:szCs w:val="15"/>
                <w:highlight w:val="yellow"/>
              </w:rPr>
            </w:pPr>
            <w:r w:rsidRPr="00E6313D">
              <w:rPr>
                <w:sz w:val="15"/>
                <w:szCs w:val="15"/>
              </w:rPr>
              <w:t>Je doporučeno využívání místních dřevin.</w:t>
            </w:r>
            <w:r w:rsidRPr="00944DA7">
              <w:rPr>
                <w:sz w:val="15"/>
                <w:szCs w:val="15"/>
              </w:rPr>
              <w:t xml:space="preserve"> </w:t>
            </w:r>
          </w:p>
        </w:tc>
      </w:tr>
      <w:tr w:rsidR="005F3739" w:rsidRPr="00842869" w14:paraId="53A7984C" w14:textId="77777777" w:rsidTr="00BD1D2E">
        <w:tc>
          <w:tcPr>
            <w:tcW w:w="682" w:type="dxa"/>
            <w:vMerge/>
          </w:tcPr>
          <w:p w14:paraId="49DE8C1B" w14:textId="77777777" w:rsidR="005F3739" w:rsidRDefault="005F3739" w:rsidP="003A3351">
            <w:pPr>
              <w:ind w:left="0"/>
              <w:rPr>
                <w:b/>
              </w:rPr>
            </w:pPr>
          </w:p>
        </w:tc>
        <w:tc>
          <w:tcPr>
            <w:tcW w:w="1254" w:type="dxa"/>
          </w:tcPr>
          <w:p w14:paraId="79B1B282" w14:textId="77777777" w:rsidR="005F3739" w:rsidRPr="00B960DF" w:rsidRDefault="005F3739" w:rsidP="003A3351">
            <w:pPr>
              <w:ind w:left="0"/>
              <w:rPr>
                <w:b/>
              </w:rPr>
            </w:pPr>
            <w:r>
              <w:rPr>
                <w:b/>
              </w:rPr>
              <w:t>Specifické prvky</w:t>
            </w:r>
          </w:p>
        </w:tc>
        <w:tc>
          <w:tcPr>
            <w:tcW w:w="6569" w:type="dxa"/>
          </w:tcPr>
          <w:p w14:paraId="311A291A" w14:textId="77777777" w:rsidR="005F3739" w:rsidRPr="00113562" w:rsidRDefault="005F3739" w:rsidP="003A3351">
            <w:pPr>
              <w:ind w:left="0"/>
              <w:rPr>
                <w:sz w:val="22"/>
                <w:szCs w:val="22"/>
              </w:rPr>
            </w:pPr>
            <w:r w:rsidRPr="00E54607">
              <w:rPr>
                <w:sz w:val="15"/>
                <w:szCs w:val="15"/>
              </w:rPr>
              <w:t>V lokalitě se nevyskytují specifické prvky.</w:t>
            </w:r>
          </w:p>
        </w:tc>
      </w:tr>
      <w:tr w:rsidR="005F3739" w:rsidRPr="00842869" w14:paraId="5E171AB2" w14:textId="77777777" w:rsidTr="00BD1D2E">
        <w:tc>
          <w:tcPr>
            <w:tcW w:w="682" w:type="dxa"/>
            <w:vMerge w:val="restart"/>
            <w:textDirection w:val="btLr"/>
          </w:tcPr>
          <w:p w14:paraId="5F8A6AE2" w14:textId="77777777" w:rsidR="005F3739" w:rsidRDefault="005F3739" w:rsidP="003A3351">
            <w:pPr>
              <w:ind w:left="113" w:right="113"/>
              <w:jc w:val="right"/>
              <w:rPr>
                <w:b/>
              </w:rPr>
            </w:pPr>
            <w:r>
              <w:rPr>
                <w:b/>
              </w:rPr>
              <w:t>Uspořádání</w:t>
            </w:r>
          </w:p>
        </w:tc>
        <w:tc>
          <w:tcPr>
            <w:tcW w:w="1254" w:type="dxa"/>
          </w:tcPr>
          <w:p w14:paraId="5C3340AF" w14:textId="77777777" w:rsidR="005F3739" w:rsidRPr="003E47A7" w:rsidRDefault="005F3739" w:rsidP="003A3351">
            <w:pPr>
              <w:ind w:left="0"/>
              <w:jc w:val="left"/>
              <w:rPr>
                <w:b/>
              </w:rPr>
            </w:pPr>
            <w:r w:rsidRPr="003E47A7">
              <w:rPr>
                <w:b/>
              </w:rPr>
              <w:t>Velikost a zastavitelnost pozemků</w:t>
            </w:r>
          </w:p>
        </w:tc>
        <w:tc>
          <w:tcPr>
            <w:tcW w:w="6569" w:type="dxa"/>
          </w:tcPr>
          <w:p w14:paraId="35455896" w14:textId="77777777" w:rsidR="005F3739" w:rsidRPr="003E47A7" w:rsidRDefault="005F3739" w:rsidP="003A3351">
            <w:pPr>
              <w:ind w:left="0"/>
              <w:rPr>
                <w:sz w:val="15"/>
                <w:szCs w:val="15"/>
              </w:rPr>
            </w:pPr>
            <w:r w:rsidRPr="003E47A7">
              <w:rPr>
                <w:sz w:val="15"/>
                <w:szCs w:val="15"/>
              </w:rPr>
              <w:t xml:space="preserve">Obvyklá míra velikosti pozemků je cca od </w:t>
            </w:r>
            <w:r>
              <w:rPr>
                <w:sz w:val="15"/>
                <w:szCs w:val="15"/>
              </w:rPr>
              <w:t>300</w:t>
            </w:r>
            <w:r w:rsidRPr="003E47A7">
              <w:rPr>
                <w:sz w:val="15"/>
                <w:szCs w:val="15"/>
              </w:rPr>
              <w:t xml:space="preserve"> do cca </w:t>
            </w:r>
            <w:r>
              <w:rPr>
                <w:sz w:val="15"/>
                <w:szCs w:val="15"/>
              </w:rPr>
              <w:t>1000</w:t>
            </w:r>
            <w:r w:rsidRPr="003E47A7">
              <w:rPr>
                <w:sz w:val="15"/>
                <w:szCs w:val="15"/>
              </w:rPr>
              <w:t xml:space="preserve"> m</w:t>
            </w:r>
            <w:r w:rsidRPr="003E47A7">
              <w:rPr>
                <w:sz w:val="15"/>
                <w:szCs w:val="15"/>
                <w:vertAlign w:val="superscript"/>
              </w:rPr>
              <w:t>2</w:t>
            </w:r>
            <w:r w:rsidRPr="003E47A7">
              <w:rPr>
                <w:sz w:val="15"/>
                <w:szCs w:val="15"/>
              </w:rPr>
              <w:t>, s průměrnou typickou zastavitelnost</w:t>
            </w:r>
            <w:r>
              <w:rPr>
                <w:sz w:val="15"/>
                <w:szCs w:val="15"/>
              </w:rPr>
              <w:t>í 5</w:t>
            </w:r>
            <w:r w:rsidRPr="003E47A7">
              <w:rPr>
                <w:sz w:val="15"/>
                <w:szCs w:val="15"/>
              </w:rPr>
              <w:t>-1</w:t>
            </w:r>
            <w:r>
              <w:rPr>
                <w:sz w:val="15"/>
                <w:szCs w:val="15"/>
              </w:rPr>
              <w:t>5</w:t>
            </w:r>
            <w:r w:rsidRPr="003E47A7">
              <w:rPr>
                <w:sz w:val="15"/>
                <w:szCs w:val="15"/>
              </w:rPr>
              <w:t xml:space="preserve">%. </w:t>
            </w:r>
          </w:p>
          <w:p w14:paraId="40643242" w14:textId="77777777" w:rsidR="005F3739" w:rsidRDefault="005F3739" w:rsidP="003A3351">
            <w:pPr>
              <w:ind w:left="0"/>
              <w:rPr>
                <w:sz w:val="15"/>
                <w:szCs w:val="15"/>
              </w:rPr>
            </w:pPr>
            <w:r w:rsidRPr="003E47A7">
              <w:rPr>
                <w:sz w:val="15"/>
                <w:szCs w:val="15"/>
              </w:rPr>
              <w:t xml:space="preserve">Charakter zástavby lokality udává zástavba individuálních rekreačních chat. Typickým zástupcem je chata </w:t>
            </w:r>
            <w:r w:rsidRPr="00926E24">
              <w:rPr>
                <w:sz w:val="15"/>
                <w:szCs w:val="15"/>
              </w:rPr>
              <w:t>č. ev. 226</w:t>
            </w:r>
            <w:r>
              <w:rPr>
                <w:sz w:val="15"/>
                <w:szCs w:val="15"/>
              </w:rPr>
              <w:t xml:space="preserve"> o ZP cca 40</w:t>
            </w:r>
            <w:r w:rsidRPr="003E47A7">
              <w:rPr>
                <w:sz w:val="15"/>
                <w:szCs w:val="15"/>
              </w:rPr>
              <w:t xml:space="preserve"> m</w:t>
            </w:r>
            <w:r w:rsidRPr="003E47A7">
              <w:rPr>
                <w:sz w:val="15"/>
                <w:szCs w:val="15"/>
                <w:vertAlign w:val="superscript"/>
              </w:rPr>
              <w:t>2</w:t>
            </w:r>
            <w:r>
              <w:rPr>
                <w:sz w:val="15"/>
                <w:szCs w:val="15"/>
              </w:rPr>
              <w:t xml:space="preserve"> HS cca 390</w:t>
            </w:r>
            <w:r w:rsidRPr="003E47A7">
              <w:rPr>
                <w:sz w:val="15"/>
                <w:szCs w:val="15"/>
              </w:rPr>
              <w:t xml:space="preserve"> m</w:t>
            </w:r>
            <w:r w:rsidRPr="003E47A7">
              <w:rPr>
                <w:sz w:val="15"/>
                <w:szCs w:val="15"/>
                <w:vertAlign w:val="superscript"/>
              </w:rPr>
              <w:t>2</w:t>
            </w:r>
            <w:r>
              <w:rPr>
                <w:sz w:val="15"/>
                <w:szCs w:val="15"/>
              </w:rPr>
              <w:t xml:space="preserve"> (zastavitelnost cca 10</w:t>
            </w:r>
            <w:r w:rsidRPr="003E47A7">
              <w:rPr>
                <w:sz w:val="15"/>
                <w:szCs w:val="15"/>
              </w:rPr>
              <w:t xml:space="preserve">%) </w:t>
            </w:r>
            <w:r>
              <w:rPr>
                <w:sz w:val="15"/>
                <w:szCs w:val="15"/>
              </w:rPr>
              <w:t>.</w:t>
            </w:r>
          </w:p>
          <w:p w14:paraId="5EE8D78E" w14:textId="77777777" w:rsidR="005F3739" w:rsidRPr="003E47A7" w:rsidRDefault="005F3739" w:rsidP="003A3351">
            <w:pPr>
              <w:ind w:left="0"/>
              <w:rPr>
                <w:sz w:val="15"/>
                <w:szCs w:val="15"/>
              </w:rPr>
            </w:pPr>
            <w:r w:rsidRPr="003E47A7">
              <w:rPr>
                <w:sz w:val="15"/>
                <w:szCs w:val="15"/>
              </w:rPr>
              <w:t>Pro celou lokalitu je stanoven HS=0,</w:t>
            </w:r>
            <w:r>
              <w:rPr>
                <w:sz w:val="15"/>
                <w:szCs w:val="15"/>
              </w:rPr>
              <w:t>15</w:t>
            </w:r>
            <w:r w:rsidRPr="003E47A7">
              <w:rPr>
                <w:sz w:val="15"/>
                <w:szCs w:val="15"/>
              </w:rPr>
              <w:t xml:space="preserve"> pro hlavní stavbu tak, aby intenzita využití území respektovala charakter území. Zastavitelnost je stanovena jako maximální pro udržení charakteru rekreační lokality. KN=0,60 zajišťuje plochu zahrady určenou pro vsakování a retenci v území a zároveň poskytuje dostatečný prostor pro zahrady a vedlejší objekty.</w:t>
            </w:r>
          </w:p>
          <w:p w14:paraId="25A24AAA" w14:textId="16469DC7" w:rsidR="005F3739" w:rsidRPr="003E47A7" w:rsidRDefault="005F3739" w:rsidP="003A3351">
            <w:pPr>
              <w:ind w:left="0"/>
              <w:rPr>
                <w:sz w:val="15"/>
                <w:szCs w:val="15"/>
                <w:highlight w:val="yellow"/>
              </w:rPr>
            </w:pPr>
            <w:r w:rsidRPr="003E47A7">
              <w:rPr>
                <w:sz w:val="15"/>
                <w:szCs w:val="15"/>
              </w:rPr>
              <w:t xml:space="preserve">Je </w:t>
            </w:r>
            <w:r w:rsidR="001D108F" w:rsidRPr="003E47A7">
              <w:rPr>
                <w:sz w:val="15"/>
                <w:szCs w:val="15"/>
              </w:rPr>
              <w:t>doporučen</w:t>
            </w:r>
            <w:r w:rsidR="001D108F">
              <w:rPr>
                <w:sz w:val="15"/>
                <w:szCs w:val="15"/>
              </w:rPr>
              <w:t>o řešit</w:t>
            </w:r>
            <w:r w:rsidR="001D108F" w:rsidRPr="003E47A7">
              <w:rPr>
                <w:sz w:val="15"/>
                <w:szCs w:val="15"/>
              </w:rPr>
              <w:t xml:space="preserve"> parcelac</w:t>
            </w:r>
            <w:r w:rsidR="001D108F">
              <w:rPr>
                <w:sz w:val="15"/>
                <w:szCs w:val="15"/>
              </w:rPr>
              <w:t>i</w:t>
            </w:r>
            <w:r w:rsidRPr="003E47A7">
              <w:rPr>
                <w:sz w:val="15"/>
                <w:szCs w:val="15"/>
              </w:rPr>
              <w:t xml:space="preserve"> s ohledem na terénní podmínky a umožnění rovnoměrného rozmístění pozemků.</w:t>
            </w:r>
          </w:p>
        </w:tc>
      </w:tr>
      <w:tr w:rsidR="005F3739" w:rsidRPr="00182D52" w14:paraId="62071CBC" w14:textId="77777777" w:rsidTr="00BD1D2E">
        <w:tc>
          <w:tcPr>
            <w:tcW w:w="682" w:type="dxa"/>
            <w:vMerge/>
          </w:tcPr>
          <w:p w14:paraId="37680EAF" w14:textId="77777777" w:rsidR="005F3739" w:rsidRDefault="005F3739" w:rsidP="003A3351">
            <w:pPr>
              <w:ind w:left="0"/>
              <w:rPr>
                <w:b/>
              </w:rPr>
            </w:pPr>
          </w:p>
        </w:tc>
        <w:tc>
          <w:tcPr>
            <w:tcW w:w="1254" w:type="dxa"/>
          </w:tcPr>
          <w:p w14:paraId="2E081842" w14:textId="77777777" w:rsidR="005F3739" w:rsidRDefault="005F3739" w:rsidP="003A3351">
            <w:pPr>
              <w:ind w:left="0"/>
              <w:rPr>
                <w:b/>
              </w:rPr>
            </w:pPr>
            <w:r>
              <w:rPr>
                <w:b/>
              </w:rPr>
              <w:t>Uspořádání prostranství</w:t>
            </w:r>
          </w:p>
        </w:tc>
        <w:tc>
          <w:tcPr>
            <w:tcW w:w="6569" w:type="dxa"/>
          </w:tcPr>
          <w:p w14:paraId="079756CD" w14:textId="77777777" w:rsidR="005F3739" w:rsidRDefault="005F3739" w:rsidP="003A3351">
            <w:pPr>
              <w:ind w:left="0"/>
              <w:rPr>
                <w:sz w:val="15"/>
                <w:szCs w:val="15"/>
              </w:rPr>
            </w:pPr>
            <w:r w:rsidRPr="0018028F">
              <w:rPr>
                <w:sz w:val="15"/>
                <w:szCs w:val="15"/>
              </w:rPr>
              <w:t>Veřejná prostranství tvoří</w:t>
            </w:r>
            <w:r>
              <w:rPr>
                <w:sz w:val="15"/>
                <w:szCs w:val="15"/>
              </w:rPr>
              <w:t xml:space="preserve"> obslužné komunikace pro rekreační lokality s nezpevněným travnatým lemem a účelové příjezdové komunikace.</w:t>
            </w:r>
          </w:p>
          <w:p w14:paraId="53E99A23" w14:textId="77777777" w:rsidR="005F3739" w:rsidRDefault="005F3739" w:rsidP="003A3351">
            <w:pPr>
              <w:ind w:left="0"/>
              <w:rPr>
                <w:sz w:val="15"/>
                <w:szCs w:val="15"/>
              </w:rPr>
            </w:pPr>
            <w:r w:rsidRPr="0053153C">
              <w:rPr>
                <w:iCs/>
                <w:sz w:val="15"/>
                <w:szCs w:val="15"/>
              </w:rPr>
              <w:t>P</w:t>
            </w:r>
            <w:r w:rsidRPr="0018028F">
              <w:rPr>
                <w:bCs/>
                <w:iCs/>
                <w:sz w:val="15"/>
                <w:szCs w:val="15"/>
              </w:rPr>
              <w:t xml:space="preserve">odmínka </w:t>
            </w:r>
            <w:r>
              <w:rPr>
                <w:bCs/>
                <w:iCs/>
                <w:sz w:val="15"/>
                <w:szCs w:val="15"/>
              </w:rPr>
              <w:t xml:space="preserve">řešit </w:t>
            </w:r>
            <w:r w:rsidRPr="0018028F">
              <w:rPr>
                <w:sz w:val="15"/>
                <w:szCs w:val="15"/>
              </w:rPr>
              <w:t>pojízdné plochy v minimálních nutných dimenzích</w:t>
            </w:r>
            <w:r>
              <w:rPr>
                <w:sz w:val="15"/>
                <w:szCs w:val="15"/>
              </w:rPr>
              <w:t xml:space="preserve"> je stanovena </w:t>
            </w:r>
            <w:r w:rsidRPr="0018028F">
              <w:rPr>
                <w:sz w:val="15"/>
                <w:szCs w:val="15"/>
              </w:rPr>
              <w:t xml:space="preserve">z důvodu zachování </w:t>
            </w:r>
            <w:r>
              <w:rPr>
                <w:sz w:val="15"/>
                <w:szCs w:val="15"/>
              </w:rPr>
              <w:t>krajinného charakteru</w:t>
            </w:r>
            <w:r w:rsidRPr="0018028F">
              <w:rPr>
                <w:sz w:val="15"/>
                <w:szCs w:val="15"/>
              </w:rPr>
              <w:t xml:space="preserve"> prostranství a kvality obytného prostředí. </w:t>
            </w:r>
          </w:p>
          <w:p w14:paraId="43CB1C3D" w14:textId="77777777" w:rsidR="005F3739" w:rsidRPr="003E47A7" w:rsidRDefault="005F3739" w:rsidP="003A3351">
            <w:pPr>
              <w:ind w:left="0"/>
              <w:rPr>
                <w:sz w:val="15"/>
                <w:szCs w:val="15"/>
              </w:rPr>
            </w:pPr>
            <w:r w:rsidRPr="00606EF5">
              <w:rPr>
                <w:bCs/>
                <w:iCs/>
                <w:sz w:val="15"/>
                <w:szCs w:val="15"/>
              </w:rPr>
              <w:t xml:space="preserve">Podmínka </w:t>
            </w:r>
            <w:r w:rsidRPr="00606EF5">
              <w:rPr>
                <w:sz w:val="15"/>
                <w:szCs w:val="15"/>
              </w:rPr>
              <w:t>pěší prostupnosti lokality, vést pěší trasy tak, aby prezentovaly morfologické a přírodní prvky a vyhlídkové body v krajině,</w:t>
            </w:r>
            <w:r>
              <w:rPr>
                <w:sz w:val="15"/>
                <w:szCs w:val="15"/>
              </w:rPr>
              <w:t xml:space="preserve"> </w:t>
            </w:r>
            <w:r w:rsidRPr="00606EF5">
              <w:rPr>
                <w:sz w:val="15"/>
                <w:szCs w:val="15"/>
              </w:rPr>
              <w:t>je stanovena z důvodu zajištění citlivého řešení a lokalizace rekreační infrastruktury v</w:t>
            </w:r>
            <w:r>
              <w:rPr>
                <w:sz w:val="15"/>
                <w:szCs w:val="15"/>
              </w:rPr>
              <w:t> </w:t>
            </w:r>
            <w:r w:rsidRPr="00606EF5">
              <w:rPr>
                <w:sz w:val="15"/>
                <w:szCs w:val="15"/>
              </w:rPr>
              <w:t>krajině (cestní sítě, pobytových míst v krajině, drobné architektury).</w:t>
            </w:r>
          </w:p>
        </w:tc>
      </w:tr>
      <w:tr w:rsidR="005F3739" w:rsidRPr="00842869" w14:paraId="34DEB063" w14:textId="77777777" w:rsidTr="00BD1D2E">
        <w:tc>
          <w:tcPr>
            <w:tcW w:w="682" w:type="dxa"/>
            <w:vMerge/>
          </w:tcPr>
          <w:p w14:paraId="45E64A90" w14:textId="77777777" w:rsidR="005F3739" w:rsidRDefault="005F3739" w:rsidP="003A3351">
            <w:pPr>
              <w:ind w:left="0"/>
              <w:rPr>
                <w:b/>
              </w:rPr>
            </w:pPr>
          </w:p>
        </w:tc>
        <w:tc>
          <w:tcPr>
            <w:tcW w:w="1254" w:type="dxa"/>
          </w:tcPr>
          <w:p w14:paraId="2EC7503A" w14:textId="77777777" w:rsidR="005F3739" w:rsidRDefault="005F3739" w:rsidP="003A3351">
            <w:pPr>
              <w:ind w:left="0"/>
              <w:rPr>
                <w:b/>
              </w:rPr>
            </w:pPr>
            <w:r>
              <w:rPr>
                <w:b/>
              </w:rPr>
              <w:t>Uspořádání zástavby</w:t>
            </w:r>
          </w:p>
        </w:tc>
        <w:tc>
          <w:tcPr>
            <w:tcW w:w="6569" w:type="dxa"/>
          </w:tcPr>
          <w:p w14:paraId="2F5D99B6" w14:textId="77777777" w:rsidR="005F3739" w:rsidRPr="005448C3" w:rsidRDefault="005F3739" w:rsidP="003A3351">
            <w:pPr>
              <w:ind w:left="0"/>
              <w:rPr>
                <w:sz w:val="15"/>
                <w:szCs w:val="15"/>
              </w:rPr>
            </w:pPr>
            <w:r w:rsidRPr="0018028F">
              <w:rPr>
                <w:sz w:val="15"/>
                <w:szCs w:val="15"/>
              </w:rPr>
              <w:t>Charakter zástavby udávají</w:t>
            </w:r>
            <w:r>
              <w:rPr>
                <w:sz w:val="15"/>
                <w:szCs w:val="15"/>
              </w:rPr>
              <w:t xml:space="preserve"> rekreační chaty orientované kolem cest různé orientace střech vůči veřejným prostranstvím.</w:t>
            </w:r>
          </w:p>
        </w:tc>
      </w:tr>
      <w:tr w:rsidR="005F3739" w:rsidRPr="00842869" w14:paraId="4F957687" w14:textId="77777777" w:rsidTr="00BD1D2E">
        <w:tc>
          <w:tcPr>
            <w:tcW w:w="682" w:type="dxa"/>
            <w:vMerge/>
          </w:tcPr>
          <w:p w14:paraId="5E219490" w14:textId="77777777" w:rsidR="005F3739" w:rsidRDefault="005F3739" w:rsidP="003A3351">
            <w:pPr>
              <w:ind w:left="0"/>
              <w:rPr>
                <w:b/>
                <w:sz w:val="28"/>
                <w:szCs w:val="28"/>
              </w:rPr>
            </w:pPr>
          </w:p>
        </w:tc>
        <w:tc>
          <w:tcPr>
            <w:tcW w:w="1254" w:type="dxa"/>
          </w:tcPr>
          <w:p w14:paraId="494D46E8" w14:textId="77777777" w:rsidR="005F3739" w:rsidRPr="00B960DF" w:rsidRDefault="005F3739" w:rsidP="003A3351">
            <w:pPr>
              <w:ind w:left="0"/>
              <w:rPr>
                <w:b/>
              </w:rPr>
            </w:pPr>
            <w:r>
              <w:rPr>
                <w:b/>
              </w:rPr>
              <w:t>Uspořádání přírodních prvků</w:t>
            </w:r>
          </w:p>
        </w:tc>
        <w:tc>
          <w:tcPr>
            <w:tcW w:w="6569" w:type="dxa"/>
          </w:tcPr>
          <w:p w14:paraId="34A61004" w14:textId="77777777" w:rsidR="005F3739" w:rsidRPr="00944DA7" w:rsidRDefault="005F3739" w:rsidP="003A3351">
            <w:pPr>
              <w:ind w:left="0"/>
              <w:rPr>
                <w:sz w:val="15"/>
                <w:szCs w:val="15"/>
              </w:rPr>
            </w:pPr>
            <w:r>
              <w:rPr>
                <w:sz w:val="15"/>
                <w:szCs w:val="15"/>
              </w:rPr>
              <w:t xml:space="preserve">Charakter lokality udávají hospodářské smíšené lesy a přírodní park Údolí Bystřice. </w:t>
            </w:r>
            <w:r w:rsidRPr="0018028F">
              <w:rPr>
                <w:sz w:val="15"/>
                <w:szCs w:val="15"/>
              </w:rPr>
              <w:t>Skupiny dřevin a stromo</w:t>
            </w:r>
            <w:r>
              <w:rPr>
                <w:sz w:val="15"/>
                <w:szCs w:val="15"/>
              </w:rPr>
              <w:t xml:space="preserve">řadí jsou uspořádány jako remízy v blízkosti vodních toků, </w:t>
            </w:r>
            <w:r w:rsidRPr="0018028F">
              <w:rPr>
                <w:sz w:val="15"/>
                <w:szCs w:val="15"/>
              </w:rPr>
              <w:t>na terénních zlomech a v</w:t>
            </w:r>
            <w:r>
              <w:rPr>
                <w:sz w:val="15"/>
                <w:szCs w:val="15"/>
              </w:rPr>
              <w:t> </w:t>
            </w:r>
            <w:r w:rsidRPr="0018028F">
              <w:rPr>
                <w:sz w:val="15"/>
                <w:szCs w:val="15"/>
              </w:rPr>
              <w:t>zářezech</w:t>
            </w:r>
            <w:r>
              <w:rPr>
                <w:sz w:val="15"/>
                <w:szCs w:val="15"/>
              </w:rPr>
              <w:t>.</w:t>
            </w:r>
          </w:p>
          <w:p w14:paraId="61C14C35" w14:textId="77777777" w:rsidR="005F3739" w:rsidRPr="00944DA7" w:rsidRDefault="005F3739" w:rsidP="003A3351">
            <w:pPr>
              <w:ind w:left="0"/>
              <w:rPr>
                <w:sz w:val="15"/>
                <w:szCs w:val="15"/>
                <w:highlight w:val="yellow"/>
              </w:rPr>
            </w:pPr>
            <w:r>
              <w:rPr>
                <w:sz w:val="15"/>
                <w:szCs w:val="15"/>
              </w:rPr>
              <w:t>P</w:t>
            </w:r>
            <w:r w:rsidRPr="001F01A6">
              <w:rPr>
                <w:sz w:val="15"/>
                <w:szCs w:val="15"/>
              </w:rPr>
              <w:t xml:space="preserve">odmínka </w:t>
            </w:r>
            <w:r w:rsidRPr="00BF022B">
              <w:rPr>
                <w:sz w:val="15"/>
                <w:szCs w:val="15"/>
              </w:rPr>
              <w:t xml:space="preserve">skupiny dřevin </w:t>
            </w:r>
            <w:r>
              <w:rPr>
                <w:sz w:val="15"/>
                <w:szCs w:val="15"/>
              </w:rPr>
              <w:t xml:space="preserve">podél vodních toků </w:t>
            </w:r>
            <w:r w:rsidRPr="00BF022B">
              <w:rPr>
                <w:sz w:val="15"/>
                <w:szCs w:val="15"/>
              </w:rPr>
              <w:t>na terénních zlomech, v</w:t>
            </w:r>
            <w:r>
              <w:rPr>
                <w:sz w:val="15"/>
                <w:szCs w:val="15"/>
              </w:rPr>
              <w:t> </w:t>
            </w:r>
            <w:r w:rsidRPr="00BF022B">
              <w:rPr>
                <w:sz w:val="15"/>
                <w:szCs w:val="15"/>
              </w:rPr>
              <w:t>terénních zářezech</w:t>
            </w:r>
            <w:r>
              <w:rPr>
                <w:sz w:val="15"/>
                <w:szCs w:val="15"/>
              </w:rPr>
              <w:t>, v trasách interakčních prvků</w:t>
            </w:r>
            <w:r w:rsidRPr="00BF022B">
              <w:rPr>
                <w:sz w:val="15"/>
                <w:szCs w:val="15"/>
              </w:rPr>
              <w:t xml:space="preserve"> a v b</w:t>
            </w:r>
            <w:r>
              <w:rPr>
                <w:sz w:val="15"/>
                <w:szCs w:val="15"/>
              </w:rPr>
              <w:t>lízkosti pěších tras</w:t>
            </w:r>
            <w:r w:rsidRPr="001F01A6">
              <w:rPr>
                <w:sz w:val="15"/>
                <w:szCs w:val="15"/>
              </w:rPr>
              <w:t xml:space="preserve"> </w:t>
            </w:r>
            <w:r>
              <w:rPr>
                <w:sz w:val="15"/>
                <w:szCs w:val="15"/>
              </w:rPr>
              <w:t>je stanovena z důvodu ochrany a rozvoje</w:t>
            </w:r>
            <w:r w:rsidRPr="001F01A6">
              <w:rPr>
                <w:sz w:val="15"/>
                <w:szCs w:val="15"/>
              </w:rPr>
              <w:t xml:space="preserve"> charakteru a krajinného rázu lokality a stabilizaci vodního režimu krajiny.</w:t>
            </w:r>
            <w:r>
              <w:rPr>
                <w:sz w:val="15"/>
                <w:szCs w:val="15"/>
              </w:rPr>
              <w:t xml:space="preserve"> </w:t>
            </w:r>
            <w:r w:rsidRPr="00BF022B">
              <w:rPr>
                <w:sz w:val="15"/>
                <w:szCs w:val="15"/>
              </w:rPr>
              <w:t>Je doporučeno využívání místních dřevin.</w:t>
            </w:r>
          </w:p>
        </w:tc>
      </w:tr>
      <w:tr w:rsidR="005F3739" w:rsidRPr="009D4DBB" w14:paraId="3A356F4E" w14:textId="77777777" w:rsidTr="00BD1D2E">
        <w:trPr>
          <w:trHeight w:val="3006"/>
        </w:trPr>
        <w:tc>
          <w:tcPr>
            <w:tcW w:w="682" w:type="dxa"/>
            <w:vMerge/>
          </w:tcPr>
          <w:p w14:paraId="33F0FAC0" w14:textId="77777777" w:rsidR="005F3739" w:rsidRDefault="005F3739" w:rsidP="003A3351">
            <w:pPr>
              <w:ind w:left="0"/>
              <w:rPr>
                <w:b/>
                <w:sz w:val="28"/>
                <w:szCs w:val="28"/>
              </w:rPr>
            </w:pPr>
          </w:p>
        </w:tc>
        <w:tc>
          <w:tcPr>
            <w:tcW w:w="1254" w:type="dxa"/>
          </w:tcPr>
          <w:p w14:paraId="3ED06C32" w14:textId="77777777" w:rsidR="005F3739" w:rsidRPr="00B960DF" w:rsidRDefault="005F3739" w:rsidP="003A3351">
            <w:pPr>
              <w:ind w:left="0"/>
              <w:rPr>
                <w:b/>
              </w:rPr>
            </w:pPr>
            <w:r>
              <w:rPr>
                <w:b/>
              </w:rPr>
              <w:t>Specifické uspořádání</w:t>
            </w:r>
          </w:p>
        </w:tc>
        <w:tc>
          <w:tcPr>
            <w:tcW w:w="6569" w:type="dxa"/>
          </w:tcPr>
          <w:p w14:paraId="5CD388D6" w14:textId="77777777" w:rsidR="005F3739" w:rsidRPr="00944DA7" w:rsidRDefault="005F3739" w:rsidP="003A3351">
            <w:pPr>
              <w:ind w:left="0"/>
              <w:rPr>
                <w:sz w:val="15"/>
                <w:szCs w:val="15"/>
              </w:rPr>
            </w:pPr>
            <w:r>
              <w:rPr>
                <w:sz w:val="15"/>
                <w:szCs w:val="15"/>
              </w:rPr>
              <w:t>-</w:t>
            </w:r>
          </w:p>
        </w:tc>
      </w:tr>
    </w:tbl>
    <w:p w14:paraId="46A99D25" w14:textId="77777777" w:rsidR="008E092A" w:rsidRDefault="008E092A">
      <w:pPr>
        <w:spacing w:before="0" w:after="0"/>
        <w:ind w:left="0"/>
        <w:jc w:val="left"/>
        <w:rPr>
          <w:b/>
          <w:sz w:val="15"/>
          <w:szCs w:val="15"/>
        </w:rPr>
      </w:pPr>
      <w:r>
        <w:rPr>
          <w:b/>
          <w:sz w:val="15"/>
          <w:szCs w:val="15"/>
        </w:rPr>
        <w:br w:type="page"/>
      </w:r>
    </w:p>
    <w:tbl>
      <w:tblPr>
        <w:tblStyle w:val="Motivtabulky"/>
        <w:tblW w:w="8505" w:type="dxa"/>
        <w:tblBorders>
          <w:top w:val="dashSmallGap" w:sz="4" w:space="0" w:color="auto"/>
          <w:bottom w:val="dashSmallGap" w:sz="4" w:space="0" w:color="auto"/>
          <w:insideH w:val="dashSmallGap" w:sz="4" w:space="0" w:color="auto"/>
        </w:tblBorders>
        <w:tblLook w:val="04A0" w:firstRow="1" w:lastRow="0" w:firstColumn="1" w:lastColumn="0" w:noHBand="0" w:noVBand="1"/>
      </w:tblPr>
      <w:tblGrid>
        <w:gridCol w:w="756"/>
        <w:gridCol w:w="1390"/>
        <w:gridCol w:w="6359"/>
      </w:tblGrid>
      <w:tr w:rsidR="008E092A" w:rsidRPr="008E092A" w14:paraId="03314E0B" w14:textId="77777777" w:rsidTr="008E092A">
        <w:tc>
          <w:tcPr>
            <w:tcW w:w="2146" w:type="dxa"/>
            <w:gridSpan w:val="2"/>
          </w:tcPr>
          <w:p w14:paraId="13AD9E34" w14:textId="77777777" w:rsidR="008E092A" w:rsidRPr="008E092A" w:rsidRDefault="008E092A" w:rsidP="003A3351">
            <w:pPr>
              <w:ind w:left="0"/>
              <w:rPr>
                <w:b/>
                <w:sz w:val="24"/>
              </w:rPr>
            </w:pPr>
            <w:r w:rsidRPr="008E092A">
              <w:rPr>
                <w:b/>
                <w:sz w:val="24"/>
              </w:rPr>
              <w:lastRenderedPageBreak/>
              <w:t>L.08</w:t>
            </w:r>
          </w:p>
        </w:tc>
        <w:tc>
          <w:tcPr>
            <w:tcW w:w="6359" w:type="dxa"/>
            <w:vAlign w:val="bottom"/>
          </w:tcPr>
          <w:p w14:paraId="069AFEE5" w14:textId="77777777" w:rsidR="008E092A" w:rsidRPr="008E092A" w:rsidRDefault="008E092A" w:rsidP="003A3351">
            <w:pPr>
              <w:ind w:left="0"/>
              <w:rPr>
                <w:b/>
                <w:sz w:val="28"/>
                <w:szCs w:val="28"/>
              </w:rPr>
            </w:pPr>
            <w:r w:rsidRPr="008E092A">
              <w:rPr>
                <w:b/>
                <w:sz w:val="24"/>
              </w:rPr>
              <w:t>Údolí Nepřívazského potoka</w:t>
            </w:r>
          </w:p>
        </w:tc>
      </w:tr>
      <w:tr w:rsidR="008E092A" w:rsidRPr="008E092A" w14:paraId="2A9E0938" w14:textId="77777777" w:rsidTr="008E092A">
        <w:tc>
          <w:tcPr>
            <w:tcW w:w="8505" w:type="dxa"/>
            <w:gridSpan w:val="3"/>
          </w:tcPr>
          <w:p w14:paraId="158BADFA" w14:textId="77777777" w:rsidR="008E092A" w:rsidRPr="008E092A" w:rsidRDefault="008E092A" w:rsidP="003A3351">
            <w:pPr>
              <w:ind w:left="0"/>
            </w:pPr>
            <w:r w:rsidRPr="008E092A">
              <w:t>Svahy Nepřívazského potoka při Dukle</w:t>
            </w:r>
          </w:p>
        </w:tc>
      </w:tr>
      <w:tr w:rsidR="008E092A" w:rsidRPr="008E092A" w14:paraId="2878688A" w14:textId="77777777" w:rsidTr="008E092A">
        <w:tc>
          <w:tcPr>
            <w:tcW w:w="2146" w:type="dxa"/>
            <w:gridSpan w:val="2"/>
          </w:tcPr>
          <w:p w14:paraId="0BD47912" w14:textId="77777777" w:rsidR="008E092A" w:rsidRPr="008E092A" w:rsidRDefault="008E092A" w:rsidP="003A3351">
            <w:pPr>
              <w:ind w:left="0"/>
              <w:rPr>
                <w:b/>
                <w:sz w:val="28"/>
                <w:szCs w:val="28"/>
              </w:rPr>
            </w:pPr>
            <w:r w:rsidRPr="008E092A">
              <w:rPr>
                <w:b/>
              </w:rPr>
              <w:t>Vymezení</w:t>
            </w:r>
          </w:p>
        </w:tc>
        <w:tc>
          <w:tcPr>
            <w:tcW w:w="6359" w:type="dxa"/>
          </w:tcPr>
          <w:p w14:paraId="71356534" w14:textId="77777777" w:rsidR="008E092A" w:rsidRPr="008E092A" w:rsidRDefault="008E092A" w:rsidP="003A3351">
            <w:pPr>
              <w:ind w:left="0"/>
              <w:rPr>
                <w:sz w:val="15"/>
                <w:szCs w:val="15"/>
                <w:highlight w:val="yellow"/>
              </w:rPr>
            </w:pPr>
            <w:r w:rsidRPr="008E092A">
              <w:rPr>
                <w:sz w:val="15"/>
                <w:szCs w:val="15"/>
              </w:rPr>
              <w:t>Lokalita navazuje na lokalitu Dukla, je definována údolím Nepřívazského potoka a z východu limitována hranicí vojenského újezdu Libavá.</w:t>
            </w:r>
          </w:p>
        </w:tc>
      </w:tr>
      <w:tr w:rsidR="008E092A" w:rsidRPr="008E092A" w14:paraId="31874417" w14:textId="77777777" w:rsidTr="008E092A">
        <w:tc>
          <w:tcPr>
            <w:tcW w:w="756" w:type="dxa"/>
            <w:vMerge w:val="restart"/>
            <w:textDirection w:val="btLr"/>
          </w:tcPr>
          <w:p w14:paraId="2E4F384C" w14:textId="77777777" w:rsidR="008E092A" w:rsidRPr="008E092A" w:rsidRDefault="008E092A" w:rsidP="003A3351">
            <w:pPr>
              <w:ind w:left="113" w:right="113"/>
              <w:jc w:val="right"/>
              <w:rPr>
                <w:b/>
              </w:rPr>
            </w:pPr>
            <w:r w:rsidRPr="008E092A">
              <w:rPr>
                <w:b/>
              </w:rPr>
              <w:t>Prvky</w:t>
            </w:r>
          </w:p>
        </w:tc>
        <w:tc>
          <w:tcPr>
            <w:tcW w:w="1390" w:type="dxa"/>
          </w:tcPr>
          <w:p w14:paraId="302F7DFF" w14:textId="77777777" w:rsidR="008E092A" w:rsidRPr="008E092A" w:rsidRDefault="008E092A" w:rsidP="003A3351">
            <w:pPr>
              <w:ind w:left="0"/>
              <w:rPr>
                <w:b/>
              </w:rPr>
            </w:pPr>
            <w:r w:rsidRPr="008E092A">
              <w:rPr>
                <w:b/>
              </w:rPr>
              <w:t>Plošné řešení zástavby</w:t>
            </w:r>
          </w:p>
        </w:tc>
        <w:tc>
          <w:tcPr>
            <w:tcW w:w="6359" w:type="dxa"/>
          </w:tcPr>
          <w:p w14:paraId="290176EE" w14:textId="77777777" w:rsidR="008E092A" w:rsidRPr="008E092A" w:rsidRDefault="008E092A" w:rsidP="003A3351">
            <w:pPr>
              <w:ind w:left="0"/>
              <w:rPr>
                <w:sz w:val="15"/>
                <w:szCs w:val="15"/>
              </w:rPr>
            </w:pPr>
            <w:r w:rsidRPr="008E092A">
              <w:rPr>
                <w:sz w:val="15"/>
                <w:szCs w:val="15"/>
              </w:rPr>
              <w:t xml:space="preserve">Charakter zástavby udávají podélné objekty rodinných domů s typickým poměrem stran od 1:1 až cca 1:2 (např. č.p. 231). </w:t>
            </w:r>
          </w:p>
          <w:p w14:paraId="383C5364" w14:textId="77777777" w:rsidR="008E092A" w:rsidRPr="008E092A" w:rsidRDefault="008E092A" w:rsidP="003A3351">
            <w:pPr>
              <w:ind w:left="0"/>
              <w:rPr>
                <w:sz w:val="15"/>
                <w:szCs w:val="15"/>
              </w:rPr>
            </w:pPr>
            <w:r w:rsidRPr="008E092A">
              <w:rPr>
                <w:sz w:val="15"/>
                <w:szCs w:val="15"/>
              </w:rPr>
              <w:t>S ohledem na různorodost zástavby není plošné řešení stanoveno.</w:t>
            </w:r>
          </w:p>
          <w:p w14:paraId="7D57EF60" w14:textId="77777777" w:rsidR="008E092A" w:rsidRPr="008E092A" w:rsidRDefault="008E092A" w:rsidP="003A3351">
            <w:pPr>
              <w:ind w:left="0"/>
              <w:rPr>
                <w:sz w:val="15"/>
                <w:szCs w:val="15"/>
              </w:rPr>
            </w:pPr>
            <w:r w:rsidRPr="008E092A">
              <w:rPr>
                <w:sz w:val="15"/>
                <w:szCs w:val="15"/>
              </w:rPr>
              <w:t>Je doporučeno při plošném řešení zástavby respektovat terénní podmínky.</w:t>
            </w:r>
          </w:p>
        </w:tc>
      </w:tr>
      <w:tr w:rsidR="008E092A" w:rsidRPr="008E092A" w14:paraId="5F5072E5" w14:textId="77777777" w:rsidTr="008E092A">
        <w:tc>
          <w:tcPr>
            <w:tcW w:w="756" w:type="dxa"/>
            <w:vMerge/>
          </w:tcPr>
          <w:p w14:paraId="2D4BF6E8" w14:textId="77777777" w:rsidR="008E092A" w:rsidRPr="008E092A" w:rsidRDefault="008E092A" w:rsidP="003A3351">
            <w:pPr>
              <w:ind w:left="0"/>
              <w:rPr>
                <w:b/>
              </w:rPr>
            </w:pPr>
          </w:p>
        </w:tc>
        <w:tc>
          <w:tcPr>
            <w:tcW w:w="1390" w:type="dxa"/>
          </w:tcPr>
          <w:p w14:paraId="564BDFDF" w14:textId="77777777" w:rsidR="008E092A" w:rsidRPr="008E092A" w:rsidRDefault="008E092A" w:rsidP="003A3351">
            <w:pPr>
              <w:ind w:left="0"/>
              <w:rPr>
                <w:b/>
              </w:rPr>
            </w:pPr>
            <w:r w:rsidRPr="008E092A">
              <w:rPr>
                <w:b/>
              </w:rPr>
              <w:t>Výškové řešení zástavby</w:t>
            </w:r>
          </w:p>
        </w:tc>
        <w:tc>
          <w:tcPr>
            <w:tcW w:w="6359" w:type="dxa"/>
          </w:tcPr>
          <w:p w14:paraId="37D853B1" w14:textId="77777777" w:rsidR="008E092A" w:rsidRPr="008E092A" w:rsidRDefault="008E092A" w:rsidP="003A3351">
            <w:pPr>
              <w:ind w:left="0"/>
              <w:rPr>
                <w:sz w:val="15"/>
                <w:szCs w:val="15"/>
              </w:rPr>
            </w:pPr>
            <w:r w:rsidRPr="008E092A">
              <w:rPr>
                <w:sz w:val="15"/>
                <w:szCs w:val="15"/>
              </w:rPr>
              <w:t>Zástavbu tvoří převážně objekty o 2-3 NP, resp. jednom až dvou podlažích a podkroví. Výrazný charakter střešní krajiny udávají převážně střechy šikmé – sedlové. Ostatní zástavba využívá mimo střech sedlových i jiných typů střech – valbové, polovalbové.</w:t>
            </w:r>
          </w:p>
          <w:p w14:paraId="010F7370" w14:textId="77777777" w:rsidR="008E092A" w:rsidRPr="008E092A" w:rsidRDefault="008E092A" w:rsidP="003A3351">
            <w:pPr>
              <w:ind w:left="0"/>
              <w:rPr>
                <w:sz w:val="15"/>
                <w:szCs w:val="15"/>
              </w:rPr>
            </w:pPr>
            <w:r w:rsidRPr="008E092A">
              <w:rPr>
                <w:sz w:val="15"/>
                <w:szCs w:val="15"/>
              </w:rPr>
              <w:t xml:space="preserve">Podmínka max. 2 NP je stanovena z důvodu ochrany charakteru zástavby a jejího obrazu v panoramatu krajiny. </w:t>
            </w:r>
          </w:p>
          <w:p w14:paraId="48CC43C3" w14:textId="77777777" w:rsidR="008E092A" w:rsidRPr="008E092A" w:rsidRDefault="008E092A" w:rsidP="003A3351">
            <w:pPr>
              <w:ind w:left="0"/>
              <w:rPr>
                <w:b/>
                <w:bCs/>
                <w:sz w:val="15"/>
                <w:szCs w:val="15"/>
                <w:u w:val="single"/>
              </w:rPr>
            </w:pPr>
            <w:r w:rsidRPr="008E092A">
              <w:rPr>
                <w:sz w:val="15"/>
                <w:szCs w:val="15"/>
              </w:rPr>
              <w:t>Podmínka typické střešní krajiny zástavby je stanovena z důvodu ochrany charakteru zástavby.</w:t>
            </w:r>
          </w:p>
        </w:tc>
      </w:tr>
      <w:tr w:rsidR="008E092A" w:rsidRPr="008E092A" w14:paraId="480709EC" w14:textId="77777777" w:rsidTr="008E092A">
        <w:tc>
          <w:tcPr>
            <w:tcW w:w="756" w:type="dxa"/>
            <w:vMerge/>
          </w:tcPr>
          <w:p w14:paraId="2C54A571" w14:textId="77777777" w:rsidR="008E092A" w:rsidRPr="008E092A" w:rsidRDefault="008E092A" w:rsidP="003A3351">
            <w:pPr>
              <w:ind w:left="0"/>
              <w:rPr>
                <w:b/>
              </w:rPr>
            </w:pPr>
          </w:p>
        </w:tc>
        <w:tc>
          <w:tcPr>
            <w:tcW w:w="1390" w:type="dxa"/>
          </w:tcPr>
          <w:p w14:paraId="465BA941" w14:textId="77777777" w:rsidR="008E092A" w:rsidRPr="008E092A" w:rsidRDefault="008E092A" w:rsidP="003A3351">
            <w:pPr>
              <w:ind w:left="0"/>
              <w:rPr>
                <w:b/>
              </w:rPr>
            </w:pPr>
            <w:r w:rsidRPr="008E092A">
              <w:rPr>
                <w:b/>
              </w:rPr>
              <w:t>Charakter přírodních prvků</w:t>
            </w:r>
          </w:p>
        </w:tc>
        <w:tc>
          <w:tcPr>
            <w:tcW w:w="6359" w:type="dxa"/>
          </w:tcPr>
          <w:p w14:paraId="45790E36" w14:textId="77777777" w:rsidR="008E092A" w:rsidRPr="008E092A" w:rsidRDefault="008E092A" w:rsidP="003A3351">
            <w:pPr>
              <w:ind w:left="0"/>
              <w:rPr>
                <w:sz w:val="15"/>
                <w:szCs w:val="15"/>
              </w:rPr>
            </w:pPr>
            <w:r w:rsidRPr="008E092A">
              <w:rPr>
                <w:sz w:val="15"/>
                <w:szCs w:val="15"/>
              </w:rPr>
              <w:t xml:space="preserve">Přírodní prvky zastavěného území tvoří dřeviny, rostliny a zatravněné plochy jako součást zahrad a veřejných prostranství. Přírodní prvky nezastavěného území tvoří zejména zemědělská půda, dřeviny podél komunikací, skupiny dřevin a lesní porost. </w:t>
            </w:r>
          </w:p>
          <w:p w14:paraId="50230129" w14:textId="4DDDBDA4" w:rsidR="008E092A" w:rsidRPr="008E092A" w:rsidRDefault="008E092A" w:rsidP="003A3351">
            <w:pPr>
              <w:ind w:left="0"/>
              <w:rPr>
                <w:sz w:val="15"/>
                <w:szCs w:val="15"/>
              </w:rPr>
            </w:pPr>
            <w:r w:rsidRPr="008E092A">
              <w:rPr>
                <w:sz w:val="15"/>
                <w:szCs w:val="15"/>
              </w:rPr>
              <w:t xml:space="preserve">Podmínka přírodního charakteru </w:t>
            </w:r>
            <w:r w:rsidRPr="008E092A">
              <w:rPr>
                <w:b/>
                <w:sz w:val="15"/>
                <w:szCs w:val="15"/>
                <w:u w:val="single"/>
              </w:rPr>
              <w:t xml:space="preserve">koryta </w:t>
            </w:r>
            <w:r w:rsidR="005348CB">
              <w:rPr>
                <w:b/>
                <w:sz w:val="15"/>
                <w:szCs w:val="15"/>
                <w:u w:val="single"/>
              </w:rPr>
              <w:t>Nepřívazského potoka</w:t>
            </w:r>
            <w:r w:rsidRPr="008E092A">
              <w:rPr>
                <w:b/>
                <w:sz w:val="15"/>
                <w:szCs w:val="15"/>
              </w:rPr>
              <w:t xml:space="preserve"> </w:t>
            </w:r>
            <w:r w:rsidRPr="008E092A">
              <w:rPr>
                <w:sz w:val="15"/>
                <w:szCs w:val="15"/>
              </w:rPr>
              <w:t>je stanovena z důvodu ochrany cenného biotopu říční nivy a doprovodných remízů a přírodních prvků.</w:t>
            </w:r>
          </w:p>
          <w:p w14:paraId="69F07009" w14:textId="77777777" w:rsidR="008E092A" w:rsidRPr="008E092A" w:rsidRDefault="008E092A" w:rsidP="003A3351">
            <w:pPr>
              <w:ind w:left="0"/>
              <w:rPr>
                <w:sz w:val="15"/>
                <w:szCs w:val="15"/>
                <w:highlight w:val="yellow"/>
              </w:rPr>
            </w:pPr>
            <w:r w:rsidRPr="008E092A">
              <w:rPr>
                <w:sz w:val="15"/>
                <w:szCs w:val="15"/>
              </w:rPr>
              <w:t xml:space="preserve">Je doporučeno využívání místních dřevin. </w:t>
            </w:r>
          </w:p>
        </w:tc>
      </w:tr>
      <w:tr w:rsidR="008E092A" w:rsidRPr="008E092A" w14:paraId="2E47C5B3" w14:textId="77777777" w:rsidTr="008E092A">
        <w:trPr>
          <w:trHeight w:val="8442"/>
        </w:trPr>
        <w:tc>
          <w:tcPr>
            <w:tcW w:w="756" w:type="dxa"/>
            <w:vMerge/>
          </w:tcPr>
          <w:p w14:paraId="511477DA" w14:textId="77777777" w:rsidR="008E092A" w:rsidRPr="008E092A" w:rsidRDefault="008E092A" w:rsidP="003A3351">
            <w:pPr>
              <w:ind w:left="0"/>
              <w:rPr>
                <w:b/>
              </w:rPr>
            </w:pPr>
          </w:p>
        </w:tc>
        <w:tc>
          <w:tcPr>
            <w:tcW w:w="1390" w:type="dxa"/>
          </w:tcPr>
          <w:p w14:paraId="1946CD39" w14:textId="77777777" w:rsidR="008E092A" w:rsidRPr="008E092A" w:rsidRDefault="008E092A" w:rsidP="003A3351">
            <w:pPr>
              <w:ind w:left="0"/>
              <w:rPr>
                <w:b/>
              </w:rPr>
            </w:pPr>
            <w:r w:rsidRPr="008E092A">
              <w:rPr>
                <w:b/>
              </w:rPr>
              <w:t>Specifické prvky</w:t>
            </w:r>
          </w:p>
        </w:tc>
        <w:tc>
          <w:tcPr>
            <w:tcW w:w="6359" w:type="dxa"/>
          </w:tcPr>
          <w:p w14:paraId="4C3BD42E" w14:textId="77777777" w:rsidR="008E092A" w:rsidRPr="008E092A" w:rsidRDefault="008E092A" w:rsidP="003A3351">
            <w:pPr>
              <w:ind w:left="0"/>
              <w:rPr>
                <w:sz w:val="15"/>
                <w:szCs w:val="15"/>
              </w:rPr>
            </w:pPr>
            <w:r w:rsidRPr="008E092A">
              <w:rPr>
                <w:sz w:val="15"/>
                <w:szCs w:val="15"/>
              </w:rPr>
              <w:t>V lokalitě se nevyskytují specifické prvky.</w:t>
            </w:r>
          </w:p>
        </w:tc>
      </w:tr>
      <w:tr w:rsidR="008E092A" w:rsidRPr="008E092A" w14:paraId="76EF04BD" w14:textId="77777777" w:rsidTr="008E092A">
        <w:tc>
          <w:tcPr>
            <w:tcW w:w="756" w:type="dxa"/>
            <w:vMerge w:val="restart"/>
            <w:textDirection w:val="btLr"/>
          </w:tcPr>
          <w:p w14:paraId="12782777" w14:textId="77777777" w:rsidR="008E092A" w:rsidRPr="008E092A" w:rsidRDefault="008E092A" w:rsidP="003A3351">
            <w:pPr>
              <w:ind w:left="113" w:right="113"/>
              <w:jc w:val="right"/>
              <w:rPr>
                <w:b/>
              </w:rPr>
            </w:pPr>
            <w:r w:rsidRPr="008E092A">
              <w:rPr>
                <w:b/>
              </w:rPr>
              <w:lastRenderedPageBreak/>
              <w:t>Uspořádání</w:t>
            </w:r>
          </w:p>
        </w:tc>
        <w:tc>
          <w:tcPr>
            <w:tcW w:w="1390" w:type="dxa"/>
          </w:tcPr>
          <w:p w14:paraId="268EC5FE" w14:textId="77777777" w:rsidR="008E092A" w:rsidRPr="008E092A" w:rsidRDefault="008E092A" w:rsidP="003A3351">
            <w:pPr>
              <w:ind w:left="0"/>
              <w:jc w:val="left"/>
              <w:rPr>
                <w:b/>
              </w:rPr>
            </w:pPr>
            <w:r w:rsidRPr="008E092A">
              <w:rPr>
                <w:b/>
              </w:rPr>
              <w:t>Velikost a zastavitelnost pozemků</w:t>
            </w:r>
          </w:p>
        </w:tc>
        <w:tc>
          <w:tcPr>
            <w:tcW w:w="6359" w:type="dxa"/>
          </w:tcPr>
          <w:p w14:paraId="4E4E58DF" w14:textId="5874E561" w:rsidR="008E092A" w:rsidRPr="008E092A" w:rsidRDefault="008E092A" w:rsidP="003A3351">
            <w:pPr>
              <w:ind w:left="0"/>
              <w:rPr>
                <w:sz w:val="15"/>
                <w:szCs w:val="15"/>
              </w:rPr>
            </w:pPr>
            <w:r w:rsidRPr="008E092A">
              <w:rPr>
                <w:sz w:val="15"/>
                <w:szCs w:val="15"/>
              </w:rPr>
              <w:t>Obvyklá míra velikosti pozemků je cca od 400 do cca 2000 m</w:t>
            </w:r>
            <w:r w:rsidRPr="008E092A">
              <w:rPr>
                <w:sz w:val="15"/>
                <w:szCs w:val="15"/>
                <w:vertAlign w:val="superscript"/>
              </w:rPr>
              <w:t>2</w:t>
            </w:r>
            <w:r w:rsidRPr="008E092A">
              <w:rPr>
                <w:sz w:val="15"/>
                <w:szCs w:val="15"/>
              </w:rPr>
              <w:t>, s průměrnou obvyklou velikostí kolem 800–1000 m</w:t>
            </w:r>
            <w:r w:rsidRPr="008E092A">
              <w:rPr>
                <w:sz w:val="15"/>
                <w:szCs w:val="15"/>
                <w:vertAlign w:val="superscript"/>
              </w:rPr>
              <w:t>2</w:t>
            </w:r>
            <w:r w:rsidRPr="008E092A">
              <w:rPr>
                <w:sz w:val="15"/>
                <w:szCs w:val="15"/>
              </w:rPr>
              <w:t>, s průměrnou typickou zastavitelností 10-25%. Typickým zástupcem zástavby samostatných rodinných domů je např. RD č.p. 492 o ZP HS cca 247 m</w:t>
            </w:r>
            <w:r w:rsidRPr="008E092A">
              <w:rPr>
                <w:sz w:val="15"/>
                <w:szCs w:val="15"/>
                <w:vertAlign w:val="superscript"/>
              </w:rPr>
              <w:t>2</w:t>
            </w:r>
            <w:r w:rsidRPr="008E092A">
              <w:rPr>
                <w:sz w:val="15"/>
                <w:szCs w:val="15"/>
              </w:rPr>
              <w:t xml:space="preserve"> na pozemku cca 1080 m</w:t>
            </w:r>
            <w:r w:rsidRPr="008E092A">
              <w:rPr>
                <w:sz w:val="15"/>
                <w:szCs w:val="15"/>
                <w:vertAlign w:val="superscript"/>
              </w:rPr>
              <w:t>2</w:t>
            </w:r>
            <w:r w:rsidRPr="008E092A">
              <w:rPr>
                <w:sz w:val="15"/>
                <w:szCs w:val="15"/>
              </w:rPr>
              <w:t xml:space="preserve"> (zastavitelnost cca 22%).</w:t>
            </w:r>
          </w:p>
          <w:p w14:paraId="2EB4344F" w14:textId="601A825A" w:rsidR="008E092A" w:rsidRPr="008E092A" w:rsidRDefault="008E092A" w:rsidP="003A3351">
            <w:pPr>
              <w:ind w:left="0"/>
              <w:rPr>
                <w:sz w:val="15"/>
                <w:szCs w:val="15"/>
              </w:rPr>
            </w:pPr>
            <w:r w:rsidRPr="008E092A">
              <w:rPr>
                <w:sz w:val="15"/>
                <w:szCs w:val="15"/>
              </w:rPr>
              <w:t>Pro celou lokalitu je stanoven HS=0,25 pro hlavní stavbu tak, aby intenzita využití území respektovala charakter území. Zastavitelnost je stanovena jako maximální pro udržení charakteru venkovské zástavby. KN=0,6</w:t>
            </w:r>
            <w:r w:rsidR="000634DA">
              <w:rPr>
                <w:sz w:val="15"/>
                <w:szCs w:val="15"/>
              </w:rPr>
              <w:t>0</w:t>
            </w:r>
            <w:r w:rsidRPr="008E092A">
              <w:rPr>
                <w:sz w:val="15"/>
                <w:szCs w:val="15"/>
              </w:rPr>
              <w:t xml:space="preserve"> zajišťuje plochu zahrady určenou pro vsakování a retenci v území a zároveň poskytuje dostatečný prostor pro rozvoj zástavby dvorců a zahrad vedlejšími objekty.</w:t>
            </w:r>
          </w:p>
          <w:p w14:paraId="5247979C" w14:textId="68767108" w:rsidR="008E092A" w:rsidRPr="008E092A" w:rsidRDefault="008E092A" w:rsidP="003A3351">
            <w:pPr>
              <w:ind w:left="0"/>
              <w:rPr>
                <w:iCs/>
                <w:sz w:val="15"/>
                <w:szCs w:val="15"/>
              </w:rPr>
            </w:pPr>
            <w:r w:rsidRPr="008E092A">
              <w:rPr>
                <w:b/>
                <w:sz w:val="15"/>
                <w:szCs w:val="15"/>
                <w:u w:val="single"/>
              </w:rPr>
              <w:t>Pozemky v návaznosti na plochu PU.</w:t>
            </w:r>
            <w:r w:rsidR="00AF7F84">
              <w:rPr>
                <w:b/>
                <w:sz w:val="15"/>
                <w:szCs w:val="15"/>
                <w:u w:val="single"/>
              </w:rPr>
              <w:t>v</w:t>
            </w:r>
            <w:r w:rsidRPr="008E092A">
              <w:rPr>
                <w:sz w:val="15"/>
                <w:szCs w:val="15"/>
              </w:rPr>
              <w:t xml:space="preserve"> nemají stanoveny podmínky zastavitelnosti tak, aby bylo podpořeno využití lokálních center pro rozvoj občanského vybavení místního významu.</w:t>
            </w:r>
          </w:p>
          <w:p w14:paraId="1F901E81" w14:textId="100D5B31" w:rsidR="008E092A" w:rsidRPr="008E092A" w:rsidRDefault="008E092A" w:rsidP="003A3351">
            <w:pPr>
              <w:ind w:left="0"/>
              <w:rPr>
                <w:sz w:val="15"/>
                <w:szCs w:val="15"/>
              </w:rPr>
            </w:pPr>
            <w:r w:rsidRPr="008E092A">
              <w:rPr>
                <w:sz w:val="15"/>
                <w:szCs w:val="15"/>
              </w:rPr>
              <w:t xml:space="preserve">Je </w:t>
            </w:r>
            <w:r w:rsidR="001D108F" w:rsidRPr="003E47A7">
              <w:rPr>
                <w:sz w:val="15"/>
                <w:szCs w:val="15"/>
              </w:rPr>
              <w:t>doporučen</w:t>
            </w:r>
            <w:r w:rsidR="001D108F">
              <w:rPr>
                <w:sz w:val="15"/>
                <w:szCs w:val="15"/>
              </w:rPr>
              <w:t>o řešit</w:t>
            </w:r>
            <w:r w:rsidR="001D108F" w:rsidRPr="003E47A7">
              <w:rPr>
                <w:sz w:val="15"/>
                <w:szCs w:val="15"/>
              </w:rPr>
              <w:t xml:space="preserve"> parcelac</w:t>
            </w:r>
            <w:r w:rsidR="001D108F">
              <w:rPr>
                <w:sz w:val="15"/>
                <w:szCs w:val="15"/>
              </w:rPr>
              <w:t>i</w:t>
            </w:r>
            <w:r w:rsidRPr="008E092A">
              <w:rPr>
                <w:sz w:val="15"/>
                <w:szCs w:val="15"/>
              </w:rPr>
              <w:t xml:space="preserve"> s ohledem na terénní podmínky a umožnění rovnoměrného rozmístění pozemků.</w:t>
            </w:r>
          </w:p>
        </w:tc>
      </w:tr>
      <w:tr w:rsidR="008E092A" w:rsidRPr="008E092A" w14:paraId="654BCE74" w14:textId="77777777" w:rsidTr="008E092A">
        <w:tc>
          <w:tcPr>
            <w:tcW w:w="756" w:type="dxa"/>
            <w:vMerge/>
          </w:tcPr>
          <w:p w14:paraId="4A95CA9C" w14:textId="77777777" w:rsidR="008E092A" w:rsidRPr="008E092A" w:rsidRDefault="008E092A" w:rsidP="003A3351">
            <w:pPr>
              <w:ind w:left="0"/>
              <w:rPr>
                <w:b/>
              </w:rPr>
            </w:pPr>
          </w:p>
        </w:tc>
        <w:tc>
          <w:tcPr>
            <w:tcW w:w="1390" w:type="dxa"/>
          </w:tcPr>
          <w:p w14:paraId="6F8A9790" w14:textId="77777777" w:rsidR="008E092A" w:rsidRPr="008E092A" w:rsidRDefault="008E092A" w:rsidP="003A3351">
            <w:pPr>
              <w:ind w:left="0"/>
              <w:rPr>
                <w:b/>
              </w:rPr>
            </w:pPr>
            <w:r w:rsidRPr="008E092A">
              <w:rPr>
                <w:b/>
              </w:rPr>
              <w:t>Uspořádání prostranství</w:t>
            </w:r>
          </w:p>
        </w:tc>
        <w:tc>
          <w:tcPr>
            <w:tcW w:w="6359" w:type="dxa"/>
          </w:tcPr>
          <w:p w14:paraId="32E567CC" w14:textId="77777777" w:rsidR="008E092A" w:rsidRPr="008E092A" w:rsidRDefault="008E092A" w:rsidP="003A3351">
            <w:pPr>
              <w:ind w:left="0"/>
              <w:rPr>
                <w:sz w:val="15"/>
                <w:szCs w:val="15"/>
              </w:rPr>
            </w:pPr>
            <w:r w:rsidRPr="008E092A">
              <w:rPr>
                <w:sz w:val="15"/>
                <w:szCs w:val="15"/>
              </w:rPr>
              <w:t>Veřejná prostranství tvoří uliční sítí veřejných prostranství ostatních. Prostranství jsou řešena jako smíšené dopravní plochy s měkkým venkovským charakterem.</w:t>
            </w:r>
          </w:p>
          <w:p w14:paraId="25CBD9F3" w14:textId="77777777" w:rsidR="008E092A" w:rsidRPr="008E092A" w:rsidRDefault="008E092A" w:rsidP="003A3351">
            <w:pPr>
              <w:ind w:left="0"/>
              <w:rPr>
                <w:sz w:val="15"/>
                <w:szCs w:val="15"/>
              </w:rPr>
            </w:pPr>
            <w:r w:rsidRPr="008E092A">
              <w:rPr>
                <w:iCs/>
                <w:sz w:val="15"/>
                <w:szCs w:val="15"/>
              </w:rPr>
              <w:t>P</w:t>
            </w:r>
            <w:r w:rsidRPr="008E092A">
              <w:rPr>
                <w:bCs/>
                <w:iCs/>
                <w:sz w:val="15"/>
                <w:szCs w:val="15"/>
              </w:rPr>
              <w:t xml:space="preserve">odmínka řešit </w:t>
            </w:r>
            <w:r w:rsidRPr="008E092A">
              <w:rPr>
                <w:sz w:val="15"/>
                <w:szCs w:val="15"/>
              </w:rPr>
              <w:t xml:space="preserve">pojízdné plochy v minimálních nutných dimenzích je stanovena z důvodu zachování venkovského charakteru prostranství a kvality obytného prostředí. </w:t>
            </w:r>
          </w:p>
          <w:p w14:paraId="1874F4C7" w14:textId="77777777" w:rsidR="008E092A" w:rsidRPr="008E092A" w:rsidRDefault="008E092A" w:rsidP="003A3351">
            <w:pPr>
              <w:ind w:left="0"/>
              <w:rPr>
                <w:sz w:val="15"/>
                <w:szCs w:val="15"/>
              </w:rPr>
            </w:pPr>
            <w:r w:rsidRPr="008E092A">
              <w:rPr>
                <w:bCs/>
                <w:iCs/>
                <w:sz w:val="15"/>
                <w:szCs w:val="15"/>
              </w:rPr>
              <w:t xml:space="preserve">Podmínka </w:t>
            </w:r>
            <w:r w:rsidRPr="008E092A">
              <w:rPr>
                <w:sz w:val="15"/>
                <w:szCs w:val="15"/>
              </w:rPr>
              <w:t>pěší prostupnosti lokality, vést pěší trasy tak, aby prezentovaly morfologické a přírodní prvky a vyhlídkové body v krajině, je stanovena z důvodu zajištění citlivého řešení a lokalizace rekreační infrastruktury v krajině (cestní sítě, pobytových míst v krajině, drobné architektury).</w:t>
            </w:r>
          </w:p>
          <w:p w14:paraId="59DF444B" w14:textId="77777777" w:rsidR="008E092A" w:rsidRPr="008E092A" w:rsidRDefault="008E092A" w:rsidP="003A3351">
            <w:pPr>
              <w:ind w:left="0"/>
              <w:rPr>
                <w:sz w:val="15"/>
                <w:szCs w:val="15"/>
              </w:rPr>
            </w:pPr>
            <w:r w:rsidRPr="008E092A">
              <w:rPr>
                <w:sz w:val="15"/>
                <w:szCs w:val="15"/>
              </w:rPr>
              <w:t>Je doporučeno zachovávat nezpevněný lem prostranství s ohledem na jeho využití jako funkčního prvku modrozelené infrastruktury a dále s ohledem na rozvoj hodnotného měkkého charakteru venkovských prostranství.</w:t>
            </w:r>
          </w:p>
        </w:tc>
      </w:tr>
      <w:tr w:rsidR="008E092A" w:rsidRPr="008E092A" w14:paraId="524F846B" w14:textId="77777777" w:rsidTr="008E092A">
        <w:tc>
          <w:tcPr>
            <w:tcW w:w="756" w:type="dxa"/>
            <w:vMerge/>
          </w:tcPr>
          <w:p w14:paraId="283C36D9" w14:textId="77777777" w:rsidR="008E092A" w:rsidRPr="008E092A" w:rsidRDefault="008E092A" w:rsidP="003A3351">
            <w:pPr>
              <w:ind w:left="0"/>
              <w:rPr>
                <w:b/>
              </w:rPr>
            </w:pPr>
          </w:p>
        </w:tc>
        <w:tc>
          <w:tcPr>
            <w:tcW w:w="1390" w:type="dxa"/>
          </w:tcPr>
          <w:p w14:paraId="2910DC3B" w14:textId="77777777" w:rsidR="008E092A" w:rsidRPr="008E092A" w:rsidRDefault="008E092A" w:rsidP="003A3351">
            <w:pPr>
              <w:ind w:left="0"/>
              <w:rPr>
                <w:b/>
              </w:rPr>
            </w:pPr>
            <w:r w:rsidRPr="008E092A">
              <w:rPr>
                <w:b/>
              </w:rPr>
              <w:t>Uspořádání zástavby</w:t>
            </w:r>
          </w:p>
        </w:tc>
        <w:tc>
          <w:tcPr>
            <w:tcW w:w="6359" w:type="dxa"/>
          </w:tcPr>
          <w:p w14:paraId="06DD7C28" w14:textId="77777777" w:rsidR="008E092A" w:rsidRPr="008E092A" w:rsidRDefault="008E092A" w:rsidP="003A3351">
            <w:pPr>
              <w:ind w:left="0"/>
              <w:rPr>
                <w:sz w:val="15"/>
                <w:szCs w:val="15"/>
              </w:rPr>
            </w:pPr>
            <w:r w:rsidRPr="008E092A">
              <w:rPr>
                <w:sz w:val="15"/>
                <w:szCs w:val="15"/>
              </w:rPr>
              <w:t>Charakter zástavby udávají rodinné domy převážně okapové orientace. V okrajové části nelze orientaci přesně definovat, převážně je však zástavba okapové orientace.</w:t>
            </w:r>
          </w:p>
          <w:p w14:paraId="79F0D143" w14:textId="77777777" w:rsidR="008E092A" w:rsidRPr="008E092A" w:rsidRDefault="008E092A" w:rsidP="003A3351">
            <w:pPr>
              <w:ind w:left="0"/>
              <w:rPr>
                <w:sz w:val="15"/>
                <w:szCs w:val="15"/>
              </w:rPr>
            </w:pPr>
            <w:r w:rsidRPr="008E092A">
              <w:rPr>
                <w:sz w:val="15"/>
                <w:szCs w:val="15"/>
              </w:rPr>
              <w:t>Podmínka orientace kPV, sVP je stanovena z důvodu ochrany charakteru zástavby a umožňuje různorodost zástavby při dodržení ortogonálního vztahu k veřejnému prostranství.</w:t>
            </w:r>
          </w:p>
          <w:p w14:paraId="2698E32A" w14:textId="77777777" w:rsidR="008E092A" w:rsidRPr="008E092A" w:rsidRDefault="008E092A" w:rsidP="003A3351">
            <w:pPr>
              <w:ind w:left="0"/>
              <w:rPr>
                <w:sz w:val="15"/>
                <w:szCs w:val="15"/>
              </w:rPr>
            </w:pPr>
            <w:r w:rsidRPr="008E092A">
              <w:rPr>
                <w:sz w:val="15"/>
                <w:szCs w:val="15"/>
              </w:rPr>
              <w:t>Podmínka nepřípustnosti řadové zástavby mimo stávající je stanovena z důvodu ochrany jedinečnosti venkovské struktury, kterou je vhodné doplňovat samostatnými objekty na okraji sídla.</w:t>
            </w:r>
          </w:p>
        </w:tc>
      </w:tr>
      <w:tr w:rsidR="008E092A" w:rsidRPr="008E092A" w14:paraId="7BCD65E0" w14:textId="77777777" w:rsidTr="008E092A">
        <w:tc>
          <w:tcPr>
            <w:tcW w:w="756" w:type="dxa"/>
            <w:vMerge/>
          </w:tcPr>
          <w:p w14:paraId="4F97E59F" w14:textId="77777777" w:rsidR="008E092A" w:rsidRPr="008E092A" w:rsidRDefault="008E092A" w:rsidP="003A3351">
            <w:pPr>
              <w:ind w:left="0"/>
              <w:rPr>
                <w:b/>
                <w:sz w:val="28"/>
                <w:szCs w:val="28"/>
              </w:rPr>
            </w:pPr>
          </w:p>
        </w:tc>
        <w:tc>
          <w:tcPr>
            <w:tcW w:w="1390" w:type="dxa"/>
          </w:tcPr>
          <w:p w14:paraId="1150DC0E" w14:textId="77777777" w:rsidR="008E092A" w:rsidRPr="008E092A" w:rsidRDefault="008E092A" w:rsidP="003A3351">
            <w:pPr>
              <w:ind w:left="0"/>
              <w:rPr>
                <w:b/>
              </w:rPr>
            </w:pPr>
            <w:r w:rsidRPr="008E092A">
              <w:rPr>
                <w:b/>
              </w:rPr>
              <w:t>Uspořádání přírodních prvků</w:t>
            </w:r>
          </w:p>
        </w:tc>
        <w:tc>
          <w:tcPr>
            <w:tcW w:w="6359" w:type="dxa"/>
          </w:tcPr>
          <w:p w14:paraId="6616D003" w14:textId="77777777" w:rsidR="008E092A" w:rsidRPr="008E092A" w:rsidRDefault="008E092A" w:rsidP="003A3351">
            <w:pPr>
              <w:ind w:left="0"/>
              <w:rPr>
                <w:sz w:val="15"/>
                <w:szCs w:val="15"/>
              </w:rPr>
            </w:pPr>
            <w:r w:rsidRPr="008E092A">
              <w:rPr>
                <w:sz w:val="15"/>
                <w:szCs w:val="15"/>
              </w:rPr>
              <w:t>Charakter lokality udává zemědělsky využívaná krajina východních svahů údolí Bystřice. Orná půda je V. třídy ochrany ZPF. Skupiny dřevin a stromořadí jsou uspořádány jako remízky, na terénních zlomech a v zářezech a v blízkosti pěších a dopravních tras.</w:t>
            </w:r>
          </w:p>
          <w:p w14:paraId="1436F582" w14:textId="77777777" w:rsidR="008E092A" w:rsidRPr="008E092A" w:rsidRDefault="008E092A" w:rsidP="003A3351">
            <w:pPr>
              <w:ind w:left="0"/>
              <w:rPr>
                <w:sz w:val="15"/>
                <w:szCs w:val="15"/>
              </w:rPr>
            </w:pPr>
            <w:r w:rsidRPr="008E092A">
              <w:rPr>
                <w:sz w:val="15"/>
                <w:szCs w:val="15"/>
              </w:rPr>
              <w:t>Podmínka stromořadí podél ulice Dukelských hrdinů a skupiny dřevin na terénních zlomech, v terénních zářezech a v blízkosti pěších tras a vodotečí je stanovena z důvodu ochrany a rozvoje charakteru a krajinného rázu lokality a stabilizaci vodního režimu krajiny.</w:t>
            </w:r>
          </w:p>
          <w:p w14:paraId="1B753DB7" w14:textId="77777777" w:rsidR="008E092A" w:rsidRPr="008E092A" w:rsidRDefault="008E092A" w:rsidP="003A3351">
            <w:pPr>
              <w:ind w:left="0"/>
              <w:rPr>
                <w:sz w:val="15"/>
                <w:szCs w:val="15"/>
                <w:highlight w:val="yellow"/>
              </w:rPr>
            </w:pPr>
            <w:r w:rsidRPr="008E092A">
              <w:rPr>
                <w:sz w:val="15"/>
                <w:szCs w:val="15"/>
              </w:rPr>
              <w:t>Je doporučeno využívání místních dřevin.</w:t>
            </w:r>
          </w:p>
        </w:tc>
      </w:tr>
      <w:tr w:rsidR="008E092A" w:rsidRPr="008E092A" w14:paraId="5AEC2E26" w14:textId="77777777" w:rsidTr="00B23DE1">
        <w:trPr>
          <w:trHeight w:val="5715"/>
        </w:trPr>
        <w:tc>
          <w:tcPr>
            <w:tcW w:w="756" w:type="dxa"/>
            <w:vMerge/>
          </w:tcPr>
          <w:p w14:paraId="11CA3EC2" w14:textId="77777777" w:rsidR="008E092A" w:rsidRPr="008E092A" w:rsidRDefault="008E092A" w:rsidP="003A3351">
            <w:pPr>
              <w:ind w:left="0"/>
              <w:rPr>
                <w:b/>
                <w:sz w:val="28"/>
                <w:szCs w:val="28"/>
              </w:rPr>
            </w:pPr>
          </w:p>
        </w:tc>
        <w:tc>
          <w:tcPr>
            <w:tcW w:w="1390" w:type="dxa"/>
          </w:tcPr>
          <w:p w14:paraId="16D66009" w14:textId="77777777" w:rsidR="008E092A" w:rsidRPr="008E092A" w:rsidRDefault="008E092A" w:rsidP="003A3351">
            <w:pPr>
              <w:ind w:left="0"/>
              <w:rPr>
                <w:b/>
              </w:rPr>
            </w:pPr>
            <w:r w:rsidRPr="008E092A">
              <w:rPr>
                <w:b/>
              </w:rPr>
              <w:t>Specifické uspořádání</w:t>
            </w:r>
          </w:p>
        </w:tc>
        <w:tc>
          <w:tcPr>
            <w:tcW w:w="6359" w:type="dxa"/>
          </w:tcPr>
          <w:p w14:paraId="392EFEA7" w14:textId="77777777" w:rsidR="008E092A" w:rsidRPr="008E092A" w:rsidRDefault="008E092A" w:rsidP="003A3351">
            <w:pPr>
              <w:ind w:left="0"/>
              <w:rPr>
                <w:sz w:val="15"/>
                <w:szCs w:val="15"/>
              </w:rPr>
            </w:pPr>
            <w:r w:rsidRPr="008E092A">
              <w:rPr>
                <w:sz w:val="15"/>
                <w:szCs w:val="15"/>
              </w:rPr>
              <w:t>-</w:t>
            </w:r>
          </w:p>
        </w:tc>
      </w:tr>
    </w:tbl>
    <w:p w14:paraId="308FAF76" w14:textId="73FE6669" w:rsidR="00BD1D2E" w:rsidRDefault="00BD1D2E">
      <w:pPr>
        <w:spacing w:before="0" w:after="0"/>
        <w:ind w:left="0"/>
        <w:jc w:val="left"/>
        <w:rPr>
          <w:b/>
          <w:sz w:val="15"/>
          <w:szCs w:val="15"/>
        </w:rPr>
      </w:pPr>
      <w:r>
        <w:rPr>
          <w:b/>
          <w:sz w:val="15"/>
          <w:szCs w:val="15"/>
        </w:rPr>
        <w:br w:type="page"/>
      </w:r>
    </w:p>
    <w:tbl>
      <w:tblPr>
        <w:tblStyle w:val="Motivtabulky"/>
        <w:tblW w:w="8502" w:type="dxa"/>
        <w:tblInd w:w="-3" w:type="dxa"/>
        <w:tblBorders>
          <w:top w:val="dashSmallGap" w:sz="4" w:space="0" w:color="auto"/>
          <w:bottom w:val="dashSmallGap" w:sz="4" w:space="0" w:color="auto"/>
          <w:insideH w:val="dashSmallGap" w:sz="4" w:space="0" w:color="auto"/>
        </w:tblBorders>
        <w:tblLook w:val="04A0" w:firstRow="1" w:lastRow="0" w:firstColumn="1" w:lastColumn="0" w:noHBand="0" w:noVBand="1"/>
      </w:tblPr>
      <w:tblGrid>
        <w:gridCol w:w="688"/>
        <w:gridCol w:w="1254"/>
        <w:gridCol w:w="6560"/>
      </w:tblGrid>
      <w:tr w:rsidR="005F3739" w14:paraId="3B57FAF2" w14:textId="77777777" w:rsidTr="00BD1D2E">
        <w:tc>
          <w:tcPr>
            <w:tcW w:w="1942" w:type="dxa"/>
            <w:gridSpan w:val="2"/>
          </w:tcPr>
          <w:p w14:paraId="6415C4DE" w14:textId="668F25D4" w:rsidR="005F3739" w:rsidRPr="00B031B3" w:rsidRDefault="005F3739" w:rsidP="003A3351">
            <w:pPr>
              <w:ind w:left="0"/>
              <w:rPr>
                <w:b/>
                <w:sz w:val="24"/>
              </w:rPr>
            </w:pPr>
            <w:r>
              <w:rPr>
                <w:b/>
                <w:sz w:val="24"/>
              </w:rPr>
              <w:lastRenderedPageBreak/>
              <w:t>L.</w:t>
            </w:r>
            <w:r w:rsidR="00BD1D2E">
              <w:rPr>
                <w:b/>
                <w:sz w:val="24"/>
              </w:rPr>
              <w:t>0</w:t>
            </w:r>
            <w:r>
              <w:rPr>
                <w:b/>
                <w:sz w:val="24"/>
              </w:rPr>
              <w:t>9</w:t>
            </w:r>
          </w:p>
        </w:tc>
        <w:tc>
          <w:tcPr>
            <w:tcW w:w="6560" w:type="dxa"/>
            <w:vAlign w:val="bottom"/>
          </w:tcPr>
          <w:p w14:paraId="322E7555" w14:textId="779D3F37" w:rsidR="005F3739" w:rsidRDefault="005F3739" w:rsidP="003A3351">
            <w:pPr>
              <w:ind w:left="0"/>
              <w:rPr>
                <w:b/>
                <w:sz w:val="28"/>
                <w:szCs w:val="28"/>
              </w:rPr>
            </w:pPr>
            <w:r>
              <w:rPr>
                <w:b/>
                <w:sz w:val="24"/>
              </w:rPr>
              <w:t>Dukla</w:t>
            </w:r>
          </w:p>
        </w:tc>
      </w:tr>
      <w:tr w:rsidR="005F3739" w14:paraId="582B2E54" w14:textId="77777777" w:rsidTr="00BD1D2E">
        <w:tc>
          <w:tcPr>
            <w:tcW w:w="8502" w:type="dxa"/>
            <w:gridSpan w:val="3"/>
          </w:tcPr>
          <w:p w14:paraId="3942F12D" w14:textId="77777777" w:rsidR="005F3739" w:rsidRDefault="005F3739" w:rsidP="003A3351">
            <w:pPr>
              <w:ind w:left="0"/>
              <w:rPr>
                <w:szCs w:val="18"/>
              </w:rPr>
            </w:pPr>
            <w:r>
              <w:rPr>
                <w:szCs w:val="18"/>
              </w:rPr>
              <w:t>Historické sídliště při železniční stanici a výrobních plochách</w:t>
            </w:r>
          </w:p>
        </w:tc>
      </w:tr>
      <w:tr w:rsidR="005F3739" w:rsidRPr="00B50A71" w14:paraId="3D00AE47" w14:textId="77777777" w:rsidTr="00BD1D2E">
        <w:tc>
          <w:tcPr>
            <w:tcW w:w="1942" w:type="dxa"/>
            <w:gridSpan w:val="2"/>
          </w:tcPr>
          <w:p w14:paraId="0B9D2456" w14:textId="77777777" w:rsidR="005F3739" w:rsidRDefault="005F3739" w:rsidP="003A3351">
            <w:pPr>
              <w:ind w:left="0"/>
              <w:rPr>
                <w:b/>
                <w:sz w:val="28"/>
                <w:szCs w:val="28"/>
              </w:rPr>
            </w:pPr>
            <w:r w:rsidRPr="00CB1ACC">
              <w:rPr>
                <w:b/>
              </w:rPr>
              <w:t>Vymezení</w:t>
            </w:r>
          </w:p>
        </w:tc>
        <w:tc>
          <w:tcPr>
            <w:tcW w:w="6560" w:type="dxa"/>
          </w:tcPr>
          <w:p w14:paraId="2687A639" w14:textId="77777777" w:rsidR="005F3739" w:rsidRPr="00B50A71" w:rsidRDefault="005F3739" w:rsidP="003A3351">
            <w:pPr>
              <w:ind w:left="0"/>
              <w:rPr>
                <w:sz w:val="15"/>
                <w:szCs w:val="15"/>
              </w:rPr>
            </w:pPr>
            <w:r w:rsidRPr="003C2259">
              <w:rPr>
                <w:sz w:val="15"/>
                <w:szCs w:val="15"/>
              </w:rPr>
              <w:t xml:space="preserve">Lokalita je vymezena </w:t>
            </w:r>
            <w:r>
              <w:rPr>
                <w:sz w:val="15"/>
                <w:szCs w:val="15"/>
              </w:rPr>
              <w:t>krajinným prostorem nivy Bystřice, ze severu navazuje na Hrubou Vodu. Těžištěm lokality je sídliště.</w:t>
            </w:r>
          </w:p>
        </w:tc>
      </w:tr>
      <w:tr w:rsidR="005F3739" w:rsidRPr="00842869" w14:paraId="22832AF3" w14:textId="77777777" w:rsidTr="00BD1D2E">
        <w:tc>
          <w:tcPr>
            <w:tcW w:w="688" w:type="dxa"/>
            <w:vMerge w:val="restart"/>
            <w:textDirection w:val="btLr"/>
          </w:tcPr>
          <w:p w14:paraId="5E2A9DE7" w14:textId="77777777" w:rsidR="005F3739" w:rsidRPr="00B960DF" w:rsidRDefault="005F3739" w:rsidP="003A3351">
            <w:pPr>
              <w:ind w:left="113" w:right="113"/>
              <w:jc w:val="right"/>
              <w:rPr>
                <w:b/>
              </w:rPr>
            </w:pPr>
            <w:r>
              <w:rPr>
                <w:b/>
              </w:rPr>
              <w:t>Prvky</w:t>
            </w:r>
          </w:p>
        </w:tc>
        <w:tc>
          <w:tcPr>
            <w:tcW w:w="1254" w:type="dxa"/>
          </w:tcPr>
          <w:p w14:paraId="23F88508" w14:textId="77777777" w:rsidR="005F3739" w:rsidRPr="00CD7EAF" w:rsidRDefault="005F3739" w:rsidP="003A3351">
            <w:pPr>
              <w:ind w:left="0"/>
              <w:rPr>
                <w:b/>
              </w:rPr>
            </w:pPr>
            <w:r w:rsidRPr="00CD7EAF">
              <w:rPr>
                <w:b/>
              </w:rPr>
              <w:t>Plošné řešení zástavby</w:t>
            </w:r>
          </w:p>
        </w:tc>
        <w:tc>
          <w:tcPr>
            <w:tcW w:w="6560" w:type="dxa"/>
          </w:tcPr>
          <w:p w14:paraId="10143CC8" w14:textId="77777777" w:rsidR="005F3739" w:rsidRPr="00CD7EAF" w:rsidRDefault="005F3739" w:rsidP="003A3351">
            <w:pPr>
              <w:ind w:left="0"/>
              <w:rPr>
                <w:sz w:val="15"/>
                <w:szCs w:val="15"/>
              </w:rPr>
            </w:pPr>
            <w:r w:rsidRPr="00CD7EAF">
              <w:rPr>
                <w:sz w:val="15"/>
                <w:szCs w:val="15"/>
              </w:rPr>
              <w:t>Charakter zástavby udávají podélné objekty solitérních domů s typickým poměrem stran 1:1,3 (např. č.p.478, 479, 480), až 1:5 (např. č.p.331, 332, 333). Atypickým prvkem struktury jsou rodinné domy.</w:t>
            </w:r>
          </w:p>
          <w:p w14:paraId="736C72F6" w14:textId="77777777" w:rsidR="005F3739" w:rsidRPr="00CD7EAF" w:rsidRDefault="005F3739" w:rsidP="003A3351">
            <w:pPr>
              <w:ind w:left="0"/>
              <w:rPr>
                <w:sz w:val="15"/>
                <w:szCs w:val="15"/>
              </w:rPr>
            </w:pPr>
            <w:r w:rsidRPr="00CD7EAF">
              <w:rPr>
                <w:sz w:val="15"/>
                <w:szCs w:val="15"/>
              </w:rPr>
              <w:t xml:space="preserve">S ohledem na různorodost zástavby není plošné řešení stanoveno. </w:t>
            </w:r>
          </w:p>
        </w:tc>
      </w:tr>
      <w:tr w:rsidR="005F3739" w:rsidRPr="004B4D78" w14:paraId="53DEBF28" w14:textId="77777777" w:rsidTr="00BD1D2E">
        <w:trPr>
          <w:trHeight w:val="2400"/>
        </w:trPr>
        <w:tc>
          <w:tcPr>
            <w:tcW w:w="688" w:type="dxa"/>
            <w:vMerge/>
          </w:tcPr>
          <w:p w14:paraId="1D136F31" w14:textId="77777777" w:rsidR="005F3739" w:rsidRDefault="005F3739" w:rsidP="003A3351">
            <w:pPr>
              <w:ind w:left="0"/>
              <w:rPr>
                <w:b/>
              </w:rPr>
            </w:pPr>
          </w:p>
        </w:tc>
        <w:tc>
          <w:tcPr>
            <w:tcW w:w="1254" w:type="dxa"/>
          </w:tcPr>
          <w:p w14:paraId="0D9D6626" w14:textId="77777777" w:rsidR="005F3739" w:rsidRPr="000A4458" w:rsidRDefault="005F3739" w:rsidP="003A3351">
            <w:pPr>
              <w:ind w:left="0"/>
              <w:rPr>
                <w:b/>
              </w:rPr>
            </w:pPr>
            <w:r w:rsidRPr="000A4458">
              <w:rPr>
                <w:b/>
              </w:rPr>
              <w:t>Výškové řešení zástavby</w:t>
            </w:r>
          </w:p>
        </w:tc>
        <w:tc>
          <w:tcPr>
            <w:tcW w:w="6560" w:type="dxa"/>
          </w:tcPr>
          <w:p w14:paraId="6A646DE2" w14:textId="77777777" w:rsidR="005F3739" w:rsidRPr="000A4458" w:rsidRDefault="005F3739" w:rsidP="003A3351">
            <w:pPr>
              <w:ind w:left="0"/>
              <w:rPr>
                <w:sz w:val="15"/>
                <w:szCs w:val="15"/>
              </w:rPr>
            </w:pPr>
            <w:r w:rsidRPr="000A4458">
              <w:rPr>
                <w:sz w:val="15"/>
                <w:szCs w:val="15"/>
              </w:rPr>
              <w:t>Typickou zástavbu tvoří solitérní domy o několika výškových úrovních od 3 NP po 8 NP. Výjimky typické zástavby tvoří rodinné domy o 2 NP při ulici Olomoucká.</w:t>
            </w:r>
          </w:p>
          <w:p w14:paraId="29D86C24" w14:textId="77777777" w:rsidR="005F3739" w:rsidRPr="000A4458" w:rsidRDefault="005F3739" w:rsidP="003A3351">
            <w:pPr>
              <w:ind w:left="0"/>
              <w:rPr>
                <w:sz w:val="15"/>
                <w:szCs w:val="15"/>
              </w:rPr>
            </w:pPr>
            <w:r w:rsidRPr="000A4458">
              <w:rPr>
                <w:sz w:val="15"/>
                <w:szCs w:val="15"/>
              </w:rPr>
              <w:t>Podmínka max. 3NP je stanovena z důvodu ochrany charakteru urbanisticky hodnotné struktury historického sídliště.</w:t>
            </w:r>
          </w:p>
          <w:p w14:paraId="1CD73A79" w14:textId="4639F40D" w:rsidR="00D7410D" w:rsidRPr="00D7410D" w:rsidRDefault="00D7410D" w:rsidP="003A3351">
            <w:pPr>
              <w:ind w:left="0"/>
              <w:rPr>
                <w:sz w:val="15"/>
                <w:szCs w:val="15"/>
              </w:rPr>
            </w:pPr>
            <w:r>
              <w:rPr>
                <w:sz w:val="15"/>
                <w:szCs w:val="15"/>
              </w:rPr>
              <w:t xml:space="preserve">Podmínky </w:t>
            </w:r>
            <w:r w:rsidRPr="00D7410D">
              <w:rPr>
                <w:sz w:val="15"/>
                <w:szCs w:val="15"/>
              </w:rPr>
              <w:t>stávající výškov</w:t>
            </w:r>
            <w:r>
              <w:rPr>
                <w:sz w:val="15"/>
                <w:szCs w:val="15"/>
              </w:rPr>
              <w:t>é</w:t>
            </w:r>
            <w:r w:rsidRPr="00D7410D">
              <w:rPr>
                <w:sz w:val="15"/>
                <w:szCs w:val="15"/>
              </w:rPr>
              <w:t xml:space="preserve"> hladina zástavby</w:t>
            </w:r>
            <w:r>
              <w:rPr>
                <w:sz w:val="15"/>
                <w:szCs w:val="15"/>
              </w:rPr>
              <w:t xml:space="preserve"> a</w:t>
            </w:r>
            <w:r w:rsidRPr="00D7410D">
              <w:rPr>
                <w:sz w:val="15"/>
                <w:szCs w:val="15"/>
              </w:rPr>
              <w:t xml:space="preserve"> u zástavby nižší než 8 NP je přípustná nástavba +1 NP</w:t>
            </w:r>
            <w:r>
              <w:rPr>
                <w:sz w:val="15"/>
                <w:szCs w:val="15"/>
              </w:rPr>
              <w:t xml:space="preserve"> pro </w:t>
            </w:r>
            <w:r w:rsidRPr="00D7410D">
              <w:rPr>
                <w:b/>
                <w:bCs/>
                <w:sz w:val="15"/>
                <w:szCs w:val="15"/>
                <w:u w:val="single"/>
              </w:rPr>
              <w:t>stávající solitérní zástavbu</w:t>
            </w:r>
            <w:r>
              <w:rPr>
                <w:sz w:val="15"/>
                <w:szCs w:val="15"/>
              </w:rPr>
              <w:t xml:space="preserve"> je stanovena z důvodu možnosti přiměřeného udržitelného rozvoje stávající solitérní zástavy, zejména v okolí ulice Na Orátě a zároveň zachování </w:t>
            </w:r>
            <w:r w:rsidR="00D2152C">
              <w:rPr>
                <w:sz w:val="15"/>
                <w:szCs w:val="15"/>
              </w:rPr>
              <w:t>současné hladiny intenzity využití území</w:t>
            </w:r>
            <w:r>
              <w:rPr>
                <w:sz w:val="15"/>
                <w:szCs w:val="15"/>
              </w:rPr>
              <w:t>.</w:t>
            </w:r>
          </w:p>
          <w:p w14:paraId="6EB97046" w14:textId="2D1018DF" w:rsidR="005F3739" w:rsidRPr="000A4458" w:rsidRDefault="005F3739" w:rsidP="003A3351">
            <w:pPr>
              <w:ind w:left="0"/>
              <w:rPr>
                <w:sz w:val="15"/>
                <w:szCs w:val="15"/>
              </w:rPr>
            </w:pPr>
            <w:r w:rsidRPr="000A4458">
              <w:rPr>
                <w:sz w:val="15"/>
                <w:szCs w:val="15"/>
              </w:rPr>
              <w:t xml:space="preserve">Podmínka max. </w:t>
            </w:r>
            <w:r w:rsidR="00D2152C">
              <w:rPr>
                <w:sz w:val="15"/>
                <w:szCs w:val="15"/>
              </w:rPr>
              <w:t>5</w:t>
            </w:r>
            <w:r w:rsidRPr="000A4458">
              <w:rPr>
                <w:sz w:val="15"/>
                <w:szCs w:val="15"/>
              </w:rPr>
              <w:t xml:space="preserve"> NP</w:t>
            </w:r>
            <w:r w:rsidR="00D2152C">
              <w:rPr>
                <w:sz w:val="15"/>
                <w:szCs w:val="15"/>
              </w:rPr>
              <w:t xml:space="preserve"> pro</w:t>
            </w:r>
            <w:r w:rsidRPr="000A4458">
              <w:rPr>
                <w:sz w:val="15"/>
                <w:szCs w:val="15"/>
              </w:rPr>
              <w:t xml:space="preserve"> </w:t>
            </w:r>
            <w:r w:rsidR="00D2152C" w:rsidRPr="00D2152C">
              <w:rPr>
                <w:b/>
                <w:sz w:val="15"/>
                <w:szCs w:val="15"/>
                <w:u w:val="single"/>
              </w:rPr>
              <w:t>zástavb</w:t>
            </w:r>
            <w:r w:rsidR="00D2152C">
              <w:rPr>
                <w:b/>
                <w:sz w:val="15"/>
                <w:szCs w:val="15"/>
                <w:u w:val="single"/>
              </w:rPr>
              <w:t>u</w:t>
            </w:r>
            <w:r w:rsidR="00D2152C" w:rsidRPr="00D2152C">
              <w:rPr>
                <w:b/>
                <w:sz w:val="15"/>
                <w:szCs w:val="15"/>
                <w:u w:val="single"/>
              </w:rPr>
              <w:t xml:space="preserve"> v návaznosti na plochu PU.v mimo stávající solitérní zástavbu</w:t>
            </w:r>
            <w:r w:rsidRPr="000A4458">
              <w:rPr>
                <w:sz w:val="15"/>
                <w:szCs w:val="15"/>
                <w:u w:val="single"/>
              </w:rPr>
              <w:t xml:space="preserve"> </w:t>
            </w:r>
            <w:r w:rsidRPr="000A4458">
              <w:rPr>
                <w:sz w:val="15"/>
                <w:szCs w:val="15"/>
              </w:rPr>
              <w:t>je stanovena z důvodu zachování stávajícího charakteru</w:t>
            </w:r>
            <w:r w:rsidR="009C611E">
              <w:rPr>
                <w:sz w:val="15"/>
                <w:szCs w:val="15"/>
              </w:rPr>
              <w:t xml:space="preserve"> zástavby</w:t>
            </w:r>
            <w:r w:rsidRPr="000A4458">
              <w:rPr>
                <w:sz w:val="15"/>
                <w:szCs w:val="15"/>
              </w:rPr>
              <w:t xml:space="preserve"> </w:t>
            </w:r>
            <w:r w:rsidR="009C611E">
              <w:rPr>
                <w:sz w:val="15"/>
                <w:szCs w:val="15"/>
              </w:rPr>
              <w:t>možnosti vyšší intenzity využití v návaznosti na významná prostranství a těžiště</w:t>
            </w:r>
            <w:r w:rsidR="00253660">
              <w:rPr>
                <w:sz w:val="15"/>
                <w:szCs w:val="15"/>
              </w:rPr>
              <w:t>, resp. místní jádra,</w:t>
            </w:r>
            <w:r w:rsidR="009C611E">
              <w:rPr>
                <w:sz w:val="15"/>
                <w:szCs w:val="15"/>
              </w:rPr>
              <w:t xml:space="preserve"> území</w:t>
            </w:r>
            <w:r w:rsidRPr="000A4458">
              <w:rPr>
                <w:sz w:val="15"/>
                <w:szCs w:val="15"/>
              </w:rPr>
              <w:t>.</w:t>
            </w:r>
          </w:p>
          <w:p w14:paraId="5B152D68" w14:textId="4FA3A1C0" w:rsidR="005F3739" w:rsidRPr="000A4458" w:rsidRDefault="005F3739" w:rsidP="003A3351">
            <w:pPr>
              <w:spacing w:before="0" w:after="0"/>
              <w:ind w:left="0"/>
              <w:rPr>
                <w:sz w:val="15"/>
                <w:szCs w:val="15"/>
              </w:rPr>
            </w:pPr>
            <w:r w:rsidRPr="000A4458">
              <w:rPr>
                <w:sz w:val="15"/>
                <w:szCs w:val="15"/>
              </w:rPr>
              <w:t xml:space="preserve">Podmínka max. výška zástavby 10 m </w:t>
            </w:r>
            <w:r w:rsidRPr="000A4458">
              <w:rPr>
                <w:b/>
                <w:bCs/>
                <w:sz w:val="15"/>
                <w:szCs w:val="15"/>
                <w:u w:val="single"/>
              </w:rPr>
              <w:t>v ploše smíšené výrobní všeobecné (HU)</w:t>
            </w:r>
            <w:r w:rsidRPr="000A4458">
              <w:rPr>
                <w:sz w:val="15"/>
                <w:szCs w:val="15"/>
              </w:rPr>
              <w:t xml:space="preserve"> je stanovena z</w:t>
            </w:r>
            <w:r w:rsidR="006E11CF">
              <w:rPr>
                <w:sz w:val="15"/>
                <w:szCs w:val="15"/>
              </w:rPr>
              <w:t> </w:t>
            </w:r>
            <w:r w:rsidRPr="000A4458">
              <w:rPr>
                <w:sz w:val="15"/>
                <w:szCs w:val="15"/>
              </w:rPr>
              <w:t>důvodu výškové stabilizace zástavby.</w:t>
            </w:r>
          </w:p>
          <w:p w14:paraId="567BD1E9" w14:textId="77777777" w:rsidR="005F3739" w:rsidRPr="000A4458" w:rsidRDefault="005F3739" w:rsidP="003A3351">
            <w:pPr>
              <w:ind w:left="0"/>
              <w:rPr>
                <w:sz w:val="15"/>
                <w:szCs w:val="15"/>
              </w:rPr>
            </w:pPr>
            <w:r w:rsidRPr="000A4458">
              <w:rPr>
                <w:sz w:val="15"/>
                <w:szCs w:val="15"/>
              </w:rPr>
              <w:t xml:space="preserve">Podmínka max. 1NP </w:t>
            </w:r>
            <w:r w:rsidRPr="000A4458">
              <w:rPr>
                <w:b/>
                <w:sz w:val="15"/>
                <w:szCs w:val="15"/>
                <w:u w:val="single"/>
              </w:rPr>
              <w:t>v ploše rekreace (RI a RZ)</w:t>
            </w:r>
            <w:r w:rsidRPr="000A4458">
              <w:rPr>
                <w:sz w:val="15"/>
                <w:szCs w:val="15"/>
              </w:rPr>
              <w:t xml:space="preserve"> je stanovena z důvodu zachování rekreačního charakteru ploch.</w:t>
            </w:r>
          </w:p>
          <w:p w14:paraId="6730BD65" w14:textId="1E90F7BB" w:rsidR="005F3739" w:rsidRPr="00CD7EAF" w:rsidRDefault="005F3739" w:rsidP="003A3351">
            <w:pPr>
              <w:ind w:left="0"/>
              <w:rPr>
                <w:sz w:val="15"/>
                <w:szCs w:val="15"/>
              </w:rPr>
            </w:pPr>
            <w:r w:rsidRPr="000A4458">
              <w:rPr>
                <w:sz w:val="15"/>
                <w:szCs w:val="15"/>
              </w:rPr>
              <w:t>Je doporučeno respektovat stávající střešní krajinu</w:t>
            </w:r>
            <w:r w:rsidR="006E11CF">
              <w:rPr>
                <w:sz w:val="15"/>
                <w:szCs w:val="15"/>
              </w:rPr>
              <w:t>.</w:t>
            </w:r>
          </w:p>
        </w:tc>
      </w:tr>
      <w:tr w:rsidR="005F3739" w:rsidRPr="00842869" w14:paraId="4339BD43" w14:textId="77777777" w:rsidTr="00BD1D2E">
        <w:trPr>
          <w:trHeight w:val="1975"/>
        </w:trPr>
        <w:tc>
          <w:tcPr>
            <w:tcW w:w="688" w:type="dxa"/>
            <w:vMerge/>
          </w:tcPr>
          <w:p w14:paraId="235837DA" w14:textId="77777777" w:rsidR="005F3739" w:rsidRDefault="005F3739" w:rsidP="003A3351">
            <w:pPr>
              <w:ind w:left="0"/>
              <w:rPr>
                <w:b/>
              </w:rPr>
            </w:pPr>
          </w:p>
        </w:tc>
        <w:tc>
          <w:tcPr>
            <w:tcW w:w="1254" w:type="dxa"/>
          </w:tcPr>
          <w:p w14:paraId="0A636344" w14:textId="77777777" w:rsidR="005F3739" w:rsidRPr="00F345D4" w:rsidRDefault="005F3739" w:rsidP="003A3351">
            <w:pPr>
              <w:ind w:left="0"/>
              <w:rPr>
                <w:b/>
              </w:rPr>
            </w:pPr>
            <w:r>
              <w:rPr>
                <w:b/>
              </w:rPr>
              <w:t>Charakter</w:t>
            </w:r>
            <w:r w:rsidRPr="00F345D4">
              <w:rPr>
                <w:b/>
              </w:rPr>
              <w:t xml:space="preserve"> přírodních prvků</w:t>
            </w:r>
          </w:p>
        </w:tc>
        <w:tc>
          <w:tcPr>
            <w:tcW w:w="6560" w:type="dxa"/>
          </w:tcPr>
          <w:p w14:paraId="21E3DC9B" w14:textId="77777777" w:rsidR="005F3739" w:rsidRPr="000003BB" w:rsidRDefault="005F3739" w:rsidP="003A3351">
            <w:pPr>
              <w:ind w:left="0"/>
              <w:rPr>
                <w:sz w:val="15"/>
                <w:szCs w:val="15"/>
              </w:rPr>
            </w:pPr>
            <w:r w:rsidRPr="000003BB">
              <w:rPr>
                <w:sz w:val="15"/>
                <w:szCs w:val="15"/>
              </w:rPr>
              <w:t>Přírodní prvky zastavěného území tvoří dřeviny, rostliny a zatravněné plochy jako součást soukromých zahrad a veřejných prostranství. Významným přírodním prvkem je park u autobusové zastávky s památníkem Dukelských hrdinů a údolní niva mezi Hlubočkami a Duklou, jejíž rekreační využití je posíleno sportovními plochami. Přírodní prvky nezastavěného území tvoří zejména lesní plochy svahů údolí Bystřice.</w:t>
            </w:r>
          </w:p>
          <w:p w14:paraId="3D92E2ED" w14:textId="77777777" w:rsidR="005F3739" w:rsidRPr="000003BB" w:rsidRDefault="005F3739" w:rsidP="003A3351">
            <w:pPr>
              <w:ind w:left="0"/>
              <w:rPr>
                <w:sz w:val="15"/>
                <w:szCs w:val="15"/>
              </w:rPr>
            </w:pPr>
            <w:r w:rsidRPr="000003BB">
              <w:rPr>
                <w:sz w:val="15"/>
                <w:szCs w:val="15"/>
              </w:rPr>
              <w:t xml:space="preserve">Podmínka řešit plochy mezi solitérními domy v ploše </w:t>
            </w:r>
            <w:r w:rsidRPr="000003BB">
              <w:rPr>
                <w:b/>
                <w:sz w:val="15"/>
                <w:szCs w:val="15"/>
                <w:u w:val="single"/>
              </w:rPr>
              <w:t>smíšené obytné všeobecné (SU)</w:t>
            </w:r>
            <w:r w:rsidRPr="000003BB">
              <w:rPr>
                <w:sz w:val="15"/>
                <w:szCs w:val="15"/>
              </w:rPr>
              <w:t xml:space="preserve"> jako parkově blízké prostranství s volným pohybem je stanovena z důvodu zachování prostupnosti a kvality sídelní zeleně.</w:t>
            </w:r>
          </w:p>
          <w:p w14:paraId="471875EA" w14:textId="1E6BAFAD" w:rsidR="005F3739" w:rsidRPr="000003BB" w:rsidRDefault="005F3739" w:rsidP="003A3351">
            <w:pPr>
              <w:ind w:left="0"/>
              <w:rPr>
                <w:sz w:val="15"/>
                <w:szCs w:val="15"/>
              </w:rPr>
            </w:pPr>
            <w:r w:rsidRPr="000003BB">
              <w:rPr>
                <w:sz w:val="15"/>
                <w:szCs w:val="15"/>
              </w:rPr>
              <w:t xml:space="preserve">Podmínka </w:t>
            </w:r>
            <w:r w:rsidR="004F10AE">
              <w:rPr>
                <w:sz w:val="15"/>
                <w:szCs w:val="15"/>
              </w:rPr>
              <w:t xml:space="preserve">převážně </w:t>
            </w:r>
            <w:r w:rsidRPr="000003BB">
              <w:rPr>
                <w:sz w:val="15"/>
                <w:szCs w:val="15"/>
              </w:rPr>
              <w:t xml:space="preserve">přírodního charakteru </w:t>
            </w:r>
            <w:r w:rsidRPr="000003BB">
              <w:rPr>
                <w:b/>
                <w:sz w:val="15"/>
                <w:szCs w:val="15"/>
                <w:u w:val="single"/>
              </w:rPr>
              <w:t>koryta Bystřice</w:t>
            </w:r>
            <w:r w:rsidRPr="000003BB">
              <w:rPr>
                <w:sz w:val="15"/>
                <w:szCs w:val="15"/>
              </w:rPr>
              <w:t xml:space="preserve"> je stanovena s důvodu ochrany cenného nivního biotopu</w:t>
            </w:r>
            <w:r w:rsidR="004F10AE">
              <w:rPr>
                <w:sz w:val="15"/>
                <w:szCs w:val="15"/>
              </w:rPr>
              <w:t xml:space="preserve"> a zároveň umožnění místního zpevnění břehů.</w:t>
            </w:r>
          </w:p>
          <w:p w14:paraId="1070675B" w14:textId="77777777" w:rsidR="005F3739" w:rsidRPr="000003BB" w:rsidRDefault="005F3739" w:rsidP="003A3351">
            <w:pPr>
              <w:ind w:left="0"/>
              <w:rPr>
                <w:sz w:val="15"/>
                <w:szCs w:val="15"/>
              </w:rPr>
            </w:pPr>
            <w:r w:rsidRPr="000003BB">
              <w:rPr>
                <w:sz w:val="15"/>
                <w:szCs w:val="15"/>
              </w:rPr>
              <w:t>Je doporučeno využívání místních dřevin.</w:t>
            </w:r>
          </w:p>
        </w:tc>
      </w:tr>
      <w:tr w:rsidR="005F3739" w:rsidRPr="00842869" w14:paraId="13297A84" w14:textId="77777777" w:rsidTr="009C611E">
        <w:trPr>
          <w:trHeight w:val="5661"/>
        </w:trPr>
        <w:tc>
          <w:tcPr>
            <w:tcW w:w="688" w:type="dxa"/>
            <w:vMerge/>
          </w:tcPr>
          <w:p w14:paraId="191E9DD1" w14:textId="77777777" w:rsidR="005F3739" w:rsidRDefault="005F3739" w:rsidP="003A3351">
            <w:pPr>
              <w:ind w:left="0"/>
              <w:rPr>
                <w:b/>
              </w:rPr>
            </w:pPr>
          </w:p>
        </w:tc>
        <w:tc>
          <w:tcPr>
            <w:tcW w:w="1254" w:type="dxa"/>
          </w:tcPr>
          <w:p w14:paraId="469912AC" w14:textId="77777777" w:rsidR="005F3739" w:rsidRPr="00B960DF" w:rsidRDefault="005F3739" w:rsidP="003A3351">
            <w:pPr>
              <w:ind w:left="0"/>
              <w:rPr>
                <w:b/>
              </w:rPr>
            </w:pPr>
            <w:r>
              <w:rPr>
                <w:b/>
              </w:rPr>
              <w:t>Specifické prvky</w:t>
            </w:r>
          </w:p>
        </w:tc>
        <w:tc>
          <w:tcPr>
            <w:tcW w:w="6560" w:type="dxa"/>
          </w:tcPr>
          <w:p w14:paraId="796E2FB7" w14:textId="77777777" w:rsidR="005F3739" w:rsidRPr="00BD1D2E" w:rsidRDefault="005F3739" w:rsidP="003A3351">
            <w:pPr>
              <w:ind w:left="0"/>
              <w:rPr>
                <w:sz w:val="30"/>
                <w:szCs w:val="30"/>
              </w:rPr>
            </w:pPr>
            <w:r w:rsidRPr="00BD1D2E">
              <w:rPr>
                <w:sz w:val="15"/>
                <w:szCs w:val="15"/>
              </w:rPr>
              <w:t>Je stanovena podmínka ochrany komína historické budovy elektrárny jako kompozičního prvku sídlištní struktury.</w:t>
            </w:r>
          </w:p>
        </w:tc>
      </w:tr>
      <w:tr w:rsidR="005F3739" w:rsidRPr="00842869" w14:paraId="37B9224C" w14:textId="77777777" w:rsidTr="00BD1D2E">
        <w:trPr>
          <w:trHeight w:val="4101"/>
        </w:trPr>
        <w:tc>
          <w:tcPr>
            <w:tcW w:w="688" w:type="dxa"/>
            <w:vMerge w:val="restart"/>
            <w:textDirection w:val="btLr"/>
          </w:tcPr>
          <w:p w14:paraId="394DD752" w14:textId="77777777" w:rsidR="005F3739" w:rsidRDefault="005F3739" w:rsidP="003A3351">
            <w:pPr>
              <w:ind w:left="113" w:right="113"/>
              <w:jc w:val="right"/>
              <w:rPr>
                <w:b/>
              </w:rPr>
            </w:pPr>
            <w:r>
              <w:rPr>
                <w:b/>
              </w:rPr>
              <w:lastRenderedPageBreak/>
              <w:t>Uspořádání</w:t>
            </w:r>
          </w:p>
        </w:tc>
        <w:tc>
          <w:tcPr>
            <w:tcW w:w="1254" w:type="dxa"/>
          </w:tcPr>
          <w:p w14:paraId="7A4A358F" w14:textId="77777777" w:rsidR="005F3739" w:rsidRPr="00E839B9" w:rsidRDefault="005F3739" w:rsidP="003A3351">
            <w:pPr>
              <w:ind w:left="0"/>
              <w:jc w:val="left"/>
              <w:rPr>
                <w:b/>
              </w:rPr>
            </w:pPr>
            <w:r w:rsidRPr="00E839B9">
              <w:rPr>
                <w:b/>
              </w:rPr>
              <w:t>Velikost a zastavitelnost pozemků</w:t>
            </w:r>
          </w:p>
        </w:tc>
        <w:tc>
          <w:tcPr>
            <w:tcW w:w="6560" w:type="dxa"/>
          </w:tcPr>
          <w:p w14:paraId="0BF5A7D0" w14:textId="77777777" w:rsidR="005F3739" w:rsidRPr="00E839B9" w:rsidRDefault="005F3739" w:rsidP="003A3351">
            <w:pPr>
              <w:ind w:left="0"/>
              <w:rPr>
                <w:sz w:val="15"/>
                <w:szCs w:val="15"/>
              </w:rPr>
            </w:pPr>
            <w:r w:rsidRPr="00E839B9">
              <w:rPr>
                <w:sz w:val="15"/>
                <w:szCs w:val="15"/>
              </w:rPr>
              <w:t>Obvyklá míra velikosti pozemků je cca od 1000 do cca 15 000 m</w:t>
            </w:r>
            <w:r w:rsidRPr="00E839B9">
              <w:rPr>
                <w:sz w:val="15"/>
                <w:szCs w:val="15"/>
                <w:vertAlign w:val="superscript"/>
              </w:rPr>
              <w:t>2</w:t>
            </w:r>
            <w:r w:rsidRPr="00E839B9">
              <w:rPr>
                <w:sz w:val="15"/>
                <w:szCs w:val="15"/>
              </w:rPr>
              <w:t>, s průměrnou zastavitelností 10-30%. Typickým zástupcem zástavby je např. RD č.p.24 o ZP HS cca 425 m</w:t>
            </w:r>
            <w:r w:rsidRPr="00E839B9">
              <w:rPr>
                <w:sz w:val="15"/>
                <w:szCs w:val="15"/>
                <w:vertAlign w:val="superscript"/>
              </w:rPr>
              <w:t>2</w:t>
            </w:r>
            <w:r w:rsidRPr="00E839B9">
              <w:rPr>
                <w:sz w:val="15"/>
                <w:szCs w:val="15"/>
              </w:rPr>
              <w:t xml:space="preserve"> na pozemku cca 1600 m2 (zastavitelnost cca 26%).</w:t>
            </w:r>
          </w:p>
          <w:p w14:paraId="6A338996" w14:textId="77777777" w:rsidR="005F3739" w:rsidRPr="00E839B9" w:rsidRDefault="005F3739" w:rsidP="003A3351">
            <w:pPr>
              <w:ind w:left="0"/>
              <w:rPr>
                <w:sz w:val="15"/>
                <w:szCs w:val="15"/>
              </w:rPr>
            </w:pPr>
            <w:r w:rsidRPr="00E839B9">
              <w:rPr>
                <w:sz w:val="15"/>
                <w:szCs w:val="15"/>
              </w:rPr>
              <w:t>Pro lokalitu je stanoven min. pozemek 1000 m</w:t>
            </w:r>
            <w:r w:rsidRPr="00E839B9">
              <w:rPr>
                <w:sz w:val="15"/>
                <w:szCs w:val="15"/>
                <w:vertAlign w:val="superscript"/>
              </w:rPr>
              <w:t>2</w:t>
            </w:r>
            <w:r w:rsidRPr="00E839B9">
              <w:rPr>
                <w:sz w:val="15"/>
                <w:szCs w:val="15"/>
              </w:rPr>
              <w:t xml:space="preserve"> při nové parcelaci v zastavitelných plochách a plochách přestavby s ohledem na zachování jejího charakteru a potřebu plochy pro zasakování dešťové vody na pozemku.</w:t>
            </w:r>
          </w:p>
          <w:p w14:paraId="56323414" w14:textId="215566C9" w:rsidR="005F3739" w:rsidRPr="00E839B9" w:rsidRDefault="005F3739" w:rsidP="003A3351">
            <w:pPr>
              <w:ind w:left="0"/>
              <w:rPr>
                <w:sz w:val="15"/>
                <w:szCs w:val="15"/>
              </w:rPr>
            </w:pPr>
            <w:r w:rsidRPr="00E839B9">
              <w:rPr>
                <w:sz w:val="15"/>
                <w:szCs w:val="15"/>
              </w:rPr>
              <w:t>Pro celou lokalitu je stanoven HS=0,30 pro hlavní stavbu tak, aby intenzita využití území respektovala charakter území. Zastavitelnost je stanovena jako maximální pro udržení charakteru sídliště. KN=0,5</w:t>
            </w:r>
            <w:r w:rsidR="00C96E10">
              <w:rPr>
                <w:sz w:val="15"/>
                <w:szCs w:val="15"/>
              </w:rPr>
              <w:t>0</w:t>
            </w:r>
            <w:r w:rsidRPr="00E839B9">
              <w:rPr>
                <w:sz w:val="15"/>
                <w:szCs w:val="15"/>
              </w:rPr>
              <w:t xml:space="preserve"> zajišťuje plochu zahrady určenou pro vsakování a retenci v území.</w:t>
            </w:r>
          </w:p>
          <w:p w14:paraId="5F04D561" w14:textId="4D4345DB" w:rsidR="005F3739" w:rsidRPr="00E839B9" w:rsidRDefault="005F3739" w:rsidP="003A3351">
            <w:pPr>
              <w:ind w:left="0"/>
              <w:rPr>
                <w:sz w:val="15"/>
                <w:szCs w:val="15"/>
              </w:rPr>
            </w:pPr>
            <w:r w:rsidRPr="00E839B9">
              <w:rPr>
                <w:b/>
                <w:sz w:val="15"/>
                <w:szCs w:val="15"/>
                <w:u w:val="single"/>
              </w:rPr>
              <w:t>Pozemky v návaznosti na plochu PU.</w:t>
            </w:r>
            <w:r w:rsidR="00AF7F84">
              <w:rPr>
                <w:b/>
                <w:sz w:val="15"/>
                <w:szCs w:val="15"/>
                <w:u w:val="single"/>
              </w:rPr>
              <w:t>v</w:t>
            </w:r>
            <w:r w:rsidRPr="00E839B9">
              <w:rPr>
                <w:sz w:val="15"/>
                <w:szCs w:val="15"/>
              </w:rPr>
              <w:t xml:space="preserve"> nemají stanoveny podmínky zastavitelnosti tak, aby bylo podpořeno využití lokálních center pro rozvoj občanského vybavení místního významu.</w:t>
            </w:r>
          </w:p>
          <w:p w14:paraId="577ADC94" w14:textId="77777777" w:rsidR="005F3739" w:rsidRPr="00E839B9" w:rsidRDefault="005F3739" w:rsidP="003A3351">
            <w:pPr>
              <w:ind w:left="0"/>
              <w:rPr>
                <w:sz w:val="15"/>
                <w:szCs w:val="15"/>
              </w:rPr>
            </w:pPr>
            <w:r w:rsidRPr="00E839B9">
              <w:rPr>
                <w:b/>
                <w:bCs/>
                <w:sz w:val="15"/>
                <w:szCs w:val="15"/>
                <w:u w:val="single"/>
              </w:rPr>
              <w:t>V ploše smíšené výrobní všeobecné (HU)</w:t>
            </w:r>
            <w:r w:rsidRPr="00E839B9">
              <w:rPr>
                <w:sz w:val="15"/>
                <w:szCs w:val="15"/>
              </w:rPr>
              <w:t xml:space="preserve"> </w:t>
            </w:r>
            <w:r w:rsidRPr="00E839B9">
              <w:rPr>
                <w:bCs/>
                <w:sz w:val="15"/>
                <w:szCs w:val="15"/>
              </w:rPr>
              <w:t xml:space="preserve">nejsou s ohledem na charakter využití plochy stanoveny podmínky zastavitelnosti pozemku, z důvodu zajištění dostatečné plochy </w:t>
            </w:r>
            <w:r w:rsidRPr="00E839B9">
              <w:rPr>
                <w:sz w:val="15"/>
                <w:szCs w:val="15"/>
              </w:rPr>
              <w:t>pro vsakování a retenci v území je stanoven KN=0,40.</w:t>
            </w:r>
          </w:p>
          <w:p w14:paraId="1F6CFAA6" w14:textId="77777777" w:rsidR="005F3739" w:rsidRPr="00E839B9" w:rsidRDefault="005F3739" w:rsidP="003A3351">
            <w:pPr>
              <w:ind w:left="0"/>
              <w:rPr>
                <w:iCs/>
                <w:sz w:val="15"/>
                <w:szCs w:val="15"/>
              </w:rPr>
            </w:pPr>
            <w:r w:rsidRPr="00E839B9">
              <w:rPr>
                <w:b/>
                <w:iCs/>
                <w:sz w:val="15"/>
                <w:szCs w:val="15"/>
                <w:u w:val="single"/>
              </w:rPr>
              <w:t>V ploše rekreace (RI a RZ)</w:t>
            </w:r>
            <w:r w:rsidRPr="00E839B9">
              <w:rPr>
                <w:bCs/>
                <w:iCs/>
                <w:sz w:val="15"/>
                <w:szCs w:val="15"/>
              </w:rPr>
              <w:t xml:space="preserve"> </w:t>
            </w:r>
            <w:r w:rsidRPr="00E839B9">
              <w:rPr>
                <w:iCs/>
                <w:sz w:val="15"/>
                <w:szCs w:val="15"/>
              </w:rPr>
              <w:t>je stanovena zastavitelnost pozemku rekreační zástavby max. 40 m2 z důvodu přiměřené možnosti využití stávajících pozemků individuální rekreace při minimalizaci negativního dopadu na ochranu přírody a krajiny.</w:t>
            </w:r>
          </w:p>
          <w:p w14:paraId="32D886D3" w14:textId="77777777" w:rsidR="005F3739" w:rsidRPr="00E839B9" w:rsidRDefault="005F3739" w:rsidP="003A3351">
            <w:pPr>
              <w:ind w:left="0"/>
              <w:rPr>
                <w:sz w:val="15"/>
                <w:szCs w:val="15"/>
              </w:rPr>
            </w:pPr>
            <w:r w:rsidRPr="00E839B9">
              <w:rPr>
                <w:sz w:val="15"/>
                <w:szCs w:val="15"/>
              </w:rPr>
              <w:t xml:space="preserve">Je doporučeno při parcelaci a umísťování staveb respektovat terénní podmínky a možnosti napojení dalších pozemků. </w:t>
            </w:r>
          </w:p>
        </w:tc>
      </w:tr>
      <w:tr w:rsidR="005F3739" w:rsidRPr="00182D52" w14:paraId="04BE5532" w14:textId="77777777" w:rsidTr="00BD1D2E">
        <w:trPr>
          <w:trHeight w:val="2967"/>
        </w:trPr>
        <w:tc>
          <w:tcPr>
            <w:tcW w:w="688" w:type="dxa"/>
            <w:vMerge/>
          </w:tcPr>
          <w:p w14:paraId="546588B0" w14:textId="77777777" w:rsidR="005F3739" w:rsidRDefault="005F3739" w:rsidP="003A3351">
            <w:pPr>
              <w:ind w:left="0"/>
              <w:rPr>
                <w:b/>
              </w:rPr>
            </w:pPr>
          </w:p>
        </w:tc>
        <w:tc>
          <w:tcPr>
            <w:tcW w:w="1254" w:type="dxa"/>
          </w:tcPr>
          <w:p w14:paraId="5639A1ED" w14:textId="77777777" w:rsidR="005F3739" w:rsidRPr="00694BE1" w:rsidRDefault="005F3739" w:rsidP="003A3351">
            <w:pPr>
              <w:ind w:left="0"/>
              <w:rPr>
                <w:b/>
              </w:rPr>
            </w:pPr>
            <w:r w:rsidRPr="00694BE1">
              <w:rPr>
                <w:b/>
              </w:rPr>
              <w:t>Uspořádání prostranství</w:t>
            </w:r>
          </w:p>
        </w:tc>
        <w:tc>
          <w:tcPr>
            <w:tcW w:w="6560" w:type="dxa"/>
          </w:tcPr>
          <w:p w14:paraId="7C05E0B4" w14:textId="77777777" w:rsidR="005F3739" w:rsidRPr="00694BE1" w:rsidRDefault="005F3739" w:rsidP="003A3351">
            <w:pPr>
              <w:ind w:left="0"/>
              <w:rPr>
                <w:sz w:val="15"/>
                <w:szCs w:val="15"/>
              </w:rPr>
            </w:pPr>
            <w:r w:rsidRPr="00694BE1">
              <w:rPr>
                <w:sz w:val="15"/>
                <w:szCs w:val="15"/>
              </w:rPr>
              <w:t xml:space="preserve">Kompozičním základem struktury veřejných prostranství je sídlištní osa ulice Na Orátě, křižovatka z ulic Dukelských hrdinů a Luční a předprostor obchodního domu na ulici Dukelských hrdinů, vymezené jako veřejné prostranství hlavní. Jsou doplněny uliční sítí veřejných prostranství ostatních. </w:t>
            </w:r>
          </w:p>
          <w:p w14:paraId="088A50E8" w14:textId="77777777" w:rsidR="005F3739" w:rsidRPr="00694BE1" w:rsidRDefault="005F3739" w:rsidP="003A3351">
            <w:pPr>
              <w:ind w:left="0"/>
              <w:rPr>
                <w:sz w:val="15"/>
                <w:szCs w:val="15"/>
              </w:rPr>
            </w:pPr>
            <w:r w:rsidRPr="00694BE1">
              <w:rPr>
                <w:sz w:val="15"/>
                <w:szCs w:val="15"/>
              </w:rPr>
              <w:t xml:space="preserve">Prostor sídliště je vyplněn pravidelně uspořádanou zástavbou s plochami veřejně prostupné sídlištní zeleně. </w:t>
            </w:r>
          </w:p>
          <w:p w14:paraId="3D4E7CF8" w14:textId="77777777" w:rsidR="005F3739" w:rsidRPr="00694BE1" w:rsidRDefault="005F3739" w:rsidP="003A3351">
            <w:pPr>
              <w:ind w:left="0"/>
              <w:rPr>
                <w:bCs/>
                <w:iCs/>
                <w:sz w:val="15"/>
                <w:szCs w:val="15"/>
              </w:rPr>
            </w:pPr>
            <w:r w:rsidRPr="00694BE1">
              <w:rPr>
                <w:bCs/>
                <w:iCs/>
                <w:sz w:val="15"/>
                <w:szCs w:val="15"/>
              </w:rPr>
              <w:t xml:space="preserve">Podmínka </w:t>
            </w:r>
            <w:r w:rsidRPr="00694BE1">
              <w:rPr>
                <w:sz w:val="15"/>
                <w:szCs w:val="15"/>
              </w:rPr>
              <w:t>pěší prostupnosti lokality, vést pěší trasy tak, aby prezentovaly morfologické a přírodní prvky a vyhlídkové body v krajině, je stanovena z důvodu zajištění citlivého řešení a lokalizace rekreační infrastruktury v krajině (cestní sítě, pobytových míst v krajině, drobné architektury).</w:t>
            </w:r>
          </w:p>
          <w:p w14:paraId="071D01C6" w14:textId="1238F6D3" w:rsidR="005F3739" w:rsidRPr="00694BE1" w:rsidRDefault="005F3739" w:rsidP="003A3351">
            <w:pPr>
              <w:ind w:left="0"/>
              <w:rPr>
                <w:sz w:val="15"/>
                <w:szCs w:val="15"/>
              </w:rPr>
            </w:pPr>
            <w:r w:rsidRPr="00694BE1">
              <w:rPr>
                <w:b/>
                <w:bCs/>
                <w:iCs/>
                <w:sz w:val="15"/>
                <w:szCs w:val="15"/>
                <w:u w:val="single"/>
              </w:rPr>
              <w:t xml:space="preserve">V ploše </w:t>
            </w:r>
            <w:r w:rsidRPr="00694BE1">
              <w:rPr>
                <w:b/>
                <w:sz w:val="15"/>
                <w:szCs w:val="15"/>
                <w:u w:val="single"/>
              </w:rPr>
              <w:t>PU.</w:t>
            </w:r>
            <w:r w:rsidR="00AF7F84">
              <w:rPr>
                <w:b/>
                <w:sz w:val="15"/>
                <w:szCs w:val="15"/>
                <w:u w:val="single"/>
              </w:rPr>
              <w:t>v</w:t>
            </w:r>
            <w:r w:rsidRPr="00694BE1">
              <w:rPr>
                <w:bCs/>
                <w:iCs/>
                <w:sz w:val="15"/>
                <w:szCs w:val="15"/>
              </w:rPr>
              <w:t xml:space="preserve"> je stanovena podmínka </w:t>
            </w:r>
            <w:r w:rsidRPr="00694BE1">
              <w:rPr>
                <w:sz w:val="15"/>
                <w:szCs w:val="15"/>
              </w:rPr>
              <w:t>pojízdné plochy v minimálních nutných dimenzích z důvodu podpory kvality obytného prostředí. Podmínka sdružovat plochy parkování je stanovena z důvodu, aby byly umístěny po okrajích prostranství a neomezovaly využití plochy prostranství. Prvky drobné architektury by měly být komponovány jako jednotlivá těžiště veřejných prostranství a vzájemně harmonicky dotvářet funkci VP.</w:t>
            </w:r>
          </w:p>
          <w:p w14:paraId="7ED9CDEF" w14:textId="77777777" w:rsidR="005F3739" w:rsidRPr="00694BE1" w:rsidRDefault="005F3739" w:rsidP="003A3351">
            <w:pPr>
              <w:ind w:left="0"/>
              <w:rPr>
                <w:bCs/>
                <w:iCs/>
                <w:sz w:val="15"/>
                <w:szCs w:val="15"/>
              </w:rPr>
            </w:pPr>
            <w:r w:rsidRPr="00694BE1">
              <w:rPr>
                <w:sz w:val="15"/>
                <w:szCs w:val="15"/>
              </w:rPr>
              <w:t xml:space="preserve">Je doporučeno zachovávat nezpevněný lem prostranství s ohledem </w:t>
            </w:r>
            <w:r w:rsidRPr="00694BE1">
              <w:rPr>
                <w:bCs/>
                <w:iCs/>
                <w:sz w:val="15"/>
                <w:szCs w:val="15"/>
              </w:rPr>
              <w:t>na ochranu a rozvoj hodnotného charakteru měkkých venkovských prostranství</w:t>
            </w:r>
            <w:r>
              <w:rPr>
                <w:bCs/>
                <w:iCs/>
                <w:sz w:val="15"/>
                <w:szCs w:val="15"/>
              </w:rPr>
              <w:t>.</w:t>
            </w:r>
          </w:p>
        </w:tc>
      </w:tr>
      <w:tr w:rsidR="005F3739" w:rsidRPr="00842869" w14:paraId="6B44C9F1" w14:textId="77777777" w:rsidTr="00BD1D2E">
        <w:trPr>
          <w:trHeight w:val="1139"/>
        </w:trPr>
        <w:tc>
          <w:tcPr>
            <w:tcW w:w="688" w:type="dxa"/>
            <w:vMerge/>
          </w:tcPr>
          <w:p w14:paraId="14D70CF3" w14:textId="77777777" w:rsidR="005F3739" w:rsidRDefault="005F3739" w:rsidP="003A3351">
            <w:pPr>
              <w:ind w:left="0"/>
              <w:rPr>
                <w:b/>
              </w:rPr>
            </w:pPr>
          </w:p>
        </w:tc>
        <w:tc>
          <w:tcPr>
            <w:tcW w:w="1254" w:type="dxa"/>
          </w:tcPr>
          <w:p w14:paraId="19187915" w14:textId="77777777" w:rsidR="005F3739" w:rsidRPr="00694BE1" w:rsidRDefault="005F3739" w:rsidP="003A3351">
            <w:pPr>
              <w:ind w:left="0"/>
              <w:rPr>
                <w:b/>
              </w:rPr>
            </w:pPr>
            <w:r w:rsidRPr="00694BE1">
              <w:rPr>
                <w:b/>
              </w:rPr>
              <w:t>Uspořádání zástavby</w:t>
            </w:r>
          </w:p>
        </w:tc>
        <w:tc>
          <w:tcPr>
            <w:tcW w:w="6560" w:type="dxa"/>
          </w:tcPr>
          <w:p w14:paraId="5AE9D3F3" w14:textId="77777777" w:rsidR="005F3739" w:rsidRPr="00694BE1" w:rsidRDefault="005F3739" w:rsidP="003A3351">
            <w:pPr>
              <w:ind w:left="0"/>
              <w:rPr>
                <w:sz w:val="15"/>
                <w:szCs w:val="15"/>
              </w:rPr>
            </w:pPr>
            <w:r w:rsidRPr="00694BE1">
              <w:rPr>
                <w:sz w:val="15"/>
                <w:szCs w:val="15"/>
              </w:rPr>
              <w:t>Zástavbu tvoří převážně solitérní domy s okapovou orientací.</w:t>
            </w:r>
          </w:p>
          <w:p w14:paraId="5774E964" w14:textId="77777777" w:rsidR="005F3739" w:rsidRPr="00694BE1" w:rsidRDefault="005F3739" w:rsidP="003A3351">
            <w:pPr>
              <w:ind w:left="0"/>
              <w:rPr>
                <w:sz w:val="15"/>
                <w:szCs w:val="15"/>
              </w:rPr>
            </w:pPr>
            <w:r w:rsidRPr="00694BE1">
              <w:rPr>
                <w:sz w:val="15"/>
                <w:szCs w:val="15"/>
              </w:rPr>
              <w:t xml:space="preserve">Podmínka orientace kPV, sVP je stanovena z důvodu ochrany charakteru zástavby a umožňuje různorodost zástavby při dodržení ortogonálního vztahu k veřejnému prostranství. </w:t>
            </w:r>
          </w:p>
          <w:p w14:paraId="3B2A928C" w14:textId="77777777" w:rsidR="005F3739" w:rsidRPr="00694BE1" w:rsidRDefault="005F3739" w:rsidP="003A3351">
            <w:pPr>
              <w:ind w:left="0"/>
              <w:rPr>
                <w:sz w:val="15"/>
                <w:szCs w:val="15"/>
              </w:rPr>
            </w:pPr>
            <w:r w:rsidRPr="00694BE1">
              <w:rPr>
                <w:sz w:val="15"/>
                <w:szCs w:val="15"/>
              </w:rPr>
              <w:t>Podmínka nepřípustnosti řadové zástavby mimo stávající je stanovena z důvodu ochrany jedinečnosti struktury sídliště, kterou je vhodné doplňovat o samostatné objekty.</w:t>
            </w:r>
          </w:p>
        </w:tc>
      </w:tr>
      <w:tr w:rsidR="005F3739" w:rsidRPr="00842869" w14:paraId="4AAA244F" w14:textId="77777777" w:rsidTr="00BD1D2E">
        <w:tc>
          <w:tcPr>
            <w:tcW w:w="688" w:type="dxa"/>
            <w:vMerge/>
          </w:tcPr>
          <w:p w14:paraId="49040E86" w14:textId="77777777" w:rsidR="005F3739" w:rsidRDefault="005F3739" w:rsidP="003A3351">
            <w:pPr>
              <w:ind w:left="0"/>
              <w:rPr>
                <w:b/>
                <w:sz w:val="28"/>
                <w:szCs w:val="28"/>
              </w:rPr>
            </w:pPr>
          </w:p>
        </w:tc>
        <w:tc>
          <w:tcPr>
            <w:tcW w:w="1254" w:type="dxa"/>
          </w:tcPr>
          <w:p w14:paraId="3BADFAC7" w14:textId="77777777" w:rsidR="005F3739" w:rsidRPr="00C040B7" w:rsidRDefault="005F3739" w:rsidP="003A3351">
            <w:pPr>
              <w:ind w:left="0"/>
              <w:rPr>
                <w:b/>
              </w:rPr>
            </w:pPr>
            <w:r w:rsidRPr="00C040B7">
              <w:rPr>
                <w:b/>
              </w:rPr>
              <w:t>Uspořádání přírodních prvků</w:t>
            </w:r>
          </w:p>
        </w:tc>
        <w:tc>
          <w:tcPr>
            <w:tcW w:w="6560" w:type="dxa"/>
          </w:tcPr>
          <w:p w14:paraId="1C7A84CE" w14:textId="77777777" w:rsidR="005F3739" w:rsidRPr="00C040B7" w:rsidRDefault="005F3739" w:rsidP="003A3351">
            <w:pPr>
              <w:ind w:left="0"/>
              <w:rPr>
                <w:sz w:val="15"/>
                <w:szCs w:val="15"/>
              </w:rPr>
            </w:pPr>
            <w:r w:rsidRPr="00C040B7">
              <w:rPr>
                <w:sz w:val="15"/>
                <w:szCs w:val="15"/>
              </w:rPr>
              <w:t>Charakter lokality udává údolí Bystřice s navazujícím Nepřívazským potokem tvořené převážně lesy. V údolí se nachází orná půda I. třídy ochrany ZPF.</w:t>
            </w:r>
          </w:p>
          <w:p w14:paraId="23458484" w14:textId="77777777" w:rsidR="005F3739" w:rsidRPr="00C040B7" w:rsidRDefault="005F3739" w:rsidP="003A3351">
            <w:pPr>
              <w:ind w:left="0"/>
              <w:rPr>
                <w:sz w:val="15"/>
                <w:szCs w:val="15"/>
              </w:rPr>
            </w:pPr>
            <w:r w:rsidRPr="00C040B7">
              <w:rPr>
                <w:sz w:val="15"/>
                <w:szCs w:val="15"/>
              </w:rPr>
              <w:t>Podmínka stromořadí podél ploch dopravních a ulice Dukelských hrdinů, svahy a návrší pokryty lesními porosty a vodoteče ve svazích lemované porosty je stanovena z důvodu ochrany a rozvoje charakteru krajinného rázu lokality.</w:t>
            </w:r>
          </w:p>
          <w:p w14:paraId="3CF97FD7" w14:textId="77777777" w:rsidR="005F3739" w:rsidRPr="00C040B7" w:rsidRDefault="005F3739" w:rsidP="003A3351">
            <w:pPr>
              <w:ind w:left="0"/>
              <w:rPr>
                <w:sz w:val="15"/>
                <w:szCs w:val="15"/>
              </w:rPr>
            </w:pPr>
            <w:r w:rsidRPr="00C040B7">
              <w:rPr>
                <w:sz w:val="15"/>
                <w:szCs w:val="15"/>
              </w:rPr>
              <w:t>Je doporučeno využívání místních dřevin.</w:t>
            </w:r>
          </w:p>
        </w:tc>
      </w:tr>
      <w:tr w:rsidR="005F3739" w:rsidRPr="009D4DBB" w14:paraId="185F0239" w14:textId="77777777" w:rsidTr="00BD1D2E">
        <w:trPr>
          <w:trHeight w:val="3563"/>
        </w:trPr>
        <w:tc>
          <w:tcPr>
            <w:tcW w:w="688" w:type="dxa"/>
            <w:vMerge/>
          </w:tcPr>
          <w:p w14:paraId="7C3FD64B" w14:textId="77777777" w:rsidR="005F3739" w:rsidRDefault="005F3739" w:rsidP="003A3351">
            <w:pPr>
              <w:ind w:left="0"/>
              <w:rPr>
                <w:b/>
                <w:sz w:val="28"/>
                <w:szCs w:val="28"/>
              </w:rPr>
            </w:pPr>
          </w:p>
        </w:tc>
        <w:tc>
          <w:tcPr>
            <w:tcW w:w="1254" w:type="dxa"/>
          </w:tcPr>
          <w:p w14:paraId="380CF528" w14:textId="77777777" w:rsidR="005F3739" w:rsidRPr="00C040B7" w:rsidRDefault="005F3739" w:rsidP="003A3351">
            <w:pPr>
              <w:ind w:left="0"/>
              <w:rPr>
                <w:b/>
              </w:rPr>
            </w:pPr>
            <w:r w:rsidRPr="00C040B7">
              <w:rPr>
                <w:b/>
              </w:rPr>
              <w:t>Specifické uspořádání</w:t>
            </w:r>
          </w:p>
        </w:tc>
        <w:tc>
          <w:tcPr>
            <w:tcW w:w="6560" w:type="dxa"/>
          </w:tcPr>
          <w:p w14:paraId="6425C763" w14:textId="77777777" w:rsidR="005F3739" w:rsidRPr="00C040B7" w:rsidRDefault="005F3739" w:rsidP="003A3351">
            <w:pPr>
              <w:ind w:left="0"/>
              <w:rPr>
                <w:sz w:val="15"/>
                <w:szCs w:val="15"/>
                <w:highlight w:val="yellow"/>
              </w:rPr>
            </w:pPr>
            <w:r w:rsidRPr="00C040B7">
              <w:rPr>
                <w:sz w:val="15"/>
                <w:szCs w:val="15"/>
              </w:rPr>
              <w:t>-</w:t>
            </w:r>
          </w:p>
        </w:tc>
      </w:tr>
    </w:tbl>
    <w:p w14:paraId="5405F339" w14:textId="77777777" w:rsidR="00BD1D2E" w:rsidRDefault="005F3739">
      <w:pPr>
        <w:spacing w:before="0" w:after="0"/>
        <w:ind w:left="0"/>
        <w:jc w:val="left"/>
        <w:rPr>
          <w:b/>
          <w:sz w:val="15"/>
          <w:szCs w:val="15"/>
        </w:rPr>
      </w:pPr>
      <w:r>
        <w:rPr>
          <w:b/>
          <w:sz w:val="15"/>
          <w:szCs w:val="15"/>
        </w:rPr>
        <w:t xml:space="preserve"> </w:t>
      </w:r>
      <w:r>
        <w:rPr>
          <w:b/>
          <w:sz w:val="15"/>
          <w:szCs w:val="15"/>
        </w:rPr>
        <w:br w:type="page"/>
      </w:r>
    </w:p>
    <w:tbl>
      <w:tblPr>
        <w:tblStyle w:val="Motivtabulky"/>
        <w:tblW w:w="8647" w:type="dxa"/>
        <w:tblBorders>
          <w:top w:val="dashSmallGap" w:sz="4" w:space="0" w:color="auto"/>
          <w:bottom w:val="dashSmallGap" w:sz="4" w:space="0" w:color="auto"/>
          <w:insideH w:val="dashSmallGap" w:sz="4" w:space="0" w:color="auto"/>
        </w:tblBorders>
        <w:tblLook w:val="04A0" w:firstRow="1" w:lastRow="0" w:firstColumn="1" w:lastColumn="0" w:noHBand="0" w:noVBand="1"/>
      </w:tblPr>
      <w:tblGrid>
        <w:gridCol w:w="688"/>
        <w:gridCol w:w="1254"/>
        <w:gridCol w:w="6705"/>
      </w:tblGrid>
      <w:tr w:rsidR="008E092A" w14:paraId="70D51EC8" w14:textId="77777777" w:rsidTr="008E092A">
        <w:tc>
          <w:tcPr>
            <w:tcW w:w="1942" w:type="dxa"/>
            <w:gridSpan w:val="2"/>
          </w:tcPr>
          <w:p w14:paraId="210E9579" w14:textId="77777777" w:rsidR="008E092A" w:rsidRPr="00B031B3" w:rsidRDefault="008E092A" w:rsidP="003A3351">
            <w:pPr>
              <w:ind w:left="0"/>
              <w:rPr>
                <w:b/>
                <w:sz w:val="24"/>
              </w:rPr>
            </w:pPr>
            <w:r>
              <w:rPr>
                <w:b/>
                <w:sz w:val="24"/>
              </w:rPr>
              <w:lastRenderedPageBreak/>
              <w:t>L.10</w:t>
            </w:r>
          </w:p>
        </w:tc>
        <w:tc>
          <w:tcPr>
            <w:tcW w:w="6705" w:type="dxa"/>
            <w:vAlign w:val="bottom"/>
          </w:tcPr>
          <w:p w14:paraId="4789141B" w14:textId="77777777" w:rsidR="008E092A" w:rsidRDefault="008E092A" w:rsidP="003A3351">
            <w:pPr>
              <w:ind w:left="0"/>
              <w:rPr>
                <w:b/>
                <w:sz w:val="28"/>
                <w:szCs w:val="28"/>
              </w:rPr>
            </w:pPr>
            <w:r>
              <w:rPr>
                <w:b/>
                <w:sz w:val="24"/>
              </w:rPr>
              <w:t>Hrubá Voda</w:t>
            </w:r>
          </w:p>
        </w:tc>
      </w:tr>
      <w:tr w:rsidR="008E092A" w14:paraId="27E9D424" w14:textId="77777777" w:rsidTr="008E092A">
        <w:tc>
          <w:tcPr>
            <w:tcW w:w="8647" w:type="dxa"/>
            <w:gridSpan w:val="3"/>
          </w:tcPr>
          <w:p w14:paraId="3B0AC9BB" w14:textId="77777777" w:rsidR="008E092A" w:rsidRDefault="008E092A" w:rsidP="003A3351">
            <w:pPr>
              <w:ind w:left="0"/>
              <w:rPr>
                <w:szCs w:val="18"/>
              </w:rPr>
            </w:pPr>
            <w:r>
              <w:rPr>
                <w:szCs w:val="18"/>
              </w:rPr>
              <w:t>Rekreační a obytné sídlo při řece Bystřici</w:t>
            </w:r>
          </w:p>
        </w:tc>
      </w:tr>
      <w:tr w:rsidR="008E092A" w:rsidRPr="00775963" w14:paraId="537DD674" w14:textId="77777777" w:rsidTr="008E092A">
        <w:tc>
          <w:tcPr>
            <w:tcW w:w="1942" w:type="dxa"/>
            <w:gridSpan w:val="2"/>
          </w:tcPr>
          <w:p w14:paraId="507C2E50" w14:textId="77777777" w:rsidR="008E092A" w:rsidRDefault="008E092A" w:rsidP="003A3351">
            <w:pPr>
              <w:ind w:left="0"/>
              <w:rPr>
                <w:b/>
                <w:sz w:val="28"/>
                <w:szCs w:val="28"/>
              </w:rPr>
            </w:pPr>
            <w:r w:rsidRPr="008246D4">
              <w:rPr>
                <w:b/>
              </w:rPr>
              <w:t>Vymezení</w:t>
            </w:r>
          </w:p>
        </w:tc>
        <w:tc>
          <w:tcPr>
            <w:tcW w:w="6705" w:type="dxa"/>
          </w:tcPr>
          <w:p w14:paraId="4709869C" w14:textId="77777777" w:rsidR="008E092A" w:rsidRPr="00346D22" w:rsidRDefault="008E092A" w:rsidP="003A3351">
            <w:pPr>
              <w:ind w:left="0"/>
              <w:rPr>
                <w:sz w:val="15"/>
                <w:szCs w:val="15"/>
              </w:rPr>
            </w:pPr>
            <w:r w:rsidRPr="00346D22">
              <w:rPr>
                <w:sz w:val="15"/>
                <w:szCs w:val="15"/>
              </w:rPr>
              <w:t>Lokalita je vymezena krajinným prostorem údolí Bystřice. Její severní hranici tvoří řeka oddělující obytnou lokalitu Hrubé Vody od primárně rekreační lokalitu Smilova. Z jihu navazuje na lokalitu Dukly. Východní hranici tvoří správní území obce a vojenský újezd Libavá.</w:t>
            </w:r>
          </w:p>
        </w:tc>
      </w:tr>
      <w:tr w:rsidR="008E092A" w:rsidRPr="00842869" w14:paraId="43716DD5" w14:textId="77777777" w:rsidTr="008E092A">
        <w:tc>
          <w:tcPr>
            <w:tcW w:w="688" w:type="dxa"/>
            <w:vMerge w:val="restart"/>
            <w:textDirection w:val="btLr"/>
          </w:tcPr>
          <w:p w14:paraId="1D98FA6F" w14:textId="77777777" w:rsidR="008E092A" w:rsidRPr="00B960DF" w:rsidRDefault="008E092A" w:rsidP="003A3351">
            <w:pPr>
              <w:ind w:left="113" w:right="113"/>
              <w:jc w:val="right"/>
              <w:rPr>
                <w:b/>
              </w:rPr>
            </w:pPr>
            <w:r>
              <w:rPr>
                <w:b/>
              </w:rPr>
              <w:t>Prvky</w:t>
            </w:r>
          </w:p>
        </w:tc>
        <w:tc>
          <w:tcPr>
            <w:tcW w:w="1254" w:type="dxa"/>
          </w:tcPr>
          <w:p w14:paraId="10CC2315" w14:textId="77777777" w:rsidR="008E092A" w:rsidRPr="00B960DF" w:rsidRDefault="008E092A" w:rsidP="003A3351">
            <w:pPr>
              <w:ind w:left="0"/>
              <w:rPr>
                <w:b/>
              </w:rPr>
            </w:pPr>
            <w:r w:rsidRPr="008246D4">
              <w:rPr>
                <w:b/>
              </w:rPr>
              <w:t>Plošné řešení zástavby</w:t>
            </w:r>
          </w:p>
        </w:tc>
        <w:tc>
          <w:tcPr>
            <w:tcW w:w="6705" w:type="dxa"/>
          </w:tcPr>
          <w:p w14:paraId="026A9D4C" w14:textId="77777777" w:rsidR="008E092A" w:rsidRPr="00346D22" w:rsidRDefault="008E092A" w:rsidP="003A3351">
            <w:pPr>
              <w:ind w:left="0"/>
              <w:rPr>
                <w:sz w:val="15"/>
                <w:szCs w:val="15"/>
              </w:rPr>
            </w:pPr>
            <w:r w:rsidRPr="00346D22">
              <w:rPr>
                <w:sz w:val="15"/>
                <w:szCs w:val="15"/>
              </w:rPr>
              <w:t>Charakter zástavby udávají rodinné domy a rekreační objekty s poměrem stran od 1:1 až po 1:2,6.</w:t>
            </w:r>
          </w:p>
          <w:p w14:paraId="4F2116B8" w14:textId="77777777" w:rsidR="008E092A" w:rsidRPr="00346D22" w:rsidRDefault="008E092A" w:rsidP="003A3351">
            <w:pPr>
              <w:ind w:left="0"/>
              <w:rPr>
                <w:sz w:val="15"/>
                <w:szCs w:val="15"/>
              </w:rPr>
            </w:pPr>
            <w:r w:rsidRPr="00346D22">
              <w:rPr>
                <w:sz w:val="15"/>
                <w:szCs w:val="15"/>
              </w:rPr>
              <w:t>Je doporučeno při plošném řešení zástavby respektovat terénní podmínky.</w:t>
            </w:r>
          </w:p>
        </w:tc>
      </w:tr>
      <w:tr w:rsidR="008E092A" w:rsidRPr="004B4D78" w14:paraId="54220694" w14:textId="77777777" w:rsidTr="008E092A">
        <w:tc>
          <w:tcPr>
            <w:tcW w:w="688" w:type="dxa"/>
            <w:vMerge/>
          </w:tcPr>
          <w:p w14:paraId="718F5ED1" w14:textId="77777777" w:rsidR="008E092A" w:rsidRDefault="008E092A" w:rsidP="003A3351">
            <w:pPr>
              <w:ind w:left="0"/>
              <w:rPr>
                <w:b/>
              </w:rPr>
            </w:pPr>
          </w:p>
        </w:tc>
        <w:tc>
          <w:tcPr>
            <w:tcW w:w="1254" w:type="dxa"/>
          </w:tcPr>
          <w:p w14:paraId="24355AFC" w14:textId="77777777" w:rsidR="008E092A" w:rsidRPr="00B960DF" w:rsidRDefault="008E092A" w:rsidP="003A3351">
            <w:pPr>
              <w:ind w:left="0"/>
              <w:rPr>
                <w:b/>
              </w:rPr>
            </w:pPr>
            <w:r w:rsidRPr="00B960DF">
              <w:rPr>
                <w:b/>
              </w:rPr>
              <w:t>Výškové řešení zástavby</w:t>
            </w:r>
          </w:p>
        </w:tc>
        <w:tc>
          <w:tcPr>
            <w:tcW w:w="6705" w:type="dxa"/>
          </w:tcPr>
          <w:p w14:paraId="2DF02E1F" w14:textId="0CA52995" w:rsidR="008E092A" w:rsidRPr="00346D22" w:rsidRDefault="008E092A" w:rsidP="003A3351">
            <w:pPr>
              <w:ind w:left="0"/>
              <w:rPr>
                <w:sz w:val="15"/>
                <w:szCs w:val="15"/>
              </w:rPr>
            </w:pPr>
            <w:r w:rsidRPr="00346D22">
              <w:rPr>
                <w:sz w:val="15"/>
                <w:szCs w:val="15"/>
              </w:rPr>
              <w:t>Charakter zástavby udávají převážně objekty o 2 NP, resp. s přízemím a podkrovím.</w:t>
            </w:r>
            <w:r w:rsidR="00CC7FBA">
              <w:rPr>
                <w:sz w:val="15"/>
                <w:szCs w:val="15"/>
              </w:rPr>
              <w:t xml:space="preserve"> Výjimku tvoří zástavba v rekreačním areálu Hrubá Voda, kde se nachází i stavby s výškou 3–4 NP.</w:t>
            </w:r>
          </w:p>
          <w:p w14:paraId="7226140E" w14:textId="77777777" w:rsidR="008E092A" w:rsidRPr="00346D22" w:rsidRDefault="008E092A" w:rsidP="003A3351">
            <w:pPr>
              <w:ind w:left="0"/>
              <w:rPr>
                <w:sz w:val="15"/>
                <w:szCs w:val="15"/>
              </w:rPr>
            </w:pPr>
            <w:r w:rsidRPr="00346D22">
              <w:rPr>
                <w:sz w:val="15"/>
                <w:szCs w:val="15"/>
              </w:rPr>
              <w:t>Charakter střešní krajiny tvoří převážně střechy šikmé – sedlové, ojediněle střechy valbové, polovalbové a pultové.</w:t>
            </w:r>
          </w:p>
          <w:p w14:paraId="460784D6" w14:textId="77777777" w:rsidR="008E092A" w:rsidRDefault="008E092A" w:rsidP="003A3351">
            <w:pPr>
              <w:ind w:left="0"/>
              <w:rPr>
                <w:sz w:val="15"/>
                <w:szCs w:val="15"/>
              </w:rPr>
            </w:pPr>
            <w:r w:rsidRPr="00346D22">
              <w:rPr>
                <w:sz w:val="15"/>
                <w:szCs w:val="15"/>
              </w:rPr>
              <w:t xml:space="preserve">Podmínka max. </w:t>
            </w:r>
            <w:r w:rsidR="00CC7FBA">
              <w:rPr>
                <w:sz w:val="15"/>
                <w:szCs w:val="15"/>
              </w:rPr>
              <w:t xml:space="preserve">1 </w:t>
            </w:r>
            <w:r w:rsidRPr="00346D22">
              <w:rPr>
                <w:sz w:val="15"/>
                <w:szCs w:val="15"/>
              </w:rPr>
              <w:t>NP</w:t>
            </w:r>
            <w:r w:rsidR="00CC7FBA">
              <w:rPr>
                <w:sz w:val="15"/>
                <w:szCs w:val="15"/>
              </w:rPr>
              <w:t xml:space="preserve"> + podkroví</w:t>
            </w:r>
            <w:r w:rsidRPr="00346D22">
              <w:rPr>
                <w:sz w:val="15"/>
                <w:szCs w:val="15"/>
              </w:rPr>
              <w:t xml:space="preserve"> a typické střešní krajiny zástavby je stanovena z důvodu ochrany charakteru urbanisticky hodnotné venkovské zástavby a obrazu sídla v krajině.</w:t>
            </w:r>
            <w:r w:rsidR="00CC7FBA">
              <w:rPr>
                <w:sz w:val="15"/>
                <w:szCs w:val="15"/>
              </w:rPr>
              <w:t xml:space="preserve"> </w:t>
            </w:r>
          </w:p>
          <w:p w14:paraId="39DC5127" w14:textId="16A726BA" w:rsidR="00CC7FBA" w:rsidRPr="00CC7FBA" w:rsidRDefault="00CC7FBA" w:rsidP="003A3351">
            <w:pPr>
              <w:ind w:left="0"/>
              <w:rPr>
                <w:bCs/>
                <w:sz w:val="15"/>
                <w:szCs w:val="15"/>
              </w:rPr>
            </w:pPr>
            <w:r w:rsidRPr="003B1F87">
              <w:rPr>
                <w:b/>
                <w:sz w:val="15"/>
                <w:szCs w:val="15"/>
                <w:u w:val="single"/>
              </w:rPr>
              <w:t xml:space="preserve">V plochách rekreace jiné </w:t>
            </w:r>
            <w:r w:rsidRPr="00AF7F84">
              <w:rPr>
                <w:b/>
                <w:sz w:val="15"/>
                <w:szCs w:val="15"/>
                <w:u w:val="single"/>
              </w:rPr>
              <w:t>– rekreační areály</w:t>
            </w:r>
            <w:r w:rsidRPr="003B1F87">
              <w:rPr>
                <w:b/>
                <w:sz w:val="15"/>
                <w:szCs w:val="15"/>
                <w:u w:val="single"/>
              </w:rPr>
              <w:t xml:space="preserve"> (RX)</w:t>
            </w:r>
            <w:r>
              <w:rPr>
                <w:bCs/>
                <w:sz w:val="15"/>
                <w:szCs w:val="15"/>
              </w:rPr>
              <w:t xml:space="preserve"> je stanovena podmínka max. 2 NP </w:t>
            </w:r>
            <w:r>
              <w:rPr>
                <w:sz w:val="17"/>
                <w:szCs w:val="17"/>
              </w:rPr>
              <w:t>nebo stávající počet podlaží u staveb vyšších než 2 NP</w:t>
            </w:r>
            <w:r>
              <w:rPr>
                <w:sz w:val="17"/>
                <w:szCs w:val="17"/>
              </w:rPr>
              <w:t xml:space="preserve"> z důvodu zajištění ochrany hodnotného přírodního prostředí a zároveň umožnění kvalitativního rozvoje stávající rekreační </w:t>
            </w:r>
            <w:r w:rsidR="001A0867">
              <w:rPr>
                <w:sz w:val="17"/>
                <w:szCs w:val="17"/>
              </w:rPr>
              <w:t>zástavby</w:t>
            </w:r>
            <w:r w:rsidR="0071152C">
              <w:rPr>
                <w:sz w:val="17"/>
                <w:szCs w:val="17"/>
              </w:rPr>
              <w:t>.</w:t>
            </w:r>
          </w:p>
        </w:tc>
      </w:tr>
      <w:tr w:rsidR="008E092A" w:rsidRPr="00842869" w14:paraId="13F6FD17" w14:textId="77777777" w:rsidTr="008E092A">
        <w:tc>
          <w:tcPr>
            <w:tcW w:w="688" w:type="dxa"/>
            <w:vMerge/>
          </w:tcPr>
          <w:p w14:paraId="38634B8F" w14:textId="77777777" w:rsidR="008E092A" w:rsidRDefault="008E092A" w:rsidP="003A3351">
            <w:pPr>
              <w:ind w:left="0"/>
              <w:rPr>
                <w:b/>
              </w:rPr>
            </w:pPr>
          </w:p>
        </w:tc>
        <w:tc>
          <w:tcPr>
            <w:tcW w:w="1254" w:type="dxa"/>
          </w:tcPr>
          <w:p w14:paraId="54568716" w14:textId="77777777" w:rsidR="008E092A" w:rsidRPr="00403262" w:rsidRDefault="008E092A" w:rsidP="003A3351">
            <w:pPr>
              <w:ind w:left="0"/>
              <w:rPr>
                <w:b/>
              </w:rPr>
            </w:pPr>
            <w:r w:rsidRPr="00403262">
              <w:rPr>
                <w:b/>
              </w:rPr>
              <w:t>Charakter přírodních prvků</w:t>
            </w:r>
          </w:p>
        </w:tc>
        <w:tc>
          <w:tcPr>
            <w:tcW w:w="6705" w:type="dxa"/>
          </w:tcPr>
          <w:p w14:paraId="1689448A" w14:textId="77777777" w:rsidR="008E092A" w:rsidRPr="00346D22" w:rsidRDefault="008E092A" w:rsidP="003A3351">
            <w:pPr>
              <w:ind w:left="0"/>
              <w:rPr>
                <w:sz w:val="15"/>
                <w:szCs w:val="15"/>
              </w:rPr>
            </w:pPr>
            <w:r w:rsidRPr="00346D22">
              <w:rPr>
                <w:sz w:val="15"/>
                <w:szCs w:val="15"/>
              </w:rPr>
              <w:t>Přírodní prvky zastavěného území tvoří dřeviny, rostliny a zatravněné plochy jako součást soukromých zahrad a veřejných prostranství. Přírodní prvky nezastavěného území tvoří zejména zalesněné svahy údolí Bystřice, ojediněle stromořadí, remízky a skupiny porostů podél cest nebo vodních toků. V nivě se nachází několik půdních bloků a luk.</w:t>
            </w:r>
          </w:p>
          <w:p w14:paraId="2B172B0A" w14:textId="3DE9910D" w:rsidR="008E092A" w:rsidRPr="00346D22" w:rsidRDefault="008E092A" w:rsidP="003A3351">
            <w:pPr>
              <w:ind w:left="0"/>
              <w:rPr>
                <w:sz w:val="15"/>
                <w:szCs w:val="15"/>
              </w:rPr>
            </w:pPr>
            <w:r w:rsidRPr="00346D22">
              <w:rPr>
                <w:sz w:val="15"/>
                <w:szCs w:val="15"/>
              </w:rPr>
              <w:t xml:space="preserve">Podmínka </w:t>
            </w:r>
            <w:r w:rsidR="001B0AF7">
              <w:rPr>
                <w:sz w:val="15"/>
                <w:szCs w:val="15"/>
              </w:rPr>
              <w:t xml:space="preserve">převážně </w:t>
            </w:r>
            <w:r w:rsidRPr="00346D22">
              <w:rPr>
                <w:sz w:val="15"/>
                <w:szCs w:val="15"/>
              </w:rPr>
              <w:t xml:space="preserve">přírodního charakteru </w:t>
            </w:r>
            <w:r w:rsidRPr="00346D22">
              <w:rPr>
                <w:b/>
                <w:sz w:val="15"/>
                <w:szCs w:val="15"/>
                <w:u w:val="single"/>
              </w:rPr>
              <w:t>koryta Bystřice a jejích přítoků</w:t>
            </w:r>
            <w:r w:rsidRPr="00346D22">
              <w:rPr>
                <w:sz w:val="15"/>
                <w:szCs w:val="15"/>
              </w:rPr>
              <w:t xml:space="preserve"> je stanovena s důvodu ochrany cenného nivního biotopu</w:t>
            </w:r>
            <w:r w:rsidR="001B0AF7">
              <w:rPr>
                <w:sz w:val="15"/>
                <w:szCs w:val="15"/>
              </w:rPr>
              <w:t xml:space="preserve"> a zároveň umožnění místního zpevnění břehů</w:t>
            </w:r>
            <w:r w:rsidRPr="00346D22">
              <w:rPr>
                <w:sz w:val="15"/>
                <w:szCs w:val="15"/>
              </w:rPr>
              <w:t>.</w:t>
            </w:r>
          </w:p>
          <w:p w14:paraId="32DAEE5C" w14:textId="77777777" w:rsidR="008E092A" w:rsidRPr="00346D22" w:rsidRDefault="008E092A" w:rsidP="003A3351">
            <w:pPr>
              <w:ind w:left="0"/>
              <w:rPr>
                <w:sz w:val="15"/>
                <w:szCs w:val="15"/>
                <w:highlight w:val="yellow"/>
              </w:rPr>
            </w:pPr>
            <w:r w:rsidRPr="00346D22">
              <w:rPr>
                <w:sz w:val="15"/>
                <w:szCs w:val="15"/>
              </w:rPr>
              <w:t>Je doporučeno využívání místních dřevin.</w:t>
            </w:r>
          </w:p>
        </w:tc>
      </w:tr>
      <w:tr w:rsidR="008E092A" w:rsidRPr="00842869" w14:paraId="20CFB5B7" w14:textId="77777777" w:rsidTr="00BB365B">
        <w:trPr>
          <w:trHeight w:val="7787"/>
        </w:trPr>
        <w:tc>
          <w:tcPr>
            <w:tcW w:w="688" w:type="dxa"/>
            <w:vMerge/>
          </w:tcPr>
          <w:p w14:paraId="055821A4" w14:textId="77777777" w:rsidR="008E092A" w:rsidRDefault="008E092A" w:rsidP="003A3351">
            <w:pPr>
              <w:ind w:left="0"/>
              <w:rPr>
                <w:b/>
              </w:rPr>
            </w:pPr>
          </w:p>
        </w:tc>
        <w:tc>
          <w:tcPr>
            <w:tcW w:w="1254" w:type="dxa"/>
          </w:tcPr>
          <w:p w14:paraId="210F5298" w14:textId="77777777" w:rsidR="008E092A" w:rsidRPr="00B960DF" w:rsidRDefault="008E092A" w:rsidP="003A3351">
            <w:pPr>
              <w:ind w:left="0"/>
              <w:rPr>
                <w:b/>
              </w:rPr>
            </w:pPr>
            <w:r>
              <w:rPr>
                <w:b/>
              </w:rPr>
              <w:t>Specifické prvky</w:t>
            </w:r>
          </w:p>
        </w:tc>
        <w:tc>
          <w:tcPr>
            <w:tcW w:w="6705" w:type="dxa"/>
          </w:tcPr>
          <w:p w14:paraId="63E045AB" w14:textId="77777777" w:rsidR="008E092A" w:rsidRPr="003B1F87" w:rsidRDefault="008E092A" w:rsidP="003A3351">
            <w:pPr>
              <w:ind w:left="0"/>
              <w:rPr>
                <w:sz w:val="15"/>
                <w:szCs w:val="15"/>
              </w:rPr>
            </w:pPr>
            <w:r w:rsidRPr="003B1F87">
              <w:rPr>
                <w:sz w:val="15"/>
                <w:szCs w:val="15"/>
              </w:rPr>
              <w:t>V lokalitě se vyskytují zemědělské plochy, které jsou sezónně využívané jako lyžařské sjezdovky a jsou vybavené doprovodnou infrastrukturou (např. vleky, dráhy, osvětlení).</w:t>
            </w:r>
          </w:p>
          <w:p w14:paraId="2DDD90A8" w14:textId="46B1BA0A" w:rsidR="008E092A" w:rsidRDefault="008E092A" w:rsidP="003A3351">
            <w:pPr>
              <w:ind w:left="0"/>
              <w:rPr>
                <w:sz w:val="15"/>
                <w:szCs w:val="15"/>
              </w:rPr>
            </w:pPr>
            <w:r w:rsidRPr="003B1F87">
              <w:rPr>
                <w:b/>
                <w:sz w:val="15"/>
                <w:szCs w:val="15"/>
                <w:u w:val="single"/>
              </w:rPr>
              <w:t>V plochách rekreace jiné</w:t>
            </w:r>
            <w:r w:rsidR="00AF7F84" w:rsidRPr="003B1F87">
              <w:rPr>
                <w:b/>
                <w:sz w:val="15"/>
                <w:szCs w:val="15"/>
                <w:u w:val="single"/>
              </w:rPr>
              <w:t xml:space="preserve"> </w:t>
            </w:r>
            <w:r w:rsidR="00AF7F84" w:rsidRPr="00AF7F84">
              <w:rPr>
                <w:b/>
                <w:sz w:val="15"/>
                <w:szCs w:val="15"/>
                <w:u w:val="single"/>
              </w:rPr>
              <w:t>– rekreační areály</w:t>
            </w:r>
            <w:r w:rsidRPr="003B1F87">
              <w:rPr>
                <w:b/>
                <w:sz w:val="15"/>
                <w:szCs w:val="15"/>
                <w:u w:val="single"/>
              </w:rPr>
              <w:t xml:space="preserve"> (RX)</w:t>
            </w:r>
            <w:r w:rsidRPr="003B1F87">
              <w:rPr>
                <w:sz w:val="15"/>
                <w:szCs w:val="15"/>
              </w:rPr>
              <w:t xml:space="preserve"> je stanovena podmínka využití pro zimní rekreaci ve formě lyžařských středisek a sjezdovek a doprovodných využití pro sport a rekreaci, přírodně blízkého charakteru.</w:t>
            </w:r>
          </w:p>
          <w:p w14:paraId="28034736" w14:textId="77777777" w:rsidR="008E092A" w:rsidRPr="00EA09F0" w:rsidRDefault="008E092A" w:rsidP="003A3351">
            <w:pPr>
              <w:ind w:left="0"/>
              <w:rPr>
                <w:color w:val="FF0000"/>
                <w:sz w:val="8"/>
                <w:szCs w:val="8"/>
              </w:rPr>
            </w:pPr>
            <w:r>
              <w:rPr>
                <w:sz w:val="15"/>
                <w:szCs w:val="15"/>
              </w:rPr>
              <w:t xml:space="preserve">Chránit </w:t>
            </w:r>
            <w:r w:rsidRPr="005B1DFA">
              <w:rPr>
                <w:b/>
                <w:bCs/>
                <w:sz w:val="15"/>
                <w:szCs w:val="15"/>
                <w:u w:val="single"/>
              </w:rPr>
              <w:t>zříceninu hradu Hluboký</w:t>
            </w:r>
            <w:r>
              <w:rPr>
                <w:sz w:val="15"/>
                <w:szCs w:val="15"/>
              </w:rPr>
              <w:t xml:space="preserve"> jako pozůstatek kulturní krajiny.</w:t>
            </w:r>
          </w:p>
        </w:tc>
      </w:tr>
      <w:tr w:rsidR="008E092A" w:rsidRPr="00842869" w14:paraId="77E11696" w14:textId="77777777" w:rsidTr="008E092A">
        <w:tc>
          <w:tcPr>
            <w:tcW w:w="688" w:type="dxa"/>
            <w:vMerge w:val="restart"/>
            <w:textDirection w:val="btLr"/>
          </w:tcPr>
          <w:p w14:paraId="5B7AF1D0" w14:textId="77777777" w:rsidR="008E092A" w:rsidRDefault="008E092A" w:rsidP="003A3351">
            <w:pPr>
              <w:ind w:left="113" w:right="113"/>
              <w:jc w:val="right"/>
              <w:rPr>
                <w:b/>
              </w:rPr>
            </w:pPr>
            <w:r>
              <w:rPr>
                <w:b/>
              </w:rPr>
              <w:lastRenderedPageBreak/>
              <w:t>Uspořádání</w:t>
            </w:r>
          </w:p>
        </w:tc>
        <w:tc>
          <w:tcPr>
            <w:tcW w:w="1254" w:type="dxa"/>
          </w:tcPr>
          <w:p w14:paraId="169BAB95" w14:textId="77777777" w:rsidR="008E092A" w:rsidRPr="00B960DF" w:rsidRDefault="008E092A" w:rsidP="003A3351">
            <w:pPr>
              <w:ind w:left="0"/>
              <w:jc w:val="left"/>
              <w:rPr>
                <w:b/>
              </w:rPr>
            </w:pPr>
            <w:r>
              <w:rPr>
                <w:b/>
              </w:rPr>
              <w:t>Velikost a zastavitelnost pozemků</w:t>
            </w:r>
          </w:p>
        </w:tc>
        <w:tc>
          <w:tcPr>
            <w:tcW w:w="6705" w:type="dxa"/>
          </w:tcPr>
          <w:p w14:paraId="6D121FA2" w14:textId="65539617" w:rsidR="008E092A" w:rsidRPr="00346D22" w:rsidRDefault="008E092A" w:rsidP="003A3351">
            <w:pPr>
              <w:ind w:left="0"/>
              <w:rPr>
                <w:sz w:val="15"/>
                <w:szCs w:val="15"/>
              </w:rPr>
            </w:pPr>
            <w:r w:rsidRPr="00346D22">
              <w:rPr>
                <w:sz w:val="15"/>
                <w:szCs w:val="15"/>
              </w:rPr>
              <w:t>Obvyklá míra velikosti pozemků je cca od 400 do cca 3000 m2, s typickou výměrou 800–1000 m2 s průměrnou zastavitelností 10-30%. Typickým zástupcem zástavby je např. RD č.p.24 o ZP HS cca 155 m2 na pozemku cca 1100 m2 (zastavitelnost cca 14%).</w:t>
            </w:r>
          </w:p>
          <w:p w14:paraId="6B548601" w14:textId="7B1BF842" w:rsidR="008E092A" w:rsidRPr="00346D22" w:rsidRDefault="008E092A" w:rsidP="003A3351">
            <w:pPr>
              <w:ind w:left="0"/>
              <w:rPr>
                <w:sz w:val="15"/>
                <w:szCs w:val="15"/>
              </w:rPr>
            </w:pPr>
            <w:r w:rsidRPr="00346D22">
              <w:rPr>
                <w:sz w:val="15"/>
                <w:szCs w:val="15"/>
              </w:rPr>
              <w:t>Pro celou lokalitu je stanoven HS=0,30 pro hlavní stavbu tak, aby intenzita využití území respektovala charakter území. Zastavitelnost je stanovena jako maximální pro udržení charakteru sídliště. KN=0,6</w:t>
            </w:r>
            <w:r w:rsidR="00152E75">
              <w:rPr>
                <w:sz w:val="15"/>
                <w:szCs w:val="15"/>
              </w:rPr>
              <w:t>0</w:t>
            </w:r>
            <w:r w:rsidRPr="00346D22">
              <w:rPr>
                <w:sz w:val="15"/>
                <w:szCs w:val="15"/>
              </w:rPr>
              <w:t xml:space="preserve"> zajišťuje plochu zahrady určenou pro vsakování a retenci v území.</w:t>
            </w:r>
          </w:p>
          <w:p w14:paraId="24A5D3D1" w14:textId="77777777" w:rsidR="008E092A" w:rsidRPr="00C51412" w:rsidRDefault="008E092A" w:rsidP="003A3351">
            <w:pPr>
              <w:ind w:left="0"/>
              <w:rPr>
                <w:sz w:val="15"/>
                <w:szCs w:val="15"/>
              </w:rPr>
            </w:pPr>
            <w:r w:rsidRPr="00346D22">
              <w:rPr>
                <w:b/>
                <w:sz w:val="15"/>
                <w:szCs w:val="15"/>
                <w:u w:val="single"/>
              </w:rPr>
              <w:t>V ploše těžby všeobecné (GU)</w:t>
            </w:r>
            <w:r w:rsidRPr="00346D22">
              <w:rPr>
                <w:sz w:val="15"/>
                <w:szCs w:val="15"/>
              </w:rPr>
              <w:t xml:space="preserve"> nejsou </w:t>
            </w:r>
            <w:r w:rsidRPr="00C51412">
              <w:rPr>
                <w:sz w:val="15"/>
                <w:szCs w:val="15"/>
              </w:rPr>
              <w:t>s ohledem na charakter využití plochy stanoveny podmínky zastavitelnosti pozemku.</w:t>
            </w:r>
          </w:p>
          <w:p w14:paraId="08BBD1B8" w14:textId="2B3AFECE" w:rsidR="008E092A" w:rsidRPr="00C51412" w:rsidRDefault="008E092A" w:rsidP="003A3351">
            <w:pPr>
              <w:ind w:left="0"/>
              <w:rPr>
                <w:sz w:val="15"/>
                <w:szCs w:val="15"/>
              </w:rPr>
            </w:pPr>
            <w:r w:rsidRPr="00C51412">
              <w:rPr>
                <w:b/>
                <w:bCs/>
                <w:sz w:val="15"/>
                <w:szCs w:val="15"/>
                <w:u w:val="single"/>
              </w:rPr>
              <w:t>V ploše rekreace jiné</w:t>
            </w:r>
            <w:r w:rsidR="00AF7F84" w:rsidRPr="003B1F87">
              <w:rPr>
                <w:b/>
                <w:sz w:val="15"/>
                <w:szCs w:val="15"/>
                <w:u w:val="single"/>
              </w:rPr>
              <w:t xml:space="preserve"> </w:t>
            </w:r>
            <w:r w:rsidR="00AF7F84" w:rsidRPr="00AF7F84">
              <w:rPr>
                <w:b/>
                <w:sz w:val="15"/>
                <w:szCs w:val="15"/>
                <w:u w:val="single"/>
              </w:rPr>
              <w:t>– rekreační areály</w:t>
            </w:r>
            <w:r w:rsidRPr="00C51412">
              <w:rPr>
                <w:b/>
                <w:bCs/>
                <w:sz w:val="15"/>
                <w:szCs w:val="15"/>
                <w:u w:val="single"/>
              </w:rPr>
              <w:t xml:space="preserve"> (RX)</w:t>
            </w:r>
            <w:r w:rsidRPr="00C51412">
              <w:rPr>
                <w:bCs/>
                <w:sz w:val="15"/>
                <w:szCs w:val="15"/>
              </w:rPr>
              <w:t xml:space="preserve"> nejsou s ohledem na charakter využití plochy stanoveny podmínky zastavitelnosti pozemku, z důvodu zajištění dostatečné plochy </w:t>
            </w:r>
            <w:r w:rsidRPr="00C51412">
              <w:rPr>
                <w:sz w:val="15"/>
                <w:szCs w:val="15"/>
              </w:rPr>
              <w:t>pro vsakování a retenci v území je stanoven KN=0,</w:t>
            </w:r>
            <w:r w:rsidR="00F53327">
              <w:rPr>
                <w:sz w:val="15"/>
                <w:szCs w:val="15"/>
              </w:rPr>
              <w:t>4</w:t>
            </w:r>
            <w:r w:rsidRPr="00C51412">
              <w:rPr>
                <w:sz w:val="15"/>
                <w:szCs w:val="15"/>
              </w:rPr>
              <w:t>0</w:t>
            </w:r>
            <w:r w:rsidR="00F53327">
              <w:rPr>
                <w:sz w:val="15"/>
                <w:szCs w:val="15"/>
              </w:rPr>
              <w:t xml:space="preserve"> v zastavěném území a 0,9</w:t>
            </w:r>
            <w:r w:rsidR="0047303F">
              <w:rPr>
                <w:sz w:val="15"/>
                <w:szCs w:val="15"/>
              </w:rPr>
              <w:t>0</w:t>
            </w:r>
            <w:r w:rsidR="00F53327">
              <w:rPr>
                <w:sz w:val="15"/>
                <w:szCs w:val="15"/>
              </w:rPr>
              <w:t xml:space="preserve"> mimo zastavěné území</w:t>
            </w:r>
            <w:r w:rsidRPr="00C51412">
              <w:rPr>
                <w:sz w:val="15"/>
                <w:szCs w:val="15"/>
              </w:rPr>
              <w:t>.</w:t>
            </w:r>
          </w:p>
          <w:p w14:paraId="28693CB0" w14:textId="77777777" w:rsidR="008E092A" w:rsidRPr="00C51412" w:rsidRDefault="008E092A" w:rsidP="003A3351">
            <w:pPr>
              <w:ind w:left="0"/>
              <w:rPr>
                <w:sz w:val="15"/>
                <w:szCs w:val="15"/>
              </w:rPr>
            </w:pPr>
            <w:r w:rsidRPr="00C51412">
              <w:rPr>
                <w:b/>
                <w:sz w:val="15"/>
                <w:szCs w:val="15"/>
                <w:u w:val="single"/>
              </w:rPr>
              <w:t>V ploše rekreace (RI a RZ)</w:t>
            </w:r>
            <w:r w:rsidRPr="00C51412">
              <w:rPr>
                <w:sz w:val="15"/>
                <w:szCs w:val="15"/>
              </w:rPr>
              <w:t xml:space="preserve"> je stanovena zastavitelnost pozemku rekreační zástavby max. 40 m</w:t>
            </w:r>
            <w:r w:rsidRPr="00152E75">
              <w:rPr>
                <w:sz w:val="15"/>
                <w:szCs w:val="15"/>
                <w:vertAlign w:val="superscript"/>
              </w:rPr>
              <w:t>2</w:t>
            </w:r>
            <w:r w:rsidRPr="00C51412">
              <w:rPr>
                <w:sz w:val="15"/>
                <w:szCs w:val="15"/>
              </w:rPr>
              <w:t xml:space="preserve"> z důvodu přiměřené možnosti využití stávajících pozemků individuální rekreace při minimalizaci negativního dopadu na ochranu přírody a krajiny.</w:t>
            </w:r>
          </w:p>
          <w:p w14:paraId="6849F24B" w14:textId="77777777" w:rsidR="008E092A" w:rsidRPr="00EA09F0" w:rsidRDefault="008E092A" w:rsidP="003A3351">
            <w:pPr>
              <w:ind w:left="0"/>
              <w:rPr>
                <w:color w:val="FF0000"/>
                <w:sz w:val="15"/>
                <w:szCs w:val="15"/>
                <w:highlight w:val="yellow"/>
              </w:rPr>
            </w:pPr>
            <w:r w:rsidRPr="00C51412">
              <w:rPr>
                <w:sz w:val="15"/>
                <w:szCs w:val="15"/>
              </w:rPr>
              <w:t>Je doporučeno při parcelaci a umísťování staveb respektovat terénní podmínky a možnosti napojení dalších pozemků.</w:t>
            </w:r>
          </w:p>
        </w:tc>
      </w:tr>
      <w:tr w:rsidR="008E092A" w:rsidRPr="00182D52" w14:paraId="01576365" w14:textId="77777777" w:rsidTr="008E092A">
        <w:tc>
          <w:tcPr>
            <w:tcW w:w="688" w:type="dxa"/>
            <w:vMerge/>
          </w:tcPr>
          <w:p w14:paraId="112C758D" w14:textId="77777777" w:rsidR="008E092A" w:rsidRDefault="008E092A" w:rsidP="003A3351">
            <w:pPr>
              <w:ind w:left="0"/>
              <w:rPr>
                <w:b/>
              </w:rPr>
            </w:pPr>
          </w:p>
        </w:tc>
        <w:tc>
          <w:tcPr>
            <w:tcW w:w="1254" w:type="dxa"/>
          </w:tcPr>
          <w:p w14:paraId="71A65BD7" w14:textId="77777777" w:rsidR="008E092A" w:rsidRDefault="008E092A" w:rsidP="003A3351">
            <w:pPr>
              <w:ind w:left="0"/>
              <w:rPr>
                <w:b/>
              </w:rPr>
            </w:pPr>
            <w:r>
              <w:rPr>
                <w:b/>
              </w:rPr>
              <w:t>Uspořádání prostranství</w:t>
            </w:r>
          </w:p>
        </w:tc>
        <w:tc>
          <w:tcPr>
            <w:tcW w:w="6705" w:type="dxa"/>
          </w:tcPr>
          <w:p w14:paraId="161E3B19" w14:textId="77777777" w:rsidR="008E092A" w:rsidRDefault="008E092A" w:rsidP="003A3351">
            <w:pPr>
              <w:ind w:left="0"/>
              <w:rPr>
                <w:sz w:val="15"/>
                <w:szCs w:val="15"/>
              </w:rPr>
            </w:pPr>
            <w:r>
              <w:rPr>
                <w:sz w:val="15"/>
                <w:szCs w:val="15"/>
              </w:rPr>
              <w:t>Systém veřejných prostranství tvoří uliční síť veřejných prostranství ostatních s osou silnice III/44317 a účelové příjezdové komunikace, turistické a cyklistické stezky a pěší cesty v krajině.</w:t>
            </w:r>
          </w:p>
          <w:p w14:paraId="20CDE874" w14:textId="77777777" w:rsidR="008E092A" w:rsidRDefault="008E092A" w:rsidP="003A3351">
            <w:pPr>
              <w:ind w:left="0"/>
              <w:rPr>
                <w:bCs/>
                <w:iCs/>
                <w:sz w:val="15"/>
                <w:szCs w:val="15"/>
              </w:rPr>
            </w:pPr>
            <w:r w:rsidRPr="00694BE1">
              <w:rPr>
                <w:sz w:val="15"/>
                <w:szCs w:val="15"/>
              </w:rPr>
              <w:t xml:space="preserve">Je doporučeno zachovávat nezpevněný lem prostranství s ohledem </w:t>
            </w:r>
            <w:r w:rsidRPr="00694BE1">
              <w:rPr>
                <w:bCs/>
                <w:iCs/>
                <w:sz w:val="15"/>
                <w:szCs w:val="15"/>
              </w:rPr>
              <w:t>na ochranu a rozvoj hodnotného charakteru měkkých venkovských prostranství</w:t>
            </w:r>
            <w:r>
              <w:rPr>
                <w:bCs/>
                <w:iCs/>
                <w:sz w:val="15"/>
                <w:szCs w:val="15"/>
              </w:rPr>
              <w:t>.</w:t>
            </w:r>
          </w:p>
          <w:p w14:paraId="165B70BA" w14:textId="77777777" w:rsidR="008E092A" w:rsidRDefault="008E092A" w:rsidP="003A3351">
            <w:pPr>
              <w:ind w:left="0"/>
              <w:rPr>
                <w:sz w:val="15"/>
                <w:szCs w:val="15"/>
              </w:rPr>
            </w:pPr>
            <w:r w:rsidRPr="0053153C">
              <w:rPr>
                <w:iCs/>
                <w:sz w:val="15"/>
                <w:szCs w:val="15"/>
              </w:rPr>
              <w:t>P</w:t>
            </w:r>
            <w:r w:rsidRPr="0018028F">
              <w:rPr>
                <w:bCs/>
                <w:iCs/>
                <w:sz w:val="15"/>
                <w:szCs w:val="15"/>
              </w:rPr>
              <w:t xml:space="preserve">odmínka </w:t>
            </w:r>
            <w:r>
              <w:rPr>
                <w:bCs/>
                <w:iCs/>
                <w:sz w:val="15"/>
                <w:szCs w:val="15"/>
              </w:rPr>
              <w:t xml:space="preserve">řešit </w:t>
            </w:r>
            <w:r w:rsidRPr="0018028F">
              <w:rPr>
                <w:sz w:val="15"/>
                <w:szCs w:val="15"/>
              </w:rPr>
              <w:t>pojízdné plochy v minimálních nutných dimenzích</w:t>
            </w:r>
            <w:r>
              <w:rPr>
                <w:sz w:val="15"/>
                <w:szCs w:val="15"/>
              </w:rPr>
              <w:t xml:space="preserve"> je stanovena </w:t>
            </w:r>
            <w:r w:rsidRPr="0018028F">
              <w:rPr>
                <w:sz w:val="15"/>
                <w:szCs w:val="15"/>
              </w:rPr>
              <w:t xml:space="preserve">z důvodu zachování </w:t>
            </w:r>
            <w:r>
              <w:rPr>
                <w:sz w:val="15"/>
                <w:szCs w:val="15"/>
              </w:rPr>
              <w:t>krajinného charakteru</w:t>
            </w:r>
            <w:r w:rsidRPr="0018028F">
              <w:rPr>
                <w:sz w:val="15"/>
                <w:szCs w:val="15"/>
              </w:rPr>
              <w:t xml:space="preserve"> prostranství a kvality obytného prostředí. </w:t>
            </w:r>
          </w:p>
          <w:p w14:paraId="4D004717" w14:textId="77777777" w:rsidR="008E092A" w:rsidRDefault="008E092A" w:rsidP="003A3351">
            <w:pPr>
              <w:ind w:left="0"/>
              <w:rPr>
                <w:sz w:val="15"/>
                <w:szCs w:val="15"/>
              </w:rPr>
            </w:pPr>
            <w:r w:rsidRPr="00606EF5">
              <w:rPr>
                <w:bCs/>
                <w:iCs/>
                <w:sz w:val="15"/>
                <w:szCs w:val="15"/>
              </w:rPr>
              <w:t xml:space="preserve">Podmínka </w:t>
            </w:r>
            <w:r w:rsidRPr="00606EF5">
              <w:rPr>
                <w:sz w:val="15"/>
                <w:szCs w:val="15"/>
              </w:rPr>
              <w:t>pěší prostupnosti lokality, vést pěší trasy tak, aby prezentovaly morfologické a přírodní prvky a vyhlídkové body v krajině,</w:t>
            </w:r>
            <w:r>
              <w:rPr>
                <w:sz w:val="15"/>
                <w:szCs w:val="15"/>
              </w:rPr>
              <w:t xml:space="preserve"> </w:t>
            </w:r>
            <w:r w:rsidRPr="00606EF5">
              <w:rPr>
                <w:sz w:val="15"/>
                <w:szCs w:val="15"/>
              </w:rPr>
              <w:t>je stanovena z důvodu zajištění citlivého řešení a lokalizace rekreační infrastruktury v</w:t>
            </w:r>
            <w:r>
              <w:rPr>
                <w:sz w:val="15"/>
                <w:szCs w:val="15"/>
              </w:rPr>
              <w:t> </w:t>
            </w:r>
            <w:r w:rsidRPr="00606EF5">
              <w:rPr>
                <w:sz w:val="15"/>
                <w:szCs w:val="15"/>
              </w:rPr>
              <w:t>krajině (cestní sítě, pobytových míst v krajině, drobné architektury).</w:t>
            </w:r>
          </w:p>
          <w:p w14:paraId="1EB42E0D" w14:textId="77777777" w:rsidR="008E092A" w:rsidRPr="00173483" w:rsidRDefault="008E092A" w:rsidP="003A3351">
            <w:pPr>
              <w:ind w:left="0"/>
              <w:rPr>
                <w:sz w:val="15"/>
                <w:szCs w:val="15"/>
              </w:rPr>
            </w:pPr>
            <w:r w:rsidRPr="00173483">
              <w:rPr>
                <w:b/>
                <w:sz w:val="15"/>
                <w:szCs w:val="15"/>
                <w:u w:val="single"/>
              </w:rPr>
              <w:t>V plochách rekreace (RZ a RX)</w:t>
            </w:r>
            <w:r>
              <w:rPr>
                <w:sz w:val="15"/>
                <w:szCs w:val="15"/>
              </w:rPr>
              <w:t xml:space="preserve"> je stanoveno zajistit prostupnost území.</w:t>
            </w:r>
          </w:p>
        </w:tc>
      </w:tr>
      <w:tr w:rsidR="008E092A" w:rsidRPr="00842869" w14:paraId="34CF0F1D" w14:textId="77777777" w:rsidTr="008E092A">
        <w:tc>
          <w:tcPr>
            <w:tcW w:w="688" w:type="dxa"/>
            <w:vMerge/>
          </w:tcPr>
          <w:p w14:paraId="108CD5CA" w14:textId="77777777" w:rsidR="008E092A" w:rsidRDefault="008E092A" w:rsidP="003A3351">
            <w:pPr>
              <w:ind w:left="0"/>
              <w:rPr>
                <w:b/>
              </w:rPr>
            </w:pPr>
          </w:p>
        </w:tc>
        <w:tc>
          <w:tcPr>
            <w:tcW w:w="1254" w:type="dxa"/>
          </w:tcPr>
          <w:p w14:paraId="05F24D6D" w14:textId="77777777" w:rsidR="008E092A" w:rsidRDefault="008E092A" w:rsidP="003A3351">
            <w:pPr>
              <w:ind w:left="0"/>
              <w:rPr>
                <w:b/>
              </w:rPr>
            </w:pPr>
            <w:r>
              <w:rPr>
                <w:b/>
              </w:rPr>
              <w:t>Uspořádání zástavby</w:t>
            </w:r>
          </w:p>
        </w:tc>
        <w:tc>
          <w:tcPr>
            <w:tcW w:w="6705" w:type="dxa"/>
          </w:tcPr>
          <w:p w14:paraId="3B90FF90" w14:textId="77777777" w:rsidR="008E092A" w:rsidRPr="00C040B7" w:rsidRDefault="008E092A" w:rsidP="003A3351">
            <w:pPr>
              <w:ind w:left="0"/>
              <w:rPr>
                <w:sz w:val="15"/>
                <w:szCs w:val="15"/>
              </w:rPr>
            </w:pPr>
            <w:r w:rsidRPr="00C040B7">
              <w:rPr>
                <w:sz w:val="15"/>
                <w:szCs w:val="15"/>
              </w:rPr>
              <w:t>Charakter zástavby udávají rodinné domy převážně okapové orientace.</w:t>
            </w:r>
          </w:p>
          <w:p w14:paraId="44A918E8" w14:textId="77777777" w:rsidR="008E092A" w:rsidRPr="00C040B7" w:rsidRDefault="008E092A" w:rsidP="003A3351">
            <w:pPr>
              <w:ind w:left="0"/>
              <w:rPr>
                <w:sz w:val="15"/>
                <w:szCs w:val="15"/>
              </w:rPr>
            </w:pPr>
            <w:r w:rsidRPr="00C040B7">
              <w:rPr>
                <w:sz w:val="15"/>
                <w:szCs w:val="15"/>
              </w:rPr>
              <w:t>Podmínka orientace kPV, sVP je stanovena z důvodu ochrany charakteru zástavby a umožňuje různorodost zástavby při dodržení ortogonálního vztahu k veřejnému prostranství.</w:t>
            </w:r>
          </w:p>
          <w:p w14:paraId="262D597E" w14:textId="77777777" w:rsidR="008E092A" w:rsidRPr="00173483" w:rsidRDefault="008E092A" w:rsidP="003A3351">
            <w:pPr>
              <w:ind w:left="0"/>
              <w:rPr>
                <w:color w:val="FF0000"/>
                <w:sz w:val="15"/>
                <w:szCs w:val="15"/>
              </w:rPr>
            </w:pPr>
            <w:r w:rsidRPr="00C040B7">
              <w:rPr>
                <w:sz w:val="15"/>
                <w:szCs w:val="15"/>
              </w:rPr>
              <w:t>Podmínka nepřípustnosti řadové zástavby mimo stávající je stanovena z důvodu ochrany jedinečnosti venkovské struktury, kterou je vhodné doplňovat samostatnými objekty na okraji sídla.</w:t>
            </w:r>
          </w:p>
        </w:tc>
      </w:tr>
      <w:tr w:rsidR="008E092A" w:rsidRPr="00842869" w14:paraId="3180145C" w14:textId="77777777" w:rsidTr="008E092A">
        <w:tc>
          <w:tcPr>
            <w:tcW w:w="688" w:type="dxa"/>
            <w:vMerge/>
          </w:tcPr>
          <w:p w14:paraId="0683AB4C" w14:textId="77777777" w:rsidR="008E092A" w:rsidRDefault="008E092A" w:rsidP="003A3351">
            <w:pPr>
              <w:ind w:left="0"/>
              <w:rPr>
                <w:b/>
                <w:sz w:val="28"/>
                <w:szCs w:val="28"/>
              </w:rPr>
            </w:pPr>
          </w:p>
        </w:tc>
        <w:tc>
          <w:tcPr>
            <w:tcW w:w="1254" w:type="dxa"/>
          </w:tcPr>
          <w:p w14:paraId="044F3B56" w14:textId="77777777" w:rsidR="008E092A" w:rsidRPr="00C51412" w:rsidRDefault="008E092A" w:rsidP="003A3351">
            <w:pPr>
              <w:ind w:left="0"/>
              <w:rPr>
                <w:b/>
              </w:rPr>
            </w:pPr>
            <w:r w:rsidRPr="00C51412">
              <w:rPr>
                <w:b/>
              </w:rPr>
              <w:t>Uspořádání přírodních prvků</w:t>
            </w:r>
          </w:p>
        </w:tc>
        <w:tc>
          <w:tcPr>
            <w:tcW w:w="6705" w:type="dxa"/>
          </w:tcPr>
          <w:p w14:paraId="6EA3F29C" w14:textId="77777777" w:rsidR="008E092A" w:rsidRPr="00C51412" w:rsidRDefault="008E092A" w:rsidP="003A3351">
            <w:pPr>
              <w:ind w:left="0"/>
              <w:rPr>
                <w:sz w:val="15"/>
                <w:szCs w:val="15"/>
              </w:rPr>
            </w:pPr>
            <w:r w:rsidRPr="00C51412">
              <w:rPr>
                <w:sz w:val="15"/>
                <w:szCs w:val="15"/>
              </w:rPr>
              <w:t xml:space="preserve">Charakter lokality udává zalesněná krajina svahů Bystřice a zemědělská půda v údolí. Orná půda je </w:t>
            </w:r>
            <w:r>
              <w:rPr>
                <w:sz w:val="15"/>
                <w:szCs w:val="15"/>
              </w:rPr>
              <w:t>I</w:t>
            </w:r>
            <w:r w:rsidRPr="00C51412">
              <w:rPr>
                <w:sz w:val="15"/>
                <w:szCs w:val="15"/>
              </w:rPr>
              <w:t>I. třídy ochrany ZPF. Skupiny dřevin a stromořadí jsou uspořádány jako remízky, na terénních zlomech a v zářezech a v blízkosti pěších a dopravních tras.</w:t>
            </w:r>
          </w:p>
          <w:p w14:paraId="229F367F" w14:textId="77777777" w:rsidR="008E092A" w:rsidRPr="00C51412" w:rsidRDefault="008E092A" w:rsidP="003A3351">
            <w:pPr>
              <w:ind w:left="0"/>
              <w:rPr>
                <w:sz w:val="15"/>
                <w:szCs w:val="15"/>
              </w:rPr>
            </w:pPr>
            <w:r w:rsidRPr="00C51412">
              <w:rPr>
                <w:sz w:val="15"/>
                <w:szCs w:val="15"/>
              </w:rPr>
              <w:t>Podmínka stromořadí podél silnice III/44317, vodoteče a skupiny dřevin na terénních zlomech, v terénních zářezech a v blízkosti pěších tras a vodotečí je stanovena z důvodu ochrany a rozvoje charakteru a krajinného rázu lokality a stabilizaci vodního režimu krajiny.</w:t>
            </w:r>
          </w:p>
          <w:p w14:paraId="50FA684C" w14:textId="77777777" w:rsidR="008E092A" w:rsidRPr="00C51412" w:rsidRDefault="008E092A" w:rsidP="003A3351">
            <w:pPr>
              <w:ind w:left="0"/>
              <w:rPr>
                <w:sz w:val="15"/>
                <w:szCs w:val="15"/>
              </w:rPr>
            </w:pPr>
            <w:r w:rsidRPr="00C51412">
              <w:rPr>
                <w:sz w:val="15"/>
                <w:szCs w:val="15"/>
              </w:rPr>
              <w:t xml:space="preserve">Je doporučeno využívání místních dřevin. </w:t>
            </w:r>
          </w:p>
        </w:tc>
      </w:tr>
      <w:tr w:rsidR="008E092A" w:rsidRPr="009D4DBB" w14:paraId="62F17103" w14:textId="77777777" w:rsidTr="00D30C68">
        <w:trPr>
          <w:trHeight w:val="4919"/>
        </w:trPr>
        <w:tc>
          <w:tcPr>
            <w:tcW w:w="688" w:type="dxa"/>
            <w:vMerge/>
          </w:tcPr>
          <w:p w14:paraId="1999E4B7" w14:textId="77777777" w:rsidR="008E092A" w:rsidRDefault="008E092A" w:rsidP="003A3351">
            <w:pPr>
              <w:ind w:left="0"/>
              <w:rPr>
                <w:b/>
                <w:sz w:val="28"/>
                <w:szCs w:val="28"/>
              </w:rPr>
            </w:pPr>
          </w:p>
        </w:tc>
        <w:tc>
          <w:tcPr>
            <w:tcW w:w="1254" w:type="dxa"/>
          </w:tcPr>
          <w:p w14:paraId="3FE80B69" w14:textId="77777777" w:rsidR="008E092A" w:rsidRPr="00C51412" w:rsidRDefault="008E092A" w:rsidP="003A3351">
            <w:pPr>
              <w:ind w:left="0"/>
              <w:rPr>
                <w:b/>
              </w:rPr>
            </w:pPr>
            <w:r w:rsidRPr="00C51412">
              <w:rPr>
                <w:b/>
              </w:rPr>
              <w:t>Specifické uspořádání</w:t>
            </w:r>
          </w:p>
        </w:tc>
        <w:tc>
          <w:tcPr>
            <w:tcW w:w="6705" w:type="dxa"/>
          </w:tcPr>
          <w:p w14:paraId="440A8732" w14:textId="77777777" w:rsidR="008E092A" w:rsidRPr="00C51412" w:rsidRDefault="008E092A" w:rsidP="003A3351">
            <w:pPr>
              <w:ind w:left="0"/>
              <w:rPr>
                <w:sz w:val="15"/>
                <w:szCs w:val="15"/>
              </w:rPr>
            </w:pPr>
            <w:r w:rsidRPr="00C51412">
              <w:rPr>
                <w:sz w:val="15"/>
                <w:szCs w:val="15"/>
              </w:rPr>
              <w:t>-</w:t>
            </w:r>
          </w:p>
        </w:tc>
      </w:tr>
    </w:tbl>
    <w:p w14:paraId="00DF017B" w14:textId="77777777" w:rsidR="008E092A" w:rsidRDefault="008E092A">
      <w:pPr>
        <w:spacing w:before="0" w:after="0"/>
        <w:ind w:left="0"/>
        <w:jc w:val="left"/>
        <w:rPr>
          <w:b/>
          <w:sz w:val="15"/>
          <w:szCs w:val="15"/>
        </w:rPr>
      </w:pPr>
      <w:r>
        <w:rPr>
          <w:b/>
          <w:sz w:val="15"/>
          <w:szCs w:val="15"/>
        </w:rPr>
        <w:br w:type="page"/>
      </w:r>
    </w:p>
    <w:tbl>
      <w:tblPr>
        <w:tblStyle w:val="Motivtabulky"/>
        <w:tblW w:w="8505" w:type="dxa"/>
        <w:tblBorders>
          <w:top w:val="dashSmallGap" w:sz="4" w:space="0" w:color="auto"/>
          <w:bottom w:val="dashSmallGap" w:sz="4" w:space="0" w:color="auto"/>
          <w:insideH w:val="dashSmallGap" w:sz="4" w:space="0" w:color="auto"/>
        </w:tblBorders>
        <w:tblLook w:val="04A0" w:firstRow="1" w:lastRow="0" w:firstColumn="1" w:lastColumn="0" w:noHBand="0" w:noVBand="1"/>
      </w:tblPr>
      <w:tblGrid>
        <w:gridCol w:w="682"/>
        <w:gridCol w:w="1254"/>
        <w:gridCol w:w="6569"/>
      </w:tblGrid>
      <w:tr w:rsidR="008E092A" w:rsidRPr="008E092A" w14:paraId="4D78054D" w14:textId="77777777" w:rsidTr="008E092A">
        <w:tc>
          <w:tcPr>
            <w:tcW w:w="1936" w:type="dxa"/>
            <w:gridSpan w:val="2"/>
          </w:tcPr>
          <w:p w14:paraId="0B4BF416" w14:textId="77777777" w:rsidR="008E092A" w:rsidRPr="008E092A" w:rsidRDefault="008E092A" w:rsidP="003A3351">
            <w:pPr>
              <w:ind w:left="0"/>
              <w:rPr>
                <w:b/>
                <w:sz w:val="24"/>
              </w:rPr>
            </w:pPr>
            <w:r w:rsidRPr="008E092A">
              <w:rPr>
                <w:b/>
                <w:sz w:val="24"/>
              </w:rPr>
              <w:lastRenderedPageBreak/>
              <w:t>L.11</w:t>
            </w:r>
          </w:p>
        </w:tc>
        <w:tc>
          <w:tcPr>
            <w:tcW w:w="6569" w:type="dxa"/>
            <w:vAlign w:val="bottom"/>
          </w:tcPr>
          <w:p w14:paraId="7BDFA2DD" w14:textId="77777777" w:rsidR="008E092A" w:rsidRPr="008E092A" w:rsidRDefault="008E092A" w:rsidP="003A3351">
            <w:pPr>
              <w:ind w:left="0"/>
              <w:rPr>
                <w:b/>
                <w:sz w:val="28"/>
                <w:szCs w:val="28"/>
              </w:rPr>
            </w:pPr>
            <w:r w:rsidRPr="008E092A">
              <w:rPr>
                <w:b/>
                <w:sz w:val="24"/>
              </w:rPr>
              <w:t>Smilov</w:t>
            </w:r>
          </w:p>
        </w:tc>
      </w:tr>
      <w:tr w:rsidR="008E092A" w:rsidRPr="008E092A" w14:paraId="3ACC6B10" w14:textId="77777777" w:rsidTr="008E092A">
        <w:tc>
          <w:tcPr>
            <w:tcW w:w="8505" w:type="dxa"/>
            <w:gridSpan w:val="3"/>
            <w:vAlign w:val="bottom"/>
          </w:tcPr>
          <w:p w14:paraId="10702F1F" w14:textId="77777777" w:rsidR="008E092A" w:rsidRPr="008E092A" w:rsidRDefault="008E092A" w:rsidP="003A3351">
            <w:pPr>
              <w:ind w:left="0"/>
            </w:pPr>
            <w:r w:rsidRPr="008E092A">
              <w:t>Rekreační sídlo v údolí Bystřice</w:t>
            </w:r>
          </w:p>
        </w:tc>
      </w:tr>
      <w:tr w:rsidR="008E092A" w:rsidRPr="008E092A" w14:paraId="3B6F2C78" w14:textId="77777777" w:rsidTr="008E092A">
        <w:tc>
          <w:tcPr>
            <w:tcW w:w="1936" w:type="dxa"/>
            <w:gridSpan w:val="2"/>
          </w:tcPr>
          <w:p w14:paraId="4F34247F" w14:textId="77777777" w:rsidR="008E092A" w:rsidRPr="008E092A" w:rsidRDefault="008E092A" w:rsidP="003A3351">
            <w:pPr>
              <w:ind w:left="0"/>
              <w:rPr>
                <w:b/>
                <w:sz w:val="28"/>
                <w:szCs w:val="28"/>
              </w:rPr>
            </w:pPr>
            <w:r w:rsidRPr="008E092A">
              <w:rPr>
                <w:b/>
              </w:rPr>
              <w:t>Vymezení</w:t>
            </w:r>
          </w:p>
        </w:tc>
        <w:tc>
          <w:tcPr>
            <w:tcW w:w="6569" w:type="dxa"/>
          </w:tcPr>
          <w:p w14:paraId="1E68F441" w14:textId="77777777" w:rsidR="008E092A" w:rsidRPr="008E092A" w:rsidRDefault="008E092A" w:rsidP="003A3351">
            <w:pPr>
              <w:ind w:left="0"/>
              <w:rPr>
                <w:sz w:val="15"/>
                <w:szCs w:val="15"/>
              </w:rPr>
            </w:pPr>
            <w:r w:rsidRPr="008E092A">
              <w:rPr>
                <w:sz w:val="15"/>
                <w:szCs w:val="15"/>
              </w:rPr>
              <w:t>Lokalita je součástí soustavy sídel na trase řeky Bystřice, pojímá údolí a svahy s přírodní rezervací Hrubovodské sutě.</w:t>
            </w:r>
          </w:p>
        </w:tc>
      </w:tr>
      <w:tr w:rsidR="008E092A" w:rsidRPr="008E092A" w14:paraId="5FF2EA1B" w14:textId="77777777" w:rsidTr="008E092A">
        <w:tc>
          <w:tcPr>
            <w:tcW w:w="682" w:type="dxa"/>
            <w:vMerge w:val="restart"/>
            <w:textDirection w:val="btLr"/>
          </w:tcPr>
          <w:p w14:paraId="3309BCAE" w14:textId="77777777" w:rsidR="008E092A" w:rsidRPr="008E092A" w:rsidRDefault="008E092A" w:rsidP="003A3351">
            <w:pPr>
              <w:ind w:left="113" w:right="113"/>
              <w:jc w:val="right"/>
              <w:rPr>
                <w:b/>
              </w:rPr>
            </w:pPr>
            <w:r w:rsidRPr="008E092A">
              <w:rPr>
                <w:b/>
              </w:rPr>
              <w:t>Prvky</w:t>
            </w:r>
          </w:p>
        </w:tc>
        <w:tc>
          <w:tcPr>
            <w:tcW w:w="1254" w:type="dxa"/>
          </w:tcPr>
          <w:p w14:paraId="179824D2" w14:textId="77777777" w:rsidR="008E092A" w:rsidRPr="008E092A" w:rsidRDefault="008E092A" w:rsidP="003A3351">
            <w:pPr>
              <w:ind w:left="0"/>
              <w:rPr>
                <w:b/>
              </w:rPr>
            </w:pPr>
            <w:r w:rsidRPr="008E092A">
              <w:rPr>
                <w:b/>
              </w:rPr>
              <w:t>Plošné řešení zástavby</w:t>
            </w:r>
          </w:p>
        </w:tc>
        <w:tc>
          <w:tcPr>
            <w:tcW w:w="6569" w:type="dxa"/>
          </w:tcPr>
          <w:p w14:paraId="42C95C50" w14:textId="77777777" w:rsidR="008E092A" w:rsidRPr="008E092A" w:rsidRDefault="008E092A" w:rsidP="003A3351">
            <w:pPr>
              <w:ind w:left="0"/>
              <w:rPr>
                <w:sz w:val="15"/>
                <w:szCs w:val="15"/>
              </w:rPr>
            </w:pPr>
            <w:r w:rsidRPr="008E092A">
              <w:rPr>
                <w:sz w:val="15"/>
                <w:szCs w:val="15"/>
              </w:rPr>
              <w:t>Charakter zástavby udávají rodinné domy a rekreační objekty s poměrem stran od 1:1 až po 1:3.</w:t>
            </w:r>
          </w:p>
          <w:p w14:paraId="41E7429A" w14:textId="77777777" w:rsidR="008E092A" w:rsidRPr="008E092A" w:rsidRDefault="008E092A" w:rsidP="003A3351">
            <w:pPr>
              <w:ind w:left="0"/>
              <w:rPr>
                <w:sz w:val="15"/>
                <w:szCs w:val="15"/>
              </w:rPr>
            </w:pPr>
            <w:r w:rsidRPr="008E092A">
              <w:rPr>
                <w:sz w:val="15"/>
                <w:szCs w:val="15"/>
              </w:rPr>
              <w:t>Je doporučeno při plošném řešení zástavby respektovat terénní podmínky.</w:t>
            </w:r>
          </w:p>
        </w:tc>
      </w:tr>
      <w:tr w:rsidR="008E092A" w:rsidRPr="008E092A" w14:paraId="65CF3FA9" w14:textId="77777777" w:rsidTr="008E092A">
        <w:tc>
          <w:tcPr>
            <w:tcW w:w="682" w:type="dxa"/>
            <w:vMerge/>
          </w:tcPr>
          <w:p w14:paraId="050BF7B0" w14:textId="77777777" w:rsidR="008E092A" w:rsidRPr="008E092A" w:rsidRDefault="008E092A" w:rsidP="003A3351">
            <w:pPr>
              <w:ind w:left="0"/>
              <w:rPr>
                <w:b/>
              </w:rPr>
            </w:pPr>
          </w:p>
        </w:tc>
        <w:tc>
          <w:tcPr>
            <w:tcW w:w="1254" w:type="dxa"/>
          </w:tcPr>
          <w:p w14:paraId="3729C14D" w14:textId="77777777" w:rsidR="008E092A" w:rsidRPr="008E092A" w:rsidRDefault="008E092A" w:rsidP="003A3351">
            <w:pPr>
              <w:ind w:left="0"/>
              <w:rPr>
                <w:b/>
              </w:rPr>
            </w:pPr>
            <w:r w:rsidRPr="008E092A">
              <w:rPr>
                <w:b/>
              </w:rPr>
              <w:t>Výškové řešení zástavby</w:t>
            </w:r>
          </w:p>
        </w:tc>
        <w:tc>
          <w:tcPr>
            <w:tcW w:w="6569" w:type="dxa"/>
          </w:tcPr>
          <w:p w14:paraId="57E980CF" w14:textId="77777777" w:rsidR="008E092A" w:rsidRPr="008E092A" w:rsidRDefault="008E092A" w:rsidP="003A3351">
            <w:pPr>
              <w:ind w:left="0"/>
              <w:rPr>
                <w:sz w:val="15"/>
                <w:szCs w:val="15"/>
              </w:rPr>
            </w:pPr>
            <w:r w:rsidRPr="008E092A">
              <w:rPr>
                <w:sz w:val="15"/>
                <w:szCs w:val="15"/>
              </w:rPr>
              <w:t>Zástavbu tvoří převážně objekty o 1-2 NP, resp. jednom podlaží a podkroví. Výrazný charakter střešní krajiny, udávají převážně střechy šikmé.</w:t>
            </w:r>
          </w:p>
          <w:p w14:paraId="33FF7D3C" w14:textId="761C50E5" w:rsidR="008E092A" w:rsidRPr="008E092A" w:rsidRDefault="008E092A" w:rsidP="003A3351">
            <w:pPr>
              <w:ind w:left="0"/>
              <w:rPr>
                <w:sz w:val="15"/>
                <w:szCs w:val="15"/>
              </w:rPr>
            </w:pPr>
            <w:r w:rsidRPr="008E092A">
              <w:rPr>
                <w:sz w:val="15"/>
                <w:szCs w:val="15"/>
              </w:rPr>
              <w:t xml:space="preserve">Podmínka max. </w:t>
            </w:r>
            <w:r w:rsidR="004F10AE">
              <w:rPr>
                <w:sz w:val="15"/>
                <w:szCs w:val="15"/>
              </w:rPr>
              <w:t>1</w:t>
            </w:r>
            <w:r w:rsidRPr="008E092A">
              <w:rPr>
                <w:sz w:val="15"/>
                <w:szCs w:val="15"/>
              </w:rPr>
              <w:t xml:space="preserve"> NP</w:t>
            </w:r>
            <w:r w:rsidR="004F10AE">
              <w:rPr>
                <w:sz w:val="15"/>
                <w:szCs w:val="15"/>
              </w:rPr>
              <w:t xml:space="preserve"> + podkroví</w:t>
            </w:r>
            <w:r w:rsidRPr="008E092A">
              <w:rPr>
                <w:sz w:val="15"/>
                <w:szCs w:val="15"/>
              </w:rPr>
              <w:t xml:space="preserve"> je stanovena z důvodu ochrany charakteru krajiny.</w:t>
            </w:r>
          </w:p>
          <w:p w14:paraId="6B74402F" w14:textId="77777777" w:rsidR="008E092A" w:rsidRPr="008E092A" w:rsidRDefault="008E092A" w:rsidP="003A3351">
            <w:pPr>
              <w:ind w:left="0"/>
              <w:rPr>
                <w:sz w:val="15"/>
                <w:szCs w:val="15"/>
              </w:rPr>
            </w:pPr>
            <w:r w:rsidRPr="008E092A">
              <w:rPr>
                <w:sz w:val="15"/>
                <w:szCs w:val="15"/>
              </w:rPr>
              <w:t>Podmínka typické střešní krajiny zástavby je stanovena z důvodu ochrany charakteru krajiny.</w:t>
            </w:r>
          </w:p>
        </w:tc>
      </w:tr>
      <w:tr w:rsidR="008E092A" w:rsidRPr="008E092A" w14:paraId="348DBA3D" w14:textId="77777777" w:rsidTr="008E092A">
        <w:tc>
          <w:tcPr>
            <w:tcW w:w="682" w:type="dxa"/>
            <w:vMerge/>
          </w:tcPr>
          <w:p w14:paraId="5ACA2882" w14:textId="77777777" w:rsidR="008E092A" w:rsidRPr="008E092A" w:rsidRDefault="008E092A" w:rsidP="003A3351">
            <w:pPr>
              <w:ind w:left="0"/>
              <w:rPr>
                <w:b/>
              </w:rPr>
            </w:pPr>
          </w:p>
        </w:tc>
        <w:tc>
          <w:tcPr>
            <w:tcW w:w="1254" w:type="dxa"/>
          </w:tcPr>
          <w:p w14:paraId="1880F592" w14:textId="77777777" w:rsidR="008E092A" w:rsidRPr="008E092A" w:rsidRDefault="008E092A" w:rsidP="003A3351">
            <w:pPr>
              <w:ind w:left="0"/>
              <w:rPr>
                <w:b/>
              </w:rPr>
            </w:pPr>
            <w:r w:rsidRPr="008E092A">
              <w:rPr>
                <w:b/>
              </w:rPr>
              <w:t>Charakter přírodních prvků</w:t>
            </w:r>
          </w:p>
        </w:tc>
        <w:tc>
          <w:tcPr>
            <w:tcW w:w="6569" w:type="dxa"/>
          </w:tcPr>
          <w:p w14:paraId="26599C8F" w14:textId="3A054F44" w:rsidR="008E092A" w:rsidRPr="008E092A" w:rsidRDefault="008E092A" w:rsidP="003A3351">
            <w:pPr>
              <w:ind w:left="0"/>
              <w:rPr>
                <w:sz w:val="15"/>
                <w:szCs w:val="15"/>
              </w:rPr>
            </w:pPr>
            <w:r w:rsidRPr="008E092A">
              <w:rPr>
                <w:sz w:val="15"/>
                <w:szCs w:val="15"/>
              </w:rPr>
              <w:t>Přírodní prvky zastavěného území tvoří dřeviny, rostliny a zatravněné plochy jako součást zahrad a</w:t>
            </w:r>
            <w:r w:rsidR="00152E75">
              <w:rPr>
                <w:sz w:val="15"/>
                <w:szCs w:val="15"/>
              </w:rPr>
              <w:t> </w:t>
            </w:r>
            <w:r w:rsidRPr="008E092A">
              <w:rPr>
                <w:sz w:val="15"/>
                <w:szCs w:val="15"/>
              </w:rPr>
              <w:t>veřejných prostranství. Přírodní prvky nezastavěného území tvoří zalesněné svahy údolí Bystřice a</w:t>
            </w:r>
            <w:r w:rsidR="00CA40D9">
              <w:rPr>
                <w:sz w:val="15"/>
                <w:szCs w:val="15"/>
              </w:rPr>
              <w:t> </w:t>
            </w:r>
            <w:r w:rsidRPr="008E092A">
              <w:rPr>
                <w:sz w:val="15"/>
                <w:szCs w:val="15"/>
              </w:rPr>
              <w:t>zemědělská půda v údolí a dřeviny podél komunikací.</w:t>
            </w:r>
          </w:p>
          <w:p w14:paraId="56D7EE78" w14:textId="465158DE" w:rsidR="008E092A" w:rsidRPr="008E092A" w:rsidRDefault="008E092A" w:rsidP="003A3351">
            <w:pPr>
              <w:ind w:left="0"/>
              <w:rPr>
                <w:sz w:val="15"/>
                <w:szCs w:val="15"/>
              </w:rPr>
            </w:pPr>
            <w:r w:rsidRPr="008E092A">
              <w:rPr>
                <w:sz w:val="15"/>
                <w:szCs w:val="15"/>
              </w:rPr>
              <w:t xml:space="preserve">Podmínka </w:t>
            </w:r>
            <w:r w:rsidR="004F10AE">
              <w:rPr>
                <w:sz w:val="15"/>
                <w:szCs w:val="15"/>
              </w:rPr>
              <w:t xml:space="preserve">převážně </w:t>
            </w:r>
            <w:r w:rsidRPr="008E092A">
              <w:rPr>
                <w:sz w:val="15"/>
                <w:szCs w:val="15"/>
              </w:rPr>
              <w:t xml:space="preserve">přírodního charakteru </w:t>
            </w:r>
            <w:r w:rsidRPr="008E092A">
              <w:rPr>
                <w:b/>
                <w:sz w:val="15"/>
                <w:szCs w:val="15"/>
                <w:u w:val="single"/>
              </w:rPr>
              <w:t>koryta Bystřice a jejích přítoků</w:t>
            </w:r>
            <w:r w:rsidRPr="008E092A">
              <w:rPr>
                <w:bCs/>
                <w:sz w:val="15"/>
                <w:szCs w:val="15"/>
              </w:rPr>
              <w:t xml:space="preserve"> </w:t>
            </w:r>
            <w:r w:rsidRPr="008E092A">
              <w:rPr>
                <w:sz w:val="15"/>
                <w:szCs w:val="15"/>
              </w:rPr>
              <w:t xml:space="preserve">je stanovena </w:t>
            </w:r>
            <w:r w:rsidR="00EC3108" w:rsidRPr="008E092A">
              <w:rPr>
                <w:sz w:val="15"/>
                <w:szCs w:val="15"/>
              </w:rPr>
              <w:t>z</w:t>
            </w:r>
            <w:r w:rsidRPr="008E092A">
              <w:rPr>
                <w:sz w:val="15"/>
                <w:szCs w:val="15"/>
              </w:rPr>
              <w:t> důvodu ochrany cenného nivního biotopu</w:t>
            </w:r>
            <w:r w:rsidR="00EC3108">
              <w:rPr>
                <w:sz w:val="15"/>
                <w:szCs w:val="15"/>
              </w:rPr>
              <w:t xml:space="preserve"> a zároveň umožnění místního zpevnění břehů</w:t>
            </w:r>
            <w:r w:rsidRPr="008E092A">
              <w:rPr>
                <w:sz w:val="15"/>
                <w:szCs w:val="15"/>
              </w:rPr>
              <w:t>.</w:t>
            </w:r>
          </w:p>
          <w:p w14:paraId="34E4473D" w14:textId="77777777" w:rsidR="008E092A" w:rsidRPr="008E092A" w:rsidRDefault="008E092A" w:rsidP="003A3351">
            <w:pPr>
              <w:ind w:left="0"/>
              <w:rPr>
                <w:sz w:val="15"/>
                <w:szCs w:val="15"/>
                <w:highlight w:val="yellow"/>
              </w:rPr>
            </w:pPr>
            <w:r w:rsidRPr="008E092A">
              <w:rPr>
                <w:sz w:val="15"/>
                <w:szCs w:val="15"/>
              </w:rPr>
              <w:t xml:space="preserve">Je doporučeno využívání místních dřevin. </w:t>
            </w:r>
          </w:p>
        </w:tc>
      </w:tr>
      <w:tr w:rsidR="008E092A" w:rsidRPr="008E092A" w14:paraId="1A2EAC02" w14:textId="77777777" w:rsidTr="008E092A">
        <w:tc>
          <w:tcPr>
            <w:tcW w:w="682" w:type="dxa"/>
            <w:vMerge/>
          </w:tcPr>
          <w:p w14:paraId="3C2E9026" w14:textId="77777777" w:rsidR="008E092A" w:rsidRPr="008E092A" w:rsidRDefault="008E092A" w:rsidP="003A3351">
            <w:pPr>
              <w:ind w:left="0"/>
              <w:rPr>
                <w:b/>
              </w:rPr>
            </w:pPr>
          </w:p>
        </w:tc>
        <w:tc>
          <w:tcPr>
            <w:tcW w:w="1254" w:type="dxa"/>
          </w:tcPr>
          <w:p w14:paraId="615CE169" w14:textId="77777777" w:rsidR="008E092A" w:rsidRPr="008E092A" w:rsidRDefault="008E092A" w:rsidP="003A3351">
            <w:pPr>
              <w:ind w:left="0"/>
              <w:rPr>
                <w:b/>
              </w:rPr>
            </w:pPr>
            <w:r w:rsidRPr="008E092A">
              <w:rPr>
                <w:b/>
              </w:rPr>
              <w:t>Specifické prvky</w:t>
            </w:r>
          </w:p>
        </w:tc>
        <w:tc>
          <w:tcPr>
            <w:tcW w:w="6569" w:type="dxa"/>
          </w:tcPr>
          <w:p w14:paraId="434070A8" w14:textId="77777777" w:rsidR="008E092A" w:rsidRPr="008E092A" w:rsidRDefault="008E092A" w:rsidP="003A3351">
            <w:pPr>
              <w:ind w:left="0"/>
              <w:rPr>
                <w:sz w:val="26"/>
                <w:szCs w:val="26"/>
              </w:rPr>
            </w:pPr>
            <w:r w:rsidRPr="008E092A">
              <w:rPr>
                <w:sz w:val="15"/>
                <w:szCs w:val="15"/>
              </w:rPr>
              <w:t>V lokalitě se nevyskytují specifické prvky.</w:t>
            </w:r>
          </w:p>
        </w:tc>
      </w:tr>
      <w:tr w:rsidR="008E092A" w:rsidRPr="008E092A" w14:paraId="17A0C5FD" w14:textId="77777777" w:rsidTr="008E092A">
        <w:tc>
          <w:tcPr>
            <w:tcW w:w="682" w:type="dxa"/>
            <w:vMerge w:val="restart"/>
            <w:textDirection w:val="btLr"/>
          </w:tcPr>
          <w:p w14:paraId="0B898D70" w14:textId="77777777" w:rsidR="008E092A" w:rsidRPr="008E092A" w:rsidRDefault="008E092A" w:rsidP="003A3351">
            <w:pPr>
              <w:ind w:left="113" w:right="113"/>
              <w:jc w:val="right"/>
              <w:rPr>
                <w:b/>
              </w:rPr>
            </w:pPr>
            <w:r w:rsidRPr="008E092A">
              <w:rPr>
                <w:b/>
              </w:rPr>
              <w:t>Uspořádání</w:t>
            </w:r>
          </w:p>
        </w:tc>
        <w:tc>
          <w:tcPr>
            <w:tcW w:w="1254" w:type="dxa"/>
          </w:tcPr>
          <w:p w14:paraId="3703CAD2" w14:textId="77777777" w:rsidR="008E092A" w:rsidRPr="008E092A" w:rsidRDefault="008E092A" w:rsidP="003A3351">
            <w:pPr>
              <w:ind w:left="0"/>
              <w:jc w:val="left"/>
              <w:rPr>
                <w:b/>
              </w:rPr>
            </w:pPr>
            <w:r w:rsidRPr="008E092A">
              <w:rPr>
                <w:b/>
              </w:rPr>
              <w:t>Velikost a zastavitelnost pozemků</w:t>
            </w:r>
          </w:p>
        </w:tc>
        <w:tc>
          <w:tcPr>
            <w:tcW w:w="6569" w:type="dxa"/>
          </w:tcPr>
          <w:p w14:paraId="2788988E" w14:textId="77777777" w:rsidR="008E092A" w:rsidRPr="008E092A" w:rsidRDefault="008E092A" w:rsidP="003A3351">
            <w:pPr>
              <w:ind w:left="0"/>
              <w:rPr>
                <w:sz w:val="15"/>
                <w:szCs w:val="15"/>
              </w:rPr>
            </w:pPr>
            <w:r w:rsidRPr="008E092A">
              <w:rPr>
                <w:sz w:val="15"/>
                <w:szCs w:val="15"/>
              </w:rPr>
              <w:t>Obvyklá míra velikosti pozemků je cca od 700 do cca 6000 m</w:t>
            </w:r>
            <w:r w:rsidRPr="008E092A">
              <w:rPr>
                <w:sz w:val="15"/>
                <w:szCs w:val="15"/>
                <w:vertAlign w:val="superscript"/>
              </w:rPr>
              <w:t>2</w:t>
            </w:r>
            <w:r w:rsidRPr="008E092A">
              <w:rPr>
                <w:sz w:val="15"/>
                <w:szCs w:val="15"/>
              </w:rPr>
              <w:t>, s průměrnou typickou zastavěností 7-15%.</w:t>
            </w:r>
          </w:p>
          <w:p w14:paraId="3E515741" w14:textId="77777777" w:rsidR="008E092A" w:rsidRPr="008E092A" w:rsidRDefault="008E092A" w:rsidP="003A3351">
            <w:pPr>
              <w:ind w:left="0"/>
              <w:rPr>
                <w:sz w:val="15"/>
                <w:szCs w:val="15"/>
              </w:rPr>
            </w:pPr>
            <w:r w:rsidRPr="008E092A">
              <w:rPr>
                <w:sz w:val="15"/>
                <w:szCs w:val="15"/>
              </w:rPr>
              <w:t>Charakter zástavby lokality udává zástavba rodinných domů. Typickým zástupcem zástavby je např. RD č.p. 41 o ZP HS cca 130 m</w:t>
            </w:r>
            <w:r w:rsidRPr="008E092A">
              <w:rPr>
                <w:sz w:val="15"/>
                <w:szCs w:val="15"/>
                <w:vertAlign w:val="superscript"/>
              </w:rPr>
              <w:t>2</w:t>
            </w:r>
            <w:r w:rsidRPr="008E092A">
              <w:rPr>
                <w:sz w:val="15"/>
                <w:szCs w:val="15"/>
              </w:rPr>
              <w:t xml:space="preserve"> na pozemku cca 1060 m</w:t>
            </w:r>
            <w:r w:rsidRPr="008E092A">
              <w:rPr>
                <w:sz w:val="15"/>
                <w:szCs w:val="15"/>
                <w:vertAlign w:val="superscript"/>
              </w:rPr>
              <w:t>2</w:t>
            </w:r>
            <w:r w:rsidRPr="008E092A">
              <w:rPr>
                <w:sz w:val="15"/>
                <w:szCs w:val="15"/>
              </w:rPr>
              <w:t xml:space="preserve"> (zastavitelnost cca 12%). </w:t>
            </w:r>
          </w:p>
          <w:p w14:paraId="2E123DA1" w14:textId="24968680" w:rsidR="008E092A" w:rsidRPr="008E092A" w:rsidRDefault="008E092A" w:rsidP="003A3351">
            <w:pPr>
              <w:ind w:left="0"/>
              <w:rPr>
                <w:b/>
                <w:iCs/>
                <w:sz w:val="15"/>
                <w:szCs w:val="15"/>
                <w:u w:val="single"/>
              </w:rPr>
            </w:pPr>
            <w:r w:rsidRPr="008E092A">
              <w:rPr>
                <w:sz w:val="15"/>
                <w:szCs w:val="15"/>
              </w:rPr>
              <w:t>Pro celou lokalitu je stanoven HS=0,15 pro hlavní stavbu tak, aby intenzita využití území respektovala charakter území. Zastavitelnost je stanovena jako maximální pro udržení charakteru venkovské zástavby. KN=0,7</w:t>
            </w:r>
            <w:r w:rsidR="00CA40D9">
              <w:rPr>
                <w:sz w:val="15"/>
                <w:szCs w:val="15"/>
              </w:rPr>
              <w:t>0</w:t>
            </w:r>
            <w:r w:rsidRPr="008E092A">
              <w:rPr>
                <w:sz w:val="15"/>
                <w:szCs w:val="15"/>
              </w:rPr>
              <w:t xml:space="preserve"> zajišťuje plochu zahrady určenou pro vsakování a retenci v území a zároveň poskytuje dostatečný prostor pro rozvoj zástavby dvorců a zahrad vedlejšími objekty.</w:t>
            </w:r>
          </w:p>
          <w:p w14:paraId="0CD30CDA" w14:textId="49112BEB" w:rsidR="008E092A" w:rsidRPr="008E092A" w:rsidRDefault="008E092A" w:rsidP="003A3351">
            <w:pPr>
              <w:ind w:left="0"/>
              <w:rPr>
                <w:sz w:val="15"/>
                <w:szCs w:val="15"/>
                <w:highlight w:val="yellow"/>
              </w:rPr>
            </w:pPr>
            <w:r w:rsidRPr="008E092A">
              <w:rPr>
                <w:sz w:val="15"/>
                <w:szCs w:val="15"/>
              </w:rPr>
              <w:t xml:space="preserve">Je </w:t>
            </w:r>
            <w:r w:rsidR="001D108F" w:rsidRPr="003E47A7">
              <w:rPr>
                <w:sz w:val="15"/>
                <w:szCs w:val="15"/>
              </w:rPr>
              <w:t>doporučen</w:t>
            </w:r>
            <w:r w:rsidR="001D108F">
              <w:rPr>
                <w:sz w:val="15"/>
                <w:szCs w:val="15"/>
              </w:rPr>
              <w:t>o řešit</w:t>
            </w:r>
            <w:r w:rsidR="001D108F" w:rsidRPr="003E47A7">
              <w:rPr>
                <w:sz w:val="15"/>
                <w:szCs w:val="15"/>
              </w:rPr>
              <w:t xml:space="preserve"> parcelac</w:t>
            </w:r>
            <w:r w:rsidR="001D108F">
              <w:rPr>
                <w:sz w:val="15"/>
                <w:szCs w:val="15"/>
              </w:rPr>
              <w:t>i</w:t>
            </w:r>
            <w:r w:rsidRPr="008E092A">
              <w:rPr>
                <w:sz w:val="15"/>
                <w:szCs w:val="15"/>
              </w:rPr>
              <w:t xml:space="preserve"> s ohledem na terénní podmínky a umožnění rovnoměrného rozmístění pozemků.</w:t>
            </w:r>
          </w:p>
        </w:tc>
      </w:tr>
      <w:tr w:rsidR="008E092A" w:rsidRPr="008E092A" w14:paraId="0038D613" w14:textId="77777777" w:rsidTr="008E092A">
        <w:tc>
          <w:tcPr>
            <w:tcW w:w="682" w:type="dxa"/>
            <w:vMerge/>
          </w:tcPr>
          <w:p w14:paraId="0DD836A2" w14:textId="77777777" w:rsidR="008E092A" w:rsidRPr="008E092A" w:rsidRDefault="008E092A" w:rsidP="003A3351">
            <w:pPr>
              <w:ind w:left="0"/>
              <w:rPr>
                <w:b/>
              </w:rPr>
            </w:pPr>
          </w:p>
        </w:tc>
        <w:tc>
          <w:tcPr>
            <w:tcW w:w="1254" w:type="dxa"/>
          </w:tcPr>
          <w:p w14:paraId="3AB48F69" w14:textId="77777777" w:rsidR="008E092A" w:rsidRPr="008E092A" w:rsidRDefault="008E092A" w:rsidP="003A3351">
            <w:pPr>
              <w:ind w:left="0"/>
              <w:rPr>
                <w:b/>
              </w:rPr>
            </w:pPr>
            <w:r w:rsidRPr="008E092A">
              <w:rPr>
                <w:b/>
              </w:rPr>
              <w:t>Uspořádání prostranství</w:t>
            </w:r>
          </w:p>
        </w:tc>
        <w:tc>
          <w:tcPr>
            <w:tcW w:w="6569" w:type="dxa"/>
          </w:tcPr>
          <w:p w14:paraId="3BEE8F94" w14:textId="77777777" w:rsidR="008E092A" w:rsidRPr="008E092A" w:rsidRDefault="008E092A" w:rsidP="003A3351">
            <w:pPr>
              <w:ind w:left="0"/>
              <w:rPr>
                <w:sz w:val="15"/>
                <w:szCs w:val="15"/>
              </w:rPr>
            </w:pPr>
            <w:r w:rsidRPr="008E092A">
              <w:rPr>
                <w:sz w:val="15"/>
                <w:szCs w:val="15"/>
              </w:rPr>
              <w:t>Systém veřejných prostranství tvoří uliční síť veřejných prostranství ostatních s hlavní osou cyklotrasy č. 6108, účelové příjezdové komunikace, turistické a cyklistické stezky a pěší cesty v krajině.</w:t>
            </w:r>
          </w:p>
          <w:p w14:paraId="4A06F1D6" w14:textId="77777777" w:rsidR="008E092A" w:rsidRPr="008E092A" w:rsidRDefault="008E092A" w:rsidP="003A3351">
            <w:pPr>
              <w:ind w:left="0"/>
              <w:rPr>
                <w:sz w:val="15"/>
                <w:szCs w:val="15"/>
              </w:rPr>
            </w:pPr>
            <w:r w:rsidRPr="008E092A">
              <w:rPr>
                <w:sz w:val="15"/>
                <w:szCs w:val="15"/>
              </w:rPr>
              <w:t>Je doporučeno zachovávat nezpevněný lem prostranství s ohledem na ochranu a rozvoj hodnotného charakteru měkkých venkovských prostranství.</w:t>
            </w:r>
          </w:p>
          <w:p w14:paraId="07788D1E" w14:textId="77777777" w:rsidR="008E092A" w:rsidRPr="008E092A" w:rsidRDefault="008E092A" w:rsidP="003A3351">
            <w:pPr>
              <w:ind w:left="0"/>
              <w:rPr>
                <w:sz w:val="15"/>
                <w:szCs w:val="15"/>
              </w:rPr>
            </w:pPr>
            <w:r w:rsidRPr="008E092A">
              <w:rPr>
                <w:sz w:val="15"/>
                <w:szCs w:val="15"/>
              </w:rPr>
              <w:t xml:space="preserve">Podmínka řešit pojízdné plochy v minimálních nutných dimenzích je stanovena z důvodu zachování krajinného charakteru prostranství a kvality obytného prostředí. </w:t>
            </w:r>
          </w:p>
          <w:p w14:paraId="36CA5A5E" w14:textId="76B687C3" w:rsidR="008E092A" w:rsidRPr="008E092A" w:rsidRDefault="008E092A" w:rsidP="003A3351">
            <w:pPr>
              <w:ind w:left="0"/>
              <w:rPr>
                <w:sz w:val="15"/>
                <w:szCs w:val="15"/>
              </w:rPr>
            </w:pPr>
            <w:r w:rsidRPr="008E092A">
              <w:rPr>
                <w:sz w:val="15"/>
                <w:szCs w:val="15"/>
              </w:rPr>
              <w:t>Podmínka pěší prostupnosti lokality, vést pěší trasy tak, aby prezentovaly morfologické a přírodní prvky a</w:t>
            </w:r>
            <w:r w:rsidR="004F10AE">
              <w:rPr>
                <w:sz w:val="15"/>
                <w:szCs w:val="15"/>
              </w:rPr>
              <w:t> </w:t>
            </w:r>
            <w:r w:rsidRPr="008E092A">
              <w:rPr>
                <w:sz w:val="15"/>
                <w:szCs w:val="15"/>
              </w:rPr>
              <w:t>vyhlídkové body v krajině, je stanovena z důvodu zajištění citlivého řešení a lokalizace rekreační infrastruktury v krajině (cestní sítě, pobytových míst v krajině, drobné architektury).</w:t>
            </w:r>
          </w:p>
          <w:p w14:paraId="0BF990E8" w14:textId="77777777" w:rsidR="008E092A" w:rsidRPr="008E092A" w:rsidRDefault="008E092A" w:rsidP="003A3351">
            <w:pPr>
              <w:ind w:left="0"/>
              <w:rPr>
                <w:sz w:val="15"/>
                <w:szCs w:val="15"/>
              </w:rPr>
            </w:pPr>
            <w:r w:rsidRPr="008E092A">
              <w:rPr>
                <w:b/>
                <w:sz w:val="15"/>
                <w:szCs w:val="15"/>
                <w:u w:val="single"/>
              </w:rPr>
              <w:t>V plochách rekreace (RZ)</w:t>
            </w:r>
            <w:r w:rsidRPr="008E092A">
              <w:rPr>
                <w:sz w:val="15"/>
                <w:szCs w:val="15"/>
              </w:rPr>
              <w:t xml:space="preserve"> je stanoveno zajistit prostupnost území.</w:t>
            </w:r>
          </w:p>
        </w:tc>
      </w:tr>
      <w:tr w:rsidR="008E092A" w:rsidRPr="008E092A" w14:paraId="0596B1BF" w14:textId="77777777" w:rsidTr="008E092A">
        <w:tc>
          <w:tcPr>
            <w:tcW w:w="682" w:type="dxa"/>
            <w:vMerge/>
          </w:tcPr>
          <w:p w14:paraId="1F793673" w14:textId="77777777" w:rsidR="008E092A" w:rsidRPr="008E092A" w:rsidRDefault="008E092A" w:rsidP="003A3351">
            <w:pPr>
              <w:ind w:left="0"/>
              <w:rPr>
                <w:b/>
              </w:rPr>
            </w:pPr>
          </w:p>
        </w:tc>
        <w:tc>
          <w:tcPr>
            <w:tcW w:w="1254" w:type="dxa"/>
          </w:tcPr>
          <w:p w14:paraId="082A9F51" w14:textId="77777777" w:rsidR="008E092A" w:rsidRPr="008E092A" w:rsidRDefault="008E092A" w:rsidP="003A3351">
            <w:pPr>
              <w:ind w:left="0"/>
              <w:rPr>
                <w:b/>
              </w:rPr>
            </w:pPr>
            <w:r w:rsidRPr="008E092A">
              <w:rPr>
                <w:b/>
              </w:rPr>
              <w:t>Uspořádání zástavby</w:t>
            </w:r>
          </w:p>
        </w:tc>
        <w:tc>
          <w:tcPr>
            <w:tcW w:w="6569" w:type="dxa"/>
          </w:tcPr>
          <w:p w14:paraId="662E9780" w14:textId="77777777" w:rsidR="008E092A" w:rsidRPr="008E092A" w:rsidRDefault="008E092A" w:rsidP="003A3351">
            <w:pPr>
              <w:ind w:left="0"/>
              <w:rPr>
                <w:sz w:val="15"/>
                <w:szCs w:val="15"/>
              </w:rPr>
            </w:pPr>
            <w:r w:rsidRPr="008E092A">
              <w:rPr>
                <w:sz w:val="15"/>
                <w:szCs w:val="15"/>
              </w:rPr>
              <w:t>Charakter zástavby udávají rodinné domy a rekreační chaty převážně štítové orientace, s různým natočením vůči veřejným prostranstvím.</w:t>
            </w:r>
          </w:p>
          <w:p w14:paraId="247708BB" w14:textId="77777777" w:rsidR="008E092A" w:rsidRPr="008E092A" w:rsidRDefault="008E092A" w:rsidP="003A3351">
            <w:pPr>
              <w:ind w:left="0"/>
              <w:rPr>
                <w:sz w:val="15"/>
                <w:szCs w:val="15"/>
                <w:highlight w:val="yellow"/>
              </w:rPr>
            </w:pPr>
            <w:r w:rsidRPr="008E092A">
              <w:rPr>
                <w:sz w:val="15"/>
                <w:szCs w:val="15"/>
              </w:rPr>
              <w:t>Podmínka nepřípustnosti řadové zástavby je stanovena z důvodu ochrany jedinečnosti venkovské struktury.</w:t>
            </w:r>
          </w:p>
        </w:tc>
      </w:tr>
      <w:tr w:rsidR="008E092A" w:rsidRPr="008E092A" w14:paraId="59FC0671" w14:textId="77777777" w:rsidTr="008E092A">
        <w:tc>
          <w:tcPr>
            <w:tcW w:w="682" w:type="dxa"/>
            <w:vMerge/>
          </w:tcPr>
          <w:p w14:paraId="012DAEA1" w14:textId="77777777" w:rsidR="008E092A" w:rsidRPr="008E092A" w:rsidRDefault="008E092A" w:rsidP="003A3351">
            <w:pPr>
              <w:ind w:left="0"/>
              <w:rPr>
                <w:b/>
                <w:sz w:val="28"/>
                <w:szCs w:val="28"/>
              </w:rPr>
            </w:pPr>
          </w:p>
        </w:tc>
        <w:tc>
          <w:tcPr>
            <w:tcW w:w="1254" w:type="dxa"/>
          </w:tcPr>
          <w:p w14:paraId="5090F97B" w14:textId="77777777" w:rsidR="008E092A" w:rsidRPr="008E092A" w:rsidRDefault="008E092A" w:rsidP="003A3351">
            <w:pPr>
              <w:ind w:left="0"/>
              <w:rPr>
                <w:b/>
              </w:rPr>
            </w:pPr>
            <w:r w:rsidRPr="008E092A">
              <w:rPr>
                <w:b/>
              </w:rPr>
              <w:t>Uspořádání přírodních prvků</w:t>
            </w:r>
          </w:p>
        </w:tc>
        <w:tc>
          <w:tcPr>
            <w:tcW w:w="6569" w:type="dxa"/>
          </w:tcPr>
          <w:p w14:paraId="64BFB6DA" w14:textId="77777777" w:rsidR="008E092A" w:rsidRPr="008E092A" w:rsidRDefault="008E092A" w:rsidP="003A3351">
            <w:pPr>
              <w:ind w:left="0"/>
              <w:rPr>
                <w:sz w:val="15"/>
                <w:szCs w:val="15"/>
              </w:rPr>
            </w:pPr>
            <w:r w:rsidRPr="008E092A">
              <w:rPr>
                <w:sz w:val="15"/>
                <w:szCs w:val="15"/>
              </w:rPr>
              <w:t>Charakter lokality udává zalesněná krajina svahů Bystřice a zemědělská půda v údolí. Orná půda je II. třídy ochrany ZPF. Skupiny dřevin a stromořadí jsou uspořádány jako remízky, na terénních zlomech a v zářezech a v blízkosti pěších a dopravních tras.</w:t>
            </w:r>
          </w:p>
          <w:p w14:paraId="29D6C654" w14:textId="77777777" w:rsidR="008E092A" w:rsidRPr="008E092A" w:rsidRDefault="008E092A" w:rsidP="003A3351">
            <w:pPr>
              <w:ind w:left="0"/>
              <w:rPr>
                <w:sz w:val="15"/>
                <w:szCs w:val="15"/>
              </w:rPr>
            </w:pPr>
            <w:r w:rsidRPr="008E092A">
              <w:rPr>
                <w:sz w:val="15"/>
                <w:szCs w:val="15"/>
              </w:rPr>
              <w:t>Podmínka stromořadí podél vodoteče a skupiny dřevin na terénních zlomech, v terénních zářezech a v blízkosti pěších tras a vodotečí je stanovena z důvodu ochrany a rozvoje charakteru a krajinného rázu lokality a stabilizaci vodního režimu krajiny.</w:t>
            </w:r>
          </w:p>
          <w:p w14:paraId="2F834508" w14:textId="77777777" w:rsidR="008E092A" w:rsidRPr="008E092A" w:rsidRDefault="008E092A" w:rsidP="003A3351">
            <w:pPr>
              <w:ind w:left="0"/>
              <w:rPr>
                <w:sz w:val="15"/>
                <w:szCs w:val="15"/>
                <w:highlight w:val="yellow"/>
              </w:rPr>
            </w:pPr>
            <w:r w:rsidRPr="008E092A">
              <w:rPr>
                <w:sz w:val="15"/>
                <w:szCs w:val="15"/>
              </w:rPr>
              <w:t xml:space="preserve">Je doporučeno využívání místních dřevin. </w:t>
            </w:r>
          </w:p>
        </w:tc>
      </w:tr>
      <w:tr w:rsidR="008E092A" w:rsidRPr="008E092A" w14:paraId="791ACCDF" w14:textId="77777777" w:rsidTr="00AF7F84">
        <w:trPr>
          <w:trHeight w:val="1509"/>
        </w:trPr>
        <w:tc>
          <w:tcPr>
            <w:tcW w:w="682" w:type="dxa"/>
            <w:vMerge/>
          </w:tcPr>
          <w:p w14:paraId="34900248" w14:textId="77777777" w:rsidR="008E092A" w:rsidRPr="008E092A" w:rsidRDefault="008E092A" w:rsidP="003A3351">
            <w:pPr>
              <w:ind w:left="0"/>
              <w:rPr>
                <w:b/>
                <w:sz w:val="28"/>
                <w:szCs w:val="28"/>
              </w:rPr>
            </w:pPr>
          </w:p>
        </w:tc>
        <w:tc>
          <w:tcPr>
            <w:tcW w:w="1254" w:type="dxa"/>
          </w:tcPr>
          <w:p w14:paraId="13B446D8" w14:textId="77777777" w:rsidR="008E092A" w:rsidRPr="008E092A" w:rsidRDefault="008E092A" w:rsidP="003A3351">
            <w:pPr>
              <w:ind w:left="0"/>
              <w:rPr>
                <w:b/>
              </w:rPr>
            </w:pPr>
            <w:r w:rsidRPr="008E092A">
              <w:rPr>
                <w:b/>
              </w:rPr>
              <w:t>Specifické uspořádání</w:t>
            </w:r>
          </w:p>
        </w:tc>
        <w:tc>
          <w:tcPr>
            <w:tcW w:w="6569" w:type="dxa"/>
          </w:tcPr>
          <w:p w14:paraId="060E9946" w14:textId="77777777" w:rsidR="008E092A" w:rsidRPr="008E092A" w:rsidRDefault="008E092A" w:rsidP="003A3351">
            <w:pPr>
              <w:ind w:left="0"/>
              <w:rPr>
                <w:sz w:val="15"/>
                <w:szCs w:val="15"/>
              </w:rPr>
            </w:pPr>
            <w:r w:rsidRPr="008E092A">
              <w:rPr>
                <w:sz w:val="15"/>
                <w:szCs w:val="15"/>
              </w:rPr>
              <w:t>-</w:t>
            </w:r>
          </w:p>
        </w:tc>
      </w:tr>
    </w:tbl>
    <w:p w14:paraId="2B9821B9" w14:textId="492634AF" w:rsidR="00BD1D2E" w:rsidRDefault="00BD1D2E">
      <w:pPr>
        <w:spacing w:before="0" w:after="0"/>
        <w:ind w:left="0"/>
        <w:jc w:val="left"/>
        <w:rPr>
          <w:b/>
          <w:sz w:val="15"/>
          <w:szCs w:val="15"/>
        </w:rPr>
      </w:pPr>
      <w:r>
        <w:rPr>
          <w:b/>
          <w:sz w:val="15"/>
          <w:szCs w:val="15"/>
        </w:rPr>
        <w:br w:type="page"/>
      </w:r>
    </w:p>
    <w:tbl>
      <w:tblPr>
        <w:tblStyle w:val="Motivtabulky"/>
        <w:tblW w:w="8505" w:type="dxa"/>
        <w:tblBorders>
          <w:top w:val="dashSmallGap" w:sz="4" w:space="0" w:color="auto"/>
          <w:bottom w:val="dashSmallGap" w:sz="4" w:space="0" w:color="auto"/>
          <w:insideH w:val="dashSmallGap" w:sz="4" w:space="0" w:color="auto"/>
        </w:tblBorders>
        <w:tblLook w:val="04A0" w:firstRow="1" w:lastRow="0" w:firstColumn="1" w:lastColumn="0" w:noHBand="0" w:noVBand="1"/>
      </w:tblPr>
      <w:tblGrid>
        <w:gridCol w:w="682"/>
        <w:gridCol w:w="1254"/>
        <w:gridCol w:w="6569"/>
      </w:tblGrid>
      <w:tr w:rsidR="00BD1D2E" w14:paraId="6850A136" w14:textId="77777777" w:rsidTr="00B11562">
        <w:tc>
          <w:tcPr>
            <w:tcW w:w="1936" w:type="dxa"/>
            <w:gridSpan w:val="2"/>
          </w:tcPr>
          <w:p w14:paraId="3659332C" w14:textId="77777777" w:rsidR="00BD1D2E" w:rsidRPr="00944DA7" w:rsidRDefault="00BD1D2E" w:rsidP="003A3351">
            <w:pPr>
              <w:ind w:left="0"/>
              <w:rPr>
                <w:b/>
                <w:sz w:val="24"/>
              </w:rPr>
            </w:pPr>
            <w:r>
              <w:rPr>
                <w:b/>
                <w:sz w:val="24"/>
              </w:rPr>
              <w:lastRenderedPageBreak/>
              <w:t>L.20</w:t>
            </w:r>
          </w:p>
        </w:tc>
        <w:tc>
          <w:tcPr>
            <w:tcW w:w="6569" w:type="dxa"/>
            <w:vAlign w:val="bottom"/>
          </w:tcPr>
          <w:p w14:paraId="170CFCF3" w14:textId="77777777" w:rsidR="00BD1D2E" w:rsidRPr="00944DA7" w:rsidRDefault="00BD1D2E" w:rsidP="003A3351">
            <w:pPr>
              <w:ind w:left="0"/>
              <w:rPr>
                <w:b/>
                <w:sz w:val="28"/>
                <w:szCs w:val="28"/>
              </w:rPr>
            </w:pPr>
            <w:r>
              <w:rPr>
                <w:b/>
                <w:sz w:val="24"/>
              </w:rPr>
              <w:t>Údolí Posluchovského potoka</w:t>
            </w:r>
          </w:p>
        </w:tc>
      </w:tr>
      <w:tr w:rsidR="00BD1D2E" w14:paraId="1B212AE0" w14:textId="77777777" w:rsidTr="00B11562">
        <w:tc>
          <w:tcPr>
            <w:tcW w:w="8505" w:type="dxa"/>
            <w:gridSpan w:val="3"/>
          </w:tcPr>
          <w:p w14:paraId="78457186" w14:textId="77777777" w:rsidR="00BD1D2E" w:rsidRDefault="00BD1D2E" w:rsidP="003A3351">
            <w:pPr>
              <w:ind w:left="0"/>
            </w:pPr>
            <w:r>
              <w:t>Rekreačně využívané zalesněné svahy údolí Posluchovského potoka.</w:t>
            </w:r>
          </w:p>
        </w:tc>
      </w:tr>
      <w:tr w:rsidR="00BD1D2E" w14:paraId="3F9D773D" w14:textId="77777777" w:rsidTr="00B11562">
        <w:tc>
          <w:tcPr>
            <w:tcW w:w="1936" w:type="dxa"/>
            <w:gridSpan w:val="2"/>
          </w:tcPr>
          <w:p w14:paraId="62769D54" w14:textId="77777777" w:rsidR="00BD1D2E" w:rsidRDefault="00BD1D2E" w:rsidP="003A3351">
            <w:pPr>
              <w:ind w:left="0"/>
              <w:rPr>
                <w:b/>
                <w:sz w:val="28"/>
                <w:szCs w:val="28"/>
              </w:rPr>
            </w:pPr>
            <w:r w:rsidRPr="00CB1ACC">
              <w:rPr>
                <w:b/>
              </w:rPr>
              <w:t>Vymezení</w:t>
            </w:r>
          </w:p>
        </w:tc>
        <w:tc>
          <w:tcPr>
            <w:tcW w:w="6569" w:type="dxa"/>
          </w:tcPr>
          <w:p w14:paraId="7B7E8411" w14:textId="77777777" w:rsidR="00BD1D2E" w:rsidRPr="00944DA7" w:rsidRDefault="00BD1D2E" w:rsidP="003A3351">
            <w:pPr>
              <w:ind w:left="0"/>
              <w:rPr>
                <w:sz w:val="15"/>
                <w:szCs w:val="15"/>
                <w:highlight w:val="yellow"/>
              </w:rPr>
            </w:pPr>
            <w:r w:rsidRPr="00944DA7">
              <w:rPr>
                <w:sz w:val="15"/>
                <w:szCs w:val="15"/>
              </w:rPr>
              <w:t xml:space="preserve">Lokalita je </w:t>
            </w:r>
            <w:r>
              <w:rPr>
                <w:sz w:val="15"/>
                <w:szCs w:val="15"/>
              </w:rPr>
              <w:t>součástí přírodního parku Údolí Bystřice, rozprostírá se mezi řekou Bystřicí a Posluchovem.</w:t>
            </w:r>
          </w:p>
        </w:tc>
      </w:tr>
      <w:tr w:rsidR="00BD1D2E" w:rsidRPr="00842869" w14:paraId="1DD6D214" w14:textId="77777777" w:rsidTr="00B11562">
        <w:tc>
          <w:tcPr>
            <w:tcW w:w="682" w:type="dxa"/>
            <w:vMerge w:val="restart"/>
            <w:textDirection w:val="btLr"/>
          </w:tcPr>
          <w:p w14:paraId="16F42AC4" w14:textId="77777777" w:rsidR="00BD1D2E" w:rsidRPr="00B960DF" w:rsidRDefault="00BD1D2E" w:rsidP="003A3351">
            <w:pPr>
              <w:ind w:left="113" w:right="113"/>
              <w:jc w:val="right"/>
              <w:rPr>
                <w:b/>
              </w:rPr>
            </w:pPr>
            <w:r>
              <w:rPr>
                <w:b/>
              </w:rPr>
              <w:t>Prvky</w:t>
            </w:r>
          </w:p>
        </w:tc>
        <w:tc>
          <w:tcPr>
            <w:tcW w:w="1254" w:type="dxa"/>
          </w:tcPr>
          <w:p w14:paraId="30195F3F" w14:textId="77777777" w:rsidR="00BD1D2E" w:rsidRPr="00B960DF" w:rsidRDefault="00BD1D2E" w:rsidP="003A3351">
            <w:pPr>
              <w:ind w:left="0"/>
              <w:rPr>
                <w:b/>
              </w:rPr>
            </w:pPr>
            <w:r w:rsidRPr="00B960DF">
              <w:rPr>
                <w:b/>
              </w:rPr>
              <w:t>Plošné řešení zástavby</w:t>
            </w:r>
          </w:p>
        </w:tc>
        <w:tc>
          <w:tcPr>
            <w:tcW w:w="6569" w:type="dxa"/>
          </w:tcPr>
          <w:p w14:paraId="5867B6A6" w14:textId="77777777" w:rsidR="00BD1D2E" w:rsidRPr="00944DA7" w:rsidRDefault="00BD1D2E" w:rsidP="003A3351">
            <w:pPr>
              <w:ind w:left="0"/>
              <w:rPr>
                <w:sz w:val="15"/>
                <w:szCs w:val="15"/>
              </w:rPr>
            </w:pPr>
            <w:r>
              <w:rPr>
                <w:sz w:val="15"/>
                <w:szCs w:val="15"/>
              </w:rPr>
              <w:t>V lokalitě se nevyskytuje zástavba.</w:t>
            </w:r>
          </w:p>
        </w:tc>
      </w:tr>
      <w:tr w:rsidR="00BD1D2E" w:rsidRPr="004B4D78" w14:paraId="63ED8317" w14:textId="77777777" w:rsidTr="00B11562">
        <w:tc>
          <w:tcPr>
            <w:tcW w:w="682" w:type="dxa"/>
            <w:vMerge/>
          </w:tcPr>
          <w:p w14:paraId="5545FF96" w14:textId="77777777" w:rsidR="00BD1D2E" w:rsidRDefault="00BD1D2E" w:rsidP="003A3351">
            <w:pPr>
              <w:ind w:left="0"/>
              <w:rPr>
                <w:b/>
              </w:rPr>
            </w:pPr>
          </w:p>
        </w:tc>
        <w:tc>
          <w:tcPr>
            <w:tcW w:w="1254" w:type="dxa"/>
          </w:tcPr>
          <w:p w14:paraId="796B11C7" w14:textId="77777777" w:rsidR="00BD1D2E" w:rsidRPr="00B960DF" w:rsidRDefault="00BD1D2E" w:rsidP="003A3351">
            <w:pPr>
              <w:ind w:left="0"/>
              <w:rPr>
                <w:b/>
              </w:rPr>
            </w:pPr>
            <w:r w:rsidRPr="00B960DF">
              <w:rPr>
                <w:b/>
              </w:rPr>
              <w:t>Výškové řešení zástavby</w:t>
            </w:r>
          </w:p>
        </w:tc>
        <w:tc>
          <w:tcPr>
            <w:tcW w:w="6569" w:type="dxa"/>
          </w:tcPr>
          <w:p w14:paraId="1B95FBE7" w14:textId="77777777" w:rsidR="00BD1D2E" w:rsidRPr="00674302" w:rsidRDefault="00BD1D2E" w:rsidP="003A3351">
            <w:pPr>
              <w:ind w:left="0"/>
              <w:rPr>
                <w:sz w:val="15"/>
                <w:szCs w:val="15"/>
              </w:rPr>
            </w:pPr>
            <w:r>
              <w:rPr>
                <w:sz w:val="15"/>
                <w:szCs w:val="15"/>
              </w:rPr>
              <w:t>V lokalitě se nevyskytuje zástavba.</w:t>
            </w:r>
          </w:p>
        </w:tc>
      </w:tr>
      <w:tr w:rsidR="00BD1D2E" w:rsidRPr="00842869" w14:paraId="628D6723" w14:textId="77777777" w:rsidTr="00B11562">
        <w:tc>
          <w:tcPr>
            <w:tcW w:w="682" w:type="dxa"/>
            <w:vMerge/>
          </w:tcPr>
          <w:p w14:paraId="29CAEFB6" w14:textId="77777777" w:rsidR="00BD1D2E" w:rsidRDefault="00BD1D2E" w:rsidP="003A3351">
            <w:pPr>
              <w:ind w:left="0"/>
              <w:rPr>
                <w:b/>
              </w:rPr>
            </w:pPr>
          </w:p>
        </w:tc>
        <w:tc>
          <w:tcPr>
            <w:tcW w:w="1254" w:type="dxa"/>
          </w:tcPr>
          <w:p w14:paraId="695AD13C" w14:textId="77777777" w:rsidR="00BD1D2E" w:rsidRPr="00B960DF" w:rsidRDefault="00BD1D2E" w:rsidP="003A3351">
            <w:pPr>
              <w:ind w:left="0"/>
              <w:rPr>
                <w:b/>
              </w:rPr>
            </w:pPr>
            <w:r>
              <w:rPr>
                <w:b/>
              </w:rPr>
              <w:t>Charakter přírodních prvků</w:t>
            </w:r>
          </w:p>
        </w:tc>
        <w:tc>
          <w:tcPr>
            <w:tcW w:w="6569" w:type="dxa"/>
          </w:tcPr>
          <w:p w14:paraId="5C19ECDF" w14:textId="77777777" w:rsidR="00BD1D2E" w:rsidRDefault="00BD1D2E" w:rsidP="003A3351">
            <w:pPr>
              <w:ind w:left="0"/>
              <w:rPr>
                <w:sz w:val="15"/>
                <w:szCs w:val="15"/>
              </w:rPr>
            </w:pPr>
            <w:r w:rsidRPr="00E6313D">
              <w:rPr>
                <w:sz w:val="15"/>
                <w:szCs w:val="15"/>
              </w:rPr>
              <w:t xml:space="preserve">Přírodní prvky </w:t>
            </w:r>
            <w:r>
              <w:rPr>
                <w:sz w:val="15"/>
                <w:szCs w:val="15"/>
              </w:rPr>
              <w:t>nezastavěného území</w:t>
            </w:r>
            <w:r w:rsidRPr="00E6313D">
              <w:rPr>
                <w:sz w:val="15"/>
                <w:szCs w:val="15"/>
              </w:rPr>
              <w:t xml:space="preserve"> tvoří</w:t>
            </w:r>
            <w:r>
              <w:rPr>
                <w:sz w:val="15"/>
                <w:szCs w:val="15"/>
              </w:rPr>
              <w:t xml:space="preserve"> zejména hospodářské smíšené lesy.</w:t>
            </w:r>
          </w:p>
          <w:p w14:paraId="69A10D70" w14:textId="77777777" w:rsidR="00BD1D2E" w:rsidRPr="00944DA7" w:rsidRDefault="00BD1D2E" w:rsidP="003A3351">
            <w:pPr>
              <w:ind w:left="0"/>
              <w:rPr>
                <w:sz w:val="15"/>
                <w:szCs w:val="15"/>
                <w:highlight w:val="yellow"/>
              </w:rPr>
            </w:pPr>
            <w:r w:rsidRPr="00E6313D">
              <w:rPr>
                <w:sz w:val="15"/>
                <w:szCs w:val="15"/>
              </w:rPr>
              <w:t>Je doporučeno využívání místních dřevin.</w:t>
            </w:r>
            <w:r w:rsidRPr="00944DA7">
              <w:rPr>
                <w:sz w:val="15"/>
                <w:szCs w:val="15"/>
              </w:rPr>
              <w:t xml:space="preserve"> </w:t>
            </w:r>
          </w:p>
        </w:tc>
      </w:tr>
      <w:tr w:rsidR="00BD1D2E" w:rsidRPr="00842869" w14:paraId="5551BF1B" w14:textId="77777777" w:rsidTr="00B11562">
        <w:tc>
          <w:tcPr>
            <w:tcW w:w="682" w:type="dxa"/>
            <w:vMerge/>
          </w:tcPr>
          <w:p w14:paraId="65BAA7AB" w14:textId="77777777" w:rsidR="00BD1D2E" w:rsidRDefault="00BD1D2E" w:rsidP="003A3351">
            <w:pPr>
              <w:ind w:left="0"/>
              <w:rPr>
                <w:b/>
              </w:rPr>
            </w:pPr>
          </w:p>
        </w:tc>
        <w:tc>
          <w:tcPr>
            <w:tcW w:w="1254" w:type="dxa"/>
          </w:tcPr>
          <w:p w14:paraId="44BF31EC" w14:textId="77777777" w:rsidR="00BD1D2E" w:rsidRPr="00B960DF" w:rsidRDefault="00BD1D2E" w:rsidP="003A3351">
            <w:pPr>
              <w:ind w:left="0"/>
              <w:rPr>
                <w:b/>
              </w:rPr>
            </w:pPr>
            <w:r>
              <w:rPr>
                <w:b/>
              </w:rPr>
              <w:t>Specifické prvky</w:t>
            </w:r>
          </w:p>
        </w:tc>
        <w:tc>
          <w:tcPr>
            <w:tcW w:w="6569" w:type="dxa"/>
          </w:tcPr>
          <w:p w14:paraId="75EB0CAA" w14:textId="77777777" w:rsidR="00BD1D2E" w:rsidRPr="00113562" w:rsidRDefault="00BD1D2E" w:rsidP="003A3351">
            <w:pPr>
              <w:ind w:left="0"/>
              <w:rPr>
                <w:sz w:val="22"/>
                <w:szCs w:val="22"/>
              </w:rPr>
            </w:pPr>
            <w:r w:rsidRPr="00E54607">
              <w:rPr>
                <w:sz w:val="15"/>
                <w:szCs w:val="15"/>
              </w:rPr>
              <w:t>V lokalitě se nevyskytují specifické prvky.</w:t>
            </w:r>
          </w:p>
        </w:tc>
      </w:tr>
      <w:tr w:rsidR="00BD1D2E" w:rsidRPr="00842869" w14:paraId="1FF1FF66" w14:textId="77777777" w:rsidTr="00B11562">
        <w:tc>
          <w:tcPr>
            <w:tcW w:w="682" w:type="dxa"/>
            <w:vMerge w:val="restart"/>
            <w:textDirection w:val="btLr"/>
          </w:tcPr>
          <w:p w14:paraId="3C1D57A2" w14:textId="77777777" w:rsidR="00BD1D2E" w:rsidRDefault="00BD1D2E" w:rsidP="003A3351">
            <w:pPr>
              <w:ind w:left="113" w:right="113"/>
              <w:jc w:val="right"/>
              <w:rPr>
                <w:b/>
              </w:rPr>
            </w:pPr>
            <w:r>
              <w:rPr>
                <w:b/>
              </w:rPr>
              <w:t>Uspořádání</w:t>
            </w:r>
          </w:p>
        </w:tc>
        <w:tc>
          <w:tcPr>
            <w:tcW w:w="1254" w:type="dxa"/>
          </w:tcPr>
          <w:p w14:paraId="4CB7C01C" w14:textId="77777777" w:rsidR="00BD1D2E" w:rsidRPr="003E47A7" w:rsidRDefault="00BD1D2E" w:rsidP="003A3351">
            <w:pPr>
              <w:ind w:left="0"/>
              <w:jc w:val="left"/>
              <w:rPr>
                <w:b/>
              </w:rPr>
            </w:pPr>
            <w:r w:rsidRPr="003E47A7">
              <w:rPr>
                <w:b/>
              </w:rPr>
              <w:t>Velikost a zastavitelnost pozemků</w:t>
            </w:r>
          </w:p>
        </w:tc>
        <w:tc>
          <w:tcPr>
            <w:tcW w:w="6569" w:type="dxa"/>
          </w:tcPr>
          <w:p w14:paraId="4051DF58" w14:textId="77777777" w:rsidR="00BD1D2E" w:rsidRPr="003E47A7" w:rsidRDefault="00BD1D2E" w:rsidP="003A3351">
            <w:pPr>
              <w:ind w:left="0"/>
              <w:rPr>
                <w:sz w:val="15"/>
                <w:szCs w:val="15"/>
                <w:highlight w:val="yellow"/>
              </w:rPr>
            </w:pPr>
            <w:r>
              <w:rPr>
                <w:sz w:val="15"/>
                <w:szCs w:val="15"/>
              </w:rPr>
              <w:t>V lokalitě se nevyskytuje zástavba.</w:t>
            </w:r>
          </w:p>
        </w:tc>
      </w:tr>
      <w:tr w:rsidR="00BD1D2E" w:rsidRPr="00182D52" w14:paraId="560B0C63" w14:textId="77777777" w:rsidTr="00B11562">
        <w:tc>
          <w:tcPr>
            <w:tcW w:w="682" w:type="dxa"/>
            <w:vMerge/>
          </w:tcPr>
          <w:p w14:paraId="21DFAA06" w14:textId="77777777" w:rsidR="00BD1D2E" w:rsidRDefault="00BD1D2E" w:rsidP="003A3351">
            <w:pPr>
              <w:ind w:left="0"/>
              <w:rPr>
                <w:b/>
              </w:rPr>
            </w:pPr>
          </w:p>
        </w:tc>
        <w:tc>
          <w:tcPr>
            <w:tcW w:w="1254" w:type="dxa"/>
          </w:tcPr>
          <w:p w14:paraId="1C8A63FA" w14:textId="77777777" w:rsidR="00BD1D2E" w:rsidRDefault="00BD1D2E" w:rsidP="003A3351">
            <w:pPr>
              <w:ind w:left="0"/>
              <w:rPr>
                <w:b/>
              </w:rPr>
            </w:pPr>
            <w:r>
              <w:rPr>
                <w:b/>
              </w:rPr>
              <w:t>Uspořádání prostranství</w:t>
            </w:r>
          </w:p>
        </w:tc>
        <w:tc>
          <w:tcPr>
            <w:tcW w:w="6569" w:type="dxa"/>
          </w:tcPr>
          <w:p w14:paraId="042A1F5A" w14:textId="77777777" w:rsidR="00BD1D2E" w:rsidRDefault="00BD1D2E" w:rsidP="003A3351">
            <w:pPr>
              <w:ind w:left="0"/>
              <w:rPr>
                <w:sz w:val="15"/>
                <w:szCs w:val="15"/>
              </w:rPr>
            </w:pPr>
            <w:r w:rsidRPr="0018028F">
              <w:rPr>
                <w:sz w:val="15"/>
                <w:szCs w:val="15"/>
              </w:rPr>
              <w:t>Veřejná prostranství tvoří</w:t>
            </w:r>
            <w:r>
              <w:rPr>
                <w:sz w:val="15"/>
                <w:szCs w:val="15"/>
              </w:rPr>
              <w:t xml:space="preserve"> obslužné komunikace pro správu lesů, turistické a cyklistické stezky a pěší cesty v krajině.</w:t>
            </w:r>
          </w:p>
          <w:p w14:paraId="5F0175A4" w14:textId="77777777" w:rsidR="00BD1D2E" w:rsidRPr="003E47A7" w:rsidRDefault="00BD1D2E" w:rsidP="003A3351">
            <w:pPr>
              <w:ind w:left="0"/>
              <w:rPr>
                <w:sz w:val="15"/>
                <w:szCs w:val="15"/>
              </w:rPr>
            </w:pPr>
            <w:r w:rsidRPr="0053153C">
              <w:rPr>
                <w:iCs/>
                <w:sz w:val="15"/>
                <w:szCs w:val="15"/>
              </w:rPr>
              <w:t>P</w:t>
            </w:r>
            <w:r w:rsidRPr="0018028F">
              <w:rPr>
                <w:bCs/>
                <w:iCs/>
                <w:sz w:val="15"/>
                <w:szCs w:val="15"/>
              </w:rPr>
              <w:t xml:space="preserve">odmínka </w:t>
            </w:r>
            <w:r>
              <w:rPr>
                <w:bCs/>
                <w:iCs/>
                <w:sz w:val="15"/>
                <w:szCs w:val="15"/>
              </w:rPr>
              <w:t xml:space="preserve">řešit </w:t>
            </w:r>
            <w:r w:rsidRPr="0018028F">
              <w:rPr>
                <w:sz w:val="15"/>
                <w:szCs w:val="15"/>
              </w:rPr>
              <w:t>pojízdné plochy v minimálních nutných dimenzích</w:t>
            </w:r>
            <w:r>
              <w:rPr>
                <w:sz w:val="15"/>
                <w:szCs w:val="15"/>
              </w:rPr>
              <w:t xml:space="preserve"> je stanovena </w:t>
            </w:r>
            <w:r w:rsidRPr="0018028F">
              <w:rPr>
                <w:sz w:val="15"/>
                <w:szCs w:val="15"/>
              </w:rPr>
              <w:t xml:space="preserve">z důvodu zachování </w:t>
            </w:r>
            <w:r>
              <w:rPr>
                <w:sz w:val="15"/>
                <w:szCs w:val="15"/>
              </w:rPr>
              <w:t>krajinného charakteru</w:t>
            </w:r>
            <w:r w:rsidRPr="0018028F">
              <w:rPr>
                <w:sz w:val="15"/>
                <w:szCs w:val="15"/>
              </w:rPr>
              <w:t xml:space="preserve"> prostranství a </w:t>
            </w:r>
            <w:r>
              <w:rPr>
                <w:sz w:val="15"/>
                <w:szCs w:val="15"/>
              </w:rPr>
              <w:t>ochrany přírody.</w:t>
            </w:r>
            <w:r w:rsidRPr="0018028F">
              <w:rPr>
                <w:sz w:val="15"/>
                <w:szCs w:val="15"/>
              </w:rPr>
              <w:t xml:space="preserve"> </w:t>
            </w:r>
          </w:p>
        </w:tc>
      </w:tr>
      <w:tr w:rsidR="00BD1D2E" w:rsidRPr="00842869" w14:paraId="2B5E901E" w14:textId="77777777" w:rsidTr="00B11562">
        <w:tc>
          <w:tcPr>
            <w:tcW w:w="682" w:type="dxa"/>
            <w:vMerge/>
          </w:tcPr>
          <w:p w14:paraId="00E71CD1" w14:textId="77777777" w:rsidR="00BD1D2E" w:rsidRDefault="00BD1D2E" w:rsidP="003A3351">
            <w:pPr>
              <w:ind w:left="0"/>
              <w:rPr>
                <w:b/>
              </w:rPr>
            </w:pPr>
          </w:p>
        </w:tc>
        <w:tc>
          <w:tcPr>
            <w:tcW w:w="1254" w:type="dxa"/>
          </w:tcPr>
          <w:p w14:paraId="3D493227" w14:textId="77777777" w:rsidR="00BD1D2E" w:rsidRDefault="00BD1D2E" w:rsidP="003A3351">
            <w:pPr>
              <w:ind w:left="0"/>
              <w:rPr>
                <w:b/>
              </w:rPr>
            </w:pPr>
            <w:r>
              <w:rPr>
                <w:b/>
              </w:rPr>
              <w:t>Uspořádání zástavby</w:t>
            </w:r>
          </w:p>
        </w:tc>
        <w:tc>
          <w:tcPr>
            <w:tcW w:w="6569" w:type="dxa"/>
          </w:tcPr>
          <w:p w14:paraId="3C15CCCC" w14:textId="77777777" w:rsidR="00BD1D2E" w:rsidRPr="005448C3" w:rsidRDefault="00BD1D2E" w:rsidP="003A3351">
            <w:pPr>
              <w:ind w:left="0"/>
              <w:rPr>
                <w:sz w:val="15"/>
                <w:szCs w:val="15"/>
              </w:rPr>
            </w:pPr>
            <w:r>
              <w:rPr>
                <w:sz w:val="15"/>
                <w:szCs w:val="15"/>
              </w:rPr>
              <w:t>V lokalitě se nevyskytuje zástavba.</w:t>
            </w:r>
          </w:p>
        </w:tc>
      </w:tr>
      <w:tr w:rsidR="00BD1D2E" w:rsidRPr="00842869" w14:paraId="238FC44F" w14:textId="77777777" w:rsidTr="00B11562">
        <w:tc>
          <w:tcPr>
            <w:tcW w:w="682" w:type="dxa"/>
            <w:vMerge/>
          </w:tcPr>
          <w:p w14:paraId="65CB98DA" w14:textId="77777777" w:rsidR="00BD1D2E" w:rsidRDefault="00BD1D2E" w:rsidP="003A3351">
            <w:pPr>
              <w:ind w:left="0"/>
              <w:rPr>
                <w:b/>
                <w:sz w:val="28"/>
                <w:szCs w:val="28"/>
              </w:rPr>
            </w:pPr>
          </w:p>
        </w:tc>
        <w:tc>
          <w:tcPr>
            <w:tcW w:w="1254" w:type="dxa"/>
          </w:tcPr>
          <w:p w14:paraId="4EB3C7C0" w14:textId="77777777" w:rsidR="00BD1D2E" w:rsidRPr="00B960DF" w:rsidRDefault="00BD1D2E" w:rsidP="003A3351">
            <w:pPr>
              <w:ind w:left="0"/>
              <w:rPr>
                <w:b/>
              </w:rPr>
            </w:pPr>
            <w:r>
              <w:rPr>
                <w:b/>
              </w:rPr>
              <w:t>Uspořádání přírodních prvků</w:t>
            </w:r>
          </w:p>
        </w:tc>
        <w:tc>
          <w:tcPr>
            <w:tcW w:w="6569" w:type="dxa"/>
          </w:tcPr>
          <w:p w14:paraId="6202E172" w14:textId="77777777" w:rsidR="00BD1D2E" w:rsidRPr="00723BD4" w:rsidRDefault="00BD1D2E" w:rsidP="003A3351">
            <w:pPr>
              <w:ind w:left="0"/>
              <w:rPr>
                <w:sz w:val="15"/>
                <w:szCs w:val="15"/>
              </w:rPr>
            </w:pPr>
            <w:r>
              <w:rPr>
                <w:sz w:val="15"/>
                <w:szCs w:val="15"/>
              </w:rPr>
              <w:t>Charakter lokality udávají hospodářské smíšené lesy a přírodní park Údolí Bystřice.</w:t>
            </w:r>
          </w:p>
        </w:tc>
      </w:tr>
      <w:tr w:rsidR="00BD1D2E" w:rsidRPr="009D4DBB" w14:paraId="073C2437" w14:textId="77777777" w:rsidTr="00B11562">
        <w:trPr>
          <w:trHeight w:val="6374"/>
        </w:trPr>
        <w:tc>
          <w:tcPr>
            <w:tcW w:w="682" w:type="dxa"/>
            <w:vMerge/>
          </w:tcPr>
          <w:p w14:paraId="5D6AC1C5" w14:textId="77777777" w:rsidR="00BD1D2E" w:rsidRDefault="00BD1D2E" w:rsidP="003A3351">
            <w:pPr>
              <w:ind w:left="0"/>
              <w:rPr>
                <w:b/>
                <w:sz w:val="28"/>
                <w:szCs w:val="28"/>
              </w:rPr>
            </w:pPr>
          </w:p>
        </w:tc>
        <w:tc>
          <w:tcPr>
            <w:tcW w:w="1254" w:type="dxa"/>
          </w:tcPr>
          <w:p w14:paraId="63988FCF" w14:textId="77777777" w:rsidR="00BD1D2E" w:rsidRPr="00B960DF" w:rsidRDefault="00BD1D2E" w:rsidP="003A3351">
            <w:pPr>
              <w:ind w:left="0"/>
              <w:rPr>
                <w:b/>
              </w:rPr>
            </w:pPr>
            <w:r>
              <w:rPr>
                <w:b/>
              </w:rPr>
              <w:t>Specifické uspořádání</w:t>
            </w:r>
          </w:p>
        </w:tc>
        <w:tc>
          <w:tcPr>
            <w:tcW w:w="6569" w:type="dxa"/>
          </w:tcPr>
          <w:p w14:paraId="6ED1F1F5" w14:textId="77777777" w:rsidR="00BD1D2E" w:rsidRPr="00944DA7" w:rsidRDefault="00BD1D2E" w:rsidP="003A3351">
            <w:pPr>
              <w:ind w:left="0"/>
              <w:rPr>
                <w:sz w:val="15"/>
                <w:szCs w:val="15"/>
              </w:rPr>
            </w:pPr>
            <w:r>
              <w:rPr>
                <w:sz w:val="15"/>
                <w:szCs w:val="15"/>
              </w:rPr>
              <w:t>-</w:t>
            </w:r>
          </w:p>
        </w:tc>
      </w:tr>
    </w:tbl>
    <w:p w14:paraId="4044954B" w14:textId="6162B4E9" w:rsidR="005F3739" w:rsidRPr="00B11562" w:rsidRDefault="005F3739" w:rsidP="00B11562">
      <w:pPr>
        <w:spacing w:before="0" w:after="0"/>
        <w:ind w:left="0"/>
        <w:jc w:val="left"/>
        <w:rPr>
          <w:b/>
          <w:sz w:val="15"/>
          <w:szCs w:val="15"/>
        </w:rPr>
      </w:pPr>
      <w:r w:rsidRPr="00B11562">
        <w:rPr>
          <w:b/>
          <w:sz w:val="15"/>
          <w:szCs w:val="15"/>
        </w:rPr>
        <w:br w:type="page"/>
      </w:r>
    </w:p>
    <w:tbl>
      <w:tblPr>
        <w:tblStyle w:val="Motivtabulky"/>
        <w:tblW w:w="8505" w:type="dxa"/>
        <w:tblBorders>
          <w:top w:val="dashSmallGap" w:sz="4" w:space="0" w:color="auto"/>
          <w:bottom w:val="dashSmallGap" w:sz="4" w:space="0" w:color="auto"/>
          <w:insideH w:val="dashSmallGap" w:sz="4" w:space="0" w:color="auto"/>
        </w:tblBorders>
        <w:tblLook w:val="04A0" w:firstRow="1" w:lastRow="0" w:firstColumn="1" w:lastColumn="0" w:noHBand="0" w:noVBand="1"/>
      </w:tblPr>
      <w:tblGrid>
        <w:gridCol w:w="682"/>
        <w:gridCol w:w="1254"/>
        <w:gridCol w:w="6569"/>
      </w:tblGrid>
      <w:tr w:rsidR="00B11562" w14:paraId="624A468E" w14:textId="77777777" w:rsidTr="00B11562">
        <w:tc>
          <w:tcPr>
            <w:tcW w:w="1936" w:type="dxa"/>
            <w:gridSpan w:val="2"/>
          </w:tcPr>
          <w:p w14:paraId="1ED0FCCB" w14:textId="77777777" w:rsidR="00B11562" w:rsidRPr="00944DA7" w:rsidRDefault="00B11562" w:rsidP="003A3351">
            <w:pPr>
              <w:ind w:left="0"/>
              <w:rPr>
                <w:b/>
                <w:sz w:val="24"/>
              </w:rPr>
            </w:pPr>
            <w:r>
              <w:rPr>
                <w:b/>
                <w:sz w:val="24"/>
              </w:rPr>
              <w:lastRenderedPageBreak/>
              <w:t>L.21</w:t>
            </w:r>
          </w:p>
        </w:tc>
        <w:tc>
          <w:tcPr>
            <w:tcW w:w="6569" w:type="dxa"/>
            <w:vAlign w:val="bottom"/>
          </w:tcPr>
          <w:p w14:paraId="527EB749" w14:textId="77777777" w:rsidR="00B11562" w:rsidRPr="00944DA7" w:rsidRDefault="00B11562" w:rsidP="003A3351">
            <w:pPr>
              <w:ind w:left="0"/>
              <w:rPr>
                <w:b/>
                <w:sz w:val="28"/>
                <w:szCs w:val="28"/>
              </w:rPr>
            </w:pPr>
            <w:r>
              <w:rPr>
                <w:b/>
                <w:sz w:val="24"/>
              </w:rPr>
              <w:t>Údolí Zdiměřského potoka</w:t>
            </w:r>
          </w:p>
        </w:tc>
      </w:tr>
      <w:tr w:rsidR="00B11562" w14:paraId="47648C5C" w14:textId="77777777" w:rsidTr="00B11562">
        <w:tc>
          <w:tcPr>
            <w:tcW w:w="8505" w:type="dxa"/>
            <w:gridSpan w:val="3"/>
          </w:tcPr>
          <w:p w14:paraId="5681AA06" w14:textId="77777777" w:rsidR="00B11562" w:rsidRPr="00944DA7" w:rsidRDefault="00B11562" w:rsidP="003A3351">
            <w:pPr>
              <w:ind w:left="0"/>
              <w:rPr>
                <w:sz w:val="15"/>
                <w:szCs w:val="15"/>
              </w:rPr>
            </w:pPr>
            <w:r>
              <w:t>Rekreačně využívané zalesněné svahy údolí Zdiměřského potoka a vrcholu Vrábl.</w:t>
            </w:r>
          </w:p>
        </w:tc>
      </w:tr>
      <w:tr w:rsidR="00B11562" w14:paraId="6DF9E9C1" w14:textId="77777777" w:rsidTr="00B11562">
        <w:tc>
          <w:tcPr>
            <w:tcW w:w="1936" w:type="dxa"/>
            <w:gridSpan w:val="2"/>
          </w:tcPr>
          <w:p w14:paraId="776979A3" w14:textId="77777777" w:rsidR="00B11562" w:rsidRDefault="00B11562" w:rsidP="003A3351">
            <w:pPr>
              <w:ind w:left="0"/>
              <w:rPr>
                <w:b/>
                <w:sz w:val="28"/>
                <w:szCs w:val="28"/>
              </w:rPr>
            </w:pPr>
            <w:r w:rsidRPr="00CB1ACC">
              <w:rPr>
                <w:b/>
              </w:rPr>
              <w:t>Vymezení</w:t>
            </w:r>
          </w:p>
        </w:tc>
        <w:tc>
          <w:tcPr>
            <w:tcW w:w="6569" w:type="dxa"/>
          </w:tcPr>
          <w:p w14:paraId="246C68B7" w14:textId="77777777" w:rsidR="00B11562" w:rsidRPr="00944DA7" w:rsidRDefault="00B11562" w:rsidP="003A3351">
            <w:pPr>
              <w:ind w:left="0"/>
              <w:rPr>
                <w:sz w:val="15"/>
                <w:szCs w:val="15"/>
                <w:highlight w:val="yellow"/>
              </w:rPr>
            </w:pPr>
            <w:r w:rsidRPr="00944DA7">
              <w:rPr>
                <w:sz w:val="15"/>
                <w:szCs w:val="15"/>
              </w:rPr>
              <w:t xml:space="preserve">Lokalita je </w:t>
            </w:r>
            <w:r>
              <w:rPr>
                <w:sz w:val="15"/>
                <w:szCs w:val="15"/>
              </w:rPr>
              <w:t>součástí přírodního parku Údolí Bystřice, rozprostírá se na svazích vrcholu Vrábl.</w:t>
            </w:r>
          </w:p>
        </w:tc>
      </w:tr>
      <w:tr w:rsidR="00B11562" w:rsidRPr="00842869" w14:paraId="61C484FB" w14:textId="77777777" w:rsidTr="00B11562">
        <w:tc>
          <w:tcPr>
            <w:tcW w:w="682" w:type="dxa"/>
            <w:vMerge w:val="restart"/>
            <w:textDirection w:val="btLr"/>
          </w:tcPr>
          <w:p w14:paraId="27897093" w14:textId="77777777" w:rsidR="00B11562" w:rsidRPr="00B960DF" w:rsidRDefault="00B11562" w:rsidP="003A3351">
            <w:pPr>
              <w:ind w:left="113" w:right="113"/>
              <w:jc w:val="right"/>
              <w:rPr>
                <w:b/>
              </w:rPr>
            </w:pPr>
            <w:r>
              <w:rPr>
                <w:b/>
              </w:rPr>
              <w:t>Prvky</w:t>
            </w:r>
          </w:p>
        </w:tc>
        <w:tc>
          <w:tcPr>
            <w:tcW w:w="1254" w:type="dxa"/>
          </w:tcPr>
          <w:p w14:paraId="5EB07AC3" w14:textId="77777777" w:rsidR="00B11562" w:rsidRPr="00B960DF" w:rsidRDefault="00B11562" w:rsidP="003A3351">
            <w:pPr>
              <w:ind w:left="0"/>
              <w:rPr>
                <w:b/>
              </w:rPr>
            </w:pPr>
            <w:r w:rsidRPr="00B960DF">
              <w:rPr>
                <w:b/>
              </w:rPr>
              <w:t>Plošné řešení zástavby</w:t>
            </w:r>
          </w:p>
        </w:tc>
        <w:tc>
          <w:tcPr>
            <w:tcW w:w="6569" w:type="dxa"/>
          </w:tcPr>
          <w:p w14:paraId="33626FFE" w14:textId="77777777" w:rsidR="00B11562" w:rsidRDefault="00B11562" w:rsidP="003A3351">
            <w:pPr>
              <w:ind w:left="0"/>
              <w:rPr>
                <w:sz w:val="15"/>
                <w:szCs w:val="15"/>
              </w:rPr>
            </w:pPr>
            <w:r>
              <w:rPr>
                <w:sz w:val="15"/>
                <w:szCs w:val="15"/>
              </w:rPr>
              <w:t>Charakter zástavby udávají rekreační objekty s poměrem stran od 1:1 až po 1:1,9.</w:t>
            </w:r>
          </w:p>
          <w:p w14:paraId="626F455A" w14:textId="77777777" w:rsidR="00B11562" w:rsidRPr="00944DA7" w:rsidRDefault="00B11562" w:rsidP="003A3351">
            <w:pPr>
              <w:ind w:left="0"/>
              <w:rPr>
                <w:sz w:val="15"/>
                <w:szCs w:val="15"/>
              </w:rPr>
            </w:pPr>
            <w:r w:rsidRPr="00A53E1A">
              <w:rPr>
                <w:sz w:val="15"/>
                <w:szCs w:val="15"/>
              </w:rPr>
              <w:t>Je doporučeno při plošném řešení zástavby respektovat terénní podmínky.</w:t>
            </w:r>
          </w:p>
        </w:tc>
      </w:tr>
      <w:tr w:rsidR="00B11562" w:rsidRPr="004B4D78" w14:paraId="35288854" w14:textId="77777777" w:rsidTr="00B11562">
        <w:tc>
          <w:tcPr>
            <w:tcW w:w="682" w:type="dxa"/>
            <w:vMerge/>
          </w:tcPr>
          <w:p w14:paraId="4B2E719E" w14:textId="77777777" w:rsidR="00B11562" w:rsidRDefault="00B11562" w:rsidP="003A3351">
            <w:pPr>
              <w:ind w:left="0"/>
              <w:rPr>
                <w:b/>
              </w:rPr>
            </w:pPr>
          </w:p>
        </w:tc>
        <w:tc>
          <w:tcPr>
            <w:tcW w:w="1254" w:type="dxa"/>
          </w:tcPr>
          <w:p w14:paraId="4FC98B78" w14:textId="77777777" w:rsidR="00B11562" w:rsidRPr="00B960DF" w:rsidRDefault="00B11562" w:rsidP="003A3351">
            <w:pPr>
              <w:ind w:left="0"/>
              <w:rPr>
                <w:b/>
              </w:rPr>
            </w:pPr>
            <w:r w:rsidRPr="00B960DF">
              <w:rPr>
                <w:b/>
              </w:rPr>
              <w:t>Výškové řešení zástavby</w:t>
            </w:r>
          </w:p>
        </w:tc>
        <w:tc>
          <w:tcPr>
            <w:tcW w:w="6569" w:type="dxa"/>
          </w:tcPr>
          <w:p w14:paraId="01F868F8" w14:textId="77777777" w:rsidR="00B11562" w:rsidRDefault="00B11562" w:rsidP="003A3351">
            <w:pPr>
              <w:ind w:left="0"/>
              <w:rPr>
                <w:sz w:val="15"/>
                <w:szCs w:val="15"/>
              </w:rPr>
            </w:pPr>
            <w:r w:rsidRPr="00EC2AFC">
              <w:rPr>
                <w:sz w:val="15"/>
                <w:szCs w:val="15"/>
              </w:rPr>
              <w:t>Zás</w:t>
            </w:r>
            <w:r>
              <w:rPr>
                <w:sz w:val="15"/>
                <w:szCs w:val="15"/>
              </w:rPr>
              <w:t>tavbu tvoří převážně objekty o 1-2</w:t>
            </w:r>
            <w:r w:rsidRPr="00EC2AFC">
              <w:rPr>
                <w:sz w:val="15"/>
                <w:szCs w:val="15"/>
              </w:rPr>
              <w:t xml:space="preserve"> NP, resp. jednom </w:t>
            </w:r>
            <w:r>
              <w:rPr>
                <w:sz w:val="15"/>
                <w:szCs w:val="15"/>
              </w:rPr>
              <w:t>podlaží a podkroví</w:t>
            </w:r>
            <w:r w:rsidRPr="00EC2AFC">
              <w:rPr>
                <w:sz w:val="15"/>
                <w:szCs w:val="15"/>
              </w:rPr>
              <w:t>. Výrazný</w:t>
            </w:r>
            <w:r>
              <w:rPr>
                <w:sz w:val="15"/>
                <w:szCs w:val="15"/>
              </w:rPr>
              <w:t xml:space="preserve"> charakter střešní krajiny</w:t>
            </w:r>
            <w:r w:rsidRPr="00EC2AFC">
              <w:rPr>
                <w:sz w:val="15"/>
                <w:szCs w:val="15"/>
              </w:rPr>
              <w:t xml:space="preserve">, udávají převážně </w:t>
            </w:r>
            <w:r>
              <w:rPr>
                <w:sz w:val="15"/>
                <w:szCs w:val="15"/>
              </w:rPr>
              <w:t>střechy šikmé</w:t>
            </w:r>
            <w:r w:rsidRPr="00EC2AFC">
              <w:rPr>
                <w:sz w:val="15"/>
                <w:szCs w:val="15"/>
              </w:rPr>
              <w:t>.</w:t>
            </w:r>
          </w:p>
          <w:p w14:paraId="31DF9490" w14:textId="77777777" w:rsidR="00B11562" w:rsidRDefault="00B11562" w:rsidP="003A3351">
            <w:pPr>
              <w:ind w:left="0"/>
              <w:rPr>
                <w:sz w:val="15"/>
                <w:szCs w:val="15"/>
              </w:rPr>
            </w:pPr>
            <w:r w:rsidRPr="00A53E1A">
              <w:rPr>
                <w:sz w:val="15"/>
                <w:szCs w:val="15"/>
              </w:rPr>
              <w:t>Podmínka max</w:t>
            </w:r>
            <w:r>
              <w:rPr>
                <w:sz w:val="15"/>
                <w:szCs w:val="15"/>
              </w:rPr>
              <w:t>.</w:t>
            </w:r>
            <w:r w:rsidRPr="00A53E1A">
              <w:rPr>
                <w:sz w:val="15"/>
                <w:szCs w:val="15"/>
              </w:rPr>
              <w:t xml:space="preserve"> 2</w:t>
            </w:r>
            <w:r>
              <w:rPr>
                <w:sz w:val="15"/>
                <w:szCs w:val="15"/>
              </w:rPr>
              <w:t xml:space="preserve"> </w:t>
            </w:r>
            <w:r w:rsidRPr="00A53E1A">
              <w:rPr>
                <w:sz w:val="15"/>
                <w:szCs w:val="15"/>
              </w:rPr>
              <w:t>NP je stanovena z důvodu ochrany ch</w:t>
            </w:r>
            <w:r>
              <w:rPr>
                <w:sz w:val="15"/>
                <w:szCs w:val="15"/>
              </w:rPr>
              <w:t>arakteru krajiny.</w:t>
            </w:r>
          </w:p>
          <w:p w14:paraId="69532111" w14:textId="77777777" w:rsidR="00B11562" w:rsidRPr="00674302" w:rsidRDefault="00B11562" w:rsidP="003A3351">
            <w:pPr>
              <w:ind w:left="0"/>
              <w:rPr>
                <w:sz w:val="15"/>
                <w:szCs w:val="15"/>
              </w:rPr>
            </w:pPr>
            <w:r w:rsidRPr="00A53E1A">
              <w:rPr>
                <w:sz w:val="15"/>
                <w:szCs w:val="15"/>
              </w:rPr>
              <w:t xml:space="preserve">Podmínka typické střešní krajiny zástavby je stanovena z důvodu ochrany charakteru </w:t>
            </w:r>
            <w:r>
              <w:rPr>
                <w:sz w:val="15"/>
                <w:szCs w:val="15"/>
              </w:rPr>
              <w:t>krajiny.</w:t>
            </w:r>
          </w:p>
        </w:tc>
      </w:tr>
      <w:tr w:rsidR="00B11562" w:rsidRPr="00842869" w14:paraId="52632101" w14:textId="77777777" w:rsidTr="00B11562">
        <w:tc>
          <w:tcPr>
            <w:tcW w:w="682" w:type="dxa"/>
            <w:vMerge/>
          </w:tcPr>
          <w:p w14:paraId="6F02E1B8" w14:textId="77777777" w:rsidR="00B11562" w:rsidRDefault="00B11562" w:rsidP="003A3351">
            <w:pPr>
              <w:ind w:left="0"/>
              <w:rPr>
                <w:b/>
              </w:rPr>
            </w:pPr>
          </w:p>
        </w:tc>
        <w:tc>
          <w:tcPr>
            <w:tcW w:w="1254" w:type="dxa"/>
          </w:tcPr>
          <w:p w14:paraId="5C9A3C90" w14:textId="77777777" w:rsidR="00B11562" w:rsidRPr="00B960DF" w:rsidRDefault="00B11562" w:rsidP="003A3351">
            <w:pPr>
              <w:ind w:left="0"/>
              <w:rPr>
                <w:b/>
              </w:rPr>
            </w:pPr>
            <w:r>
              <w:rPr>
                <w:b/>
              </w:rPr>
              <w:t>Charakter přírodních prvků</w:t>
            </w:r>
          </w:p>
        </w:tc>
        <w:tc>
          <w:tcPr>
            <w:tcW w:w="6569" w:type="dxa"/>
          </w:tcPr>
          <w:p w14:paraId="24124FBC" w14:textId="77777777" w:rsidR="00B11562" w:rsidRDefault="00B11562" w:rsidP="003A3351">
            <w:pPr>
              <w:ind w:left="0"/>
              <w:rPr>
                <w:sz w:val="15"/>
                <w:szCs w:val="15"/>
              </w:rPr>
            </w:pPr>
            <w:r w:rsidRPr="00E6313D">
              <w:rPr>
                <w:sz w:val="15"/>
                <w:szCs w:val="15"/>
              </w:rPr>
              <w:t xml:space="preserve">Přírodní prvky </w:t>
            </w:r>
            <w:r>
              <w:rPr>
                <w:sz w:val="15"/>
                <w:szCs w:val="15"/>
              </w:rPr>
              <w:t>zastavěného území</w:t>
            </w:r>
            <w:r w:rsidRPr="00E6313D">
              <w:rPr>
                <w:sz w:val="15"/>
                <w:szCs w:val="15"/>
              </w:rPr>
              <w:t xml:space="preserve"> tvoří dřeviny, rostliny a zatravněné plochy jako součást zahrad a veřejných prostranství. Přírodní prvky </w:t>
            </w:r>
            <w:r>
              <w:rPr>
                <w:sz w:val="15"/>
                <w:szCs w:val="15"/>
              </w:rPr>
              <w:t>nezastavěného území</w:t>
            </w:r>
            <w:r w:rsidRPr="00E6313D">
              <w:rPr>
                <w:sz w:val="15"/>
                <w:szCs w:val="15"/>
              </w:rPr>
              <w:t xml:space="preserve"> tvoří</w:t>
            </w:r>
            <w:r>
              <w:rPr>
                <w:sz w:val="15"/>
                <w:szCs w:val="15"/>
              </w:rPr>
              <w:t xml:space="preserve"> zejména hospodářské smíšené lesy a místy zemědělská půda.</w:t>
            </w:r>
            <w:r w:rsidRPr="00E6313D">
              <w:rPr>
                <w:sz w:val="15"/>
                <w:szCs w:val="15"/>
              </w:rPr>
              <w:t xml:space="preserve"> </w:t>
            </w:r>
          </w:p>
          <w:p w14:paraId="6D899697" w14:textId="77777777" w:rsidR="00B11562" w:rsidRPr="00944DA7" w:rsidRDefault="00B11562" w:rsidP="003A3351">
            <w:pPr>
              <w:ind w:left="0"/>
              <w:rPr>
                <w:sz w:val="15"/>
                <w:szCs w:val="15"/>
                <w:highlight w:val="yellow"/>
              </w:rPr>
            </w:pPr>
            <w:r w:rsidRPr="00E6313D">
              <w:rPr>
                <w:sz w:val="15"/>
                <w:szCs w:val="15"/>
              </w:rPr>
              <w:t>Je doporučeno využívání místních dřevin.</w:t>
            </w:r>
            <w:r w:rsidRPr="00944DA7">
              <w:rPr>
                <w:sz w:val="15"/>
                <w:szCs w:val="15"/>
              </w:rPr>
              <w:t xml:space="preserve"> </w:t>
            </w:r>
          </w:p>
        </w:tc>
      </w:tr>
      <w:tr w:rsidR="00B11562" w:rsidRPr="00842869" w14:paraId="45C1E2BE" w14:textId="77777777" w:rsidTr="00B11562">
        <w:tc>
          <w:tcPr>
            <w:tcW w:w="682" w:type="dxa"/>
            <w:vMerge/>
          </w:tcPr>
          <w:p w14:paraId="3FF610D5" w14:textId="77777777" w:rsidR="00B11562" w:rsidRDefault="00B11562" w:rsidP="003A3351">
            <w:pPr>
              <w:ind w:left="0"/>
              <w:rPr>
                <w:b/>
              </w:rPr>
            </w:pPr>
          </w:p>
        </w:tc>
        <w:tc>
          <w:tcPr>
            <w:tcW w:w="1254" w:type="dxa"/>
          </w:tcPr>
          <w:p w14:paraId="5DF0A3AD" w14:textId="77777777" w:rsidR="00B11562" w:rsidRPr="00B960DF" w:rsidRDefault="00B11562" w:rsidP="003A3351">
            <w:pPr>
              <w:ind w:left="0"/>
              <w:rPr>
                <w:b/>
              </w:rPr>
            </w:pPr>
            <w:r>
              <w:rPr>
                <w:b/>
              </w:rPr>
              <w:t>Specifické prvky</w:t>
            </w:r>
          </w:p>
        </w:tc>
        <w:tc>
          <w:tcPr>
            <w:tcW w:w="6569" w:type="dxa"/>
          </w:tcPr>
          <w:p w14:paraId="73C41E0E" w14:textId="77777777" w:rsidR="00B11562" w:rsidRPr="00113562" w:rsidRDefault="00B11562" w:rsidP="003A3351">
            <w:pPr>
              <w:ind w:left="0"/>
              <w:rPr>
                <w:sz w:val="22"/>
                <w:szCs w:val="22"/>
              </w:rPr>
            </w:pPr>
            <w:r w:rsidRPr="00E54607">
              <w:rPr>
                <w:sz w:val="15"/>
                <w:szCs w:val="15"/>
              </w:rPr>
              <w:t>V lokalitě se nevyskytují specifické prvky.</w:t>
            </w:r>
          </w:p>
        </w:tc>
      </w:tr>
      <w:tr w:rsidR="00B11562" w:rsidRPr="00842869" w14:paraId="2F771916" w14:textId="77777777" w:rsidTr="00B11562">
        <w:tc>
          <w:tcPr>
            <w:tcW w:w="682" w:type="dxa"/>
            <w:vMerge w:val="restart"/>
            <w:textDirection w:val="btLr"/>
          </w:tcPr>
          <w:p w14:paraId="3A245CFA" w14:textId="77777777" w:rsidR="00B11562" w:rsidRDefault="00B11562" w:rsidP="003A3351">
            <w:pPr>
              <w:ind w:left="113" w:right="113"/>
              <w:jc w:val="right"/>
              <w:rPr>
                <w:b/>
              </w:rPr>
            </w:pPr>
            <w:r>
              <w:rPr>
                <w:b/>
              </w:rPr>
              <w:t>Uspořádání</w:t>
            </w:r>
          </w:p>
        </w:tc>
        <w:tc>
          <w:tcPr>
            <w:tcW w:w="1254" w:type="dxa"/>
          </w:tcPr>
          <w:p w14:paraId="200FC760" w14:textId="77777777" w:rsidR="00B11562" w:rsidRPr="003E47A7" w:rsidRDefault="00B11562" w:rsidP="003A3351">
            <w:pPr>
              <w:ind w:left="0"/>
              <w:jc w:val="left"/>
              <w:rPr>
                <w:b/>
              </w:rPr>
            </w:pPr>
            <w:r w:rsidRPr="003E47A7">
              <w:rPr>
                <w:b/>
              </w:rPr>
              <w:t>Velikost a zastavitelnost pozemků</w:t>
            </w:r>
          </w:p>
        </w:tc>
        <w:tc>
          <w:tcPr>
            <w:tcW w:w="6569" w:type="dxa"/>
          </w:tcPr>
          <w:p w14:paraId="18607E93" w14:textId="77777777" w:rsidR="00B11562" w:rsidRPr="003E47A7" w:rsidRDefault="00B11562" w:rsidP="003A3351">
            <w:pPr>
              <w:ind w:left="0"/>
              <w:rPr>
                <w:sz w:val="15"/>
                <w:szCs w:val="15"/>
              </w:rPr>
            </w:pPr>
            <w:r w:rsidRPr="003E47A7">
              <w:rPr>
                <w:sz w:val="15"/>
                <w:szCs w:val="15"/>
              </w:rPr>
              <w:t>Obvyklá míra velikosti pozemků je cca od 170 do cca 5000 m</w:t>
            </w:r>
            <w:r w:rsidRPr="003E47A7">
              <w:rPr>
                <w:sz w:val="15"/>
                <w:szCs w:val="15"/>
                <w:vertAlign w:val="superscript"/>
              </w:rPr>
              <w:t>2</w:t>
            </w:r>
            <w:r w:rsidRPr="003E47A7">
              <w:rPr>
                <w:sz w:val="15"/>
                <w:szCs w:val="15"/>
              </w:rPr>
              <w:t>, s průměrnou obvyklou velikostí kolem 260 – 380 m</w:t>
            </w:r>
            <w:r w:rsidRPr="003E47A7">
              <w:rPr>
                <w:sz w:val="15"/>
                <w:szCs w:val="15"/>
                <w:vertAlign w:val="superscript"/>
              </w:rPr>
              <w:t>2</w:t>
            </w:r>
            <w:r w:rsidRPr="003E47A7">
              <w:rPr>
                <w:sz w:val="15"/>
                <w:szCs w:val="15"/>
              </w:rPr>
              <w:t xml:space="preserve">, s průměrnou typickou zastavitelností 12-18%. </w:t>
            </w:r>
          </w:p>
          <w:p w14:paraId="48E498EE" w14:textId="77777777" w:rsidR="00B11562" w:rsidRPr="003E47A7" w:rsidRDefault="00B11562" w:rsidP="003A3351">
            <w:pPr>
              <w:ind w:left="0"/>
              <w:rPr>
                <w:sz w:val="15"/>
                <w:szCs w:val="15"/>
              </w:rPr>
            </w:pPr>
            <w:r w:rsidRPr="003E47A7">
              <w:rPr>
                <w:sz w:val="15"/>
                <w:szCs w:val="15"/>
              </w:rPr>
              <w:t>Charakter zástavby lokality udává zástavba individuálních rekreačních chat. Typickým zástupcem je chata na pozemku p.č.1081 o ZP cca 45 m</w:t>
            </w:r>
            <w:r w:rsidRPr="003E47A7">
              <w:rPr>
                <w:sz w:val="15"/>
                <w:szCs w:val="15"/>
                <w:vertAlign w:val="superscript"/>
              </w:rPr>
              <w:t>2</w:t>
            </w:r>
            <w:r w:rsidRPr="003E47A7">
              <w:rPr>
                <w:sz w:val="15"/>
                <w:szCs w:val="15"/>
              </w:rPr>
              <w:t xml:space="preserve"> HS cca 260 m</w:t>
            </w:r>
            <w:r w:rsidRPr="003E47A7">
              <w:rPr>
                <w:sz w:val="15"/>
                <w:szCs w:val="15"/>
                <w:vertAlign w:val="superscript"/>
              </w:rPr>
              <w:t>2</w:t>
            </w:r>
            <w:r w:rsidRPr="003E47A7">
              <w:rPr>
                <w:sz w:val="15"/>
                <w:szCs w:val="15"/>
              </w:rPr>
              <w:t xml:space="preserve"> (zastavitelnost cca 17%) </w:t>
            </w:r>
          </w:p>
          <w:p w14:paraId="04CBBFE7" w14:textId="42BCA42B" w:rsidR="00B11562" w:rsidRPr="003E47A7" w:rsidRDefault="00B11562" w:rsidP="003A3351">
            <w:pPr>
              <w:ind w:left="0"/>
              <w:rPr>
                <w:sz w:val="15"/>
                <w:szCs w:val="15"/>
              </w:rPr>
            </w:pPr>
            <w:r w:rsidRPr="003E47A7">
              <w:rPr>
                <w:sz w:val="15"/>
                <w:szCs w:val="15"/>
              </w:rPr>
              <w:t>Pro celou lokalitu je stanoven HS=0,1</w:t>
            </w:r>
            <w:r>
              <w:rPr>
                <w:sz w:val="15"/>
                <w:szCs w:val="15"/>
              </w:rPr>
              <w:t>5</w:t>
            </w:r>
            <w:r w:rsidRPr="003E47A7">
              <w:rPr>
                <w:sz w:val="15"/>
                <w:szCs w:val="15"/>
              </w:rPr>
              <w:t xml:space="preserve"> pro hlavní stavbu tak, aby intenzita využití území respektovala charakter území. Zastavitelnost je stanovena jako maximální pro udržení charakteru rekreační lokality. KN=0,</w:t>
            </w:r>
            <w:r w:rsidR="00EE6D81">
              <w:rPr>
                <w:sz w:val="15"/>
                <w:szCs w:val="15"/>
              </w:rPr>
              <w:t>7</w:t>
            </w:r>
            <w:r w:rsidRPr="003E47A7">
              <w:rPr>
                <w:sz w:val="15"/>
                <w:szCs w:val="15"/>
              </w:rPr>
              <w:t>0 zajišťuje plochu zahrady určenou pro vsakování a retenci v území a zároveň poskytuje dostatečný prostor pro zahrady a vedlejší objekty.</w:t>
            </w:r>
          </w:p>
          <w:p w14:paraId="178DA171" w14:textId="3EEBD20C" w:rsidR="00B11562" w:rsidRPr="003E47A7" w:rsidRDefault="00B11562" w:rsidP="003A3351">
            <w:pPr>
              <w:ind w:left="0"/>
              <w:rPr>
                <w:sz w:val="15"/>
                <w:szCs w:val="15"/>
                <w:highlight w:val="yellow"/>
              </w:rPr>
            </w:pPr>
            <w:r w:rsidRPr="003E47A7">
              <w:rPr>
                <w:sz w:val="15"/>
                <w:szCs w:val="15"/>
              </w:rPr>
              <w:t xml:space="preserve">Je </w:t>
            </w:r>
            <w:r w:rsidR="001D108F" w:rsidRPr="003E47A7">
              <w:rPr>
                <w:sz w:val="15"/>
                <w:szCs w:val="15"/>
              </w:rPr>
              <w:t>doporučen</w:t>
            </w:r>
            <w:r w:rsidR="001D108F">
              <w:rPr>
                <w:sz w:val="15"/>
                <w:szCs w:val="15"/>
              </w:rPr>
              <w:t>o řešit</w:t>
            </w:r>
            <w:r w:rsidR="001D108F" w:rsidRPr="003E47A7">
              <w:rPr>
                <w:sz w:val="15"/>
                <w:szCs w:val="15"/>
              </w:rPr>
              <w:t xml:space="preserve"> parcelac</w:t>
            </w:r>
            <w:r w:rsidR="001D108F">
              <w:rPr>
                <w:sz w:val="15"/>
                <w:szCs w:val="15"/>
              </w:rPr>
              <w:t>i</w:t>
            </w:r>
            <w:r w:rsidRPr="003E47A7">
              <w:rPr>
                <w:sz w:val="15"/>
                <w:szCs w:val="15"/>
              </w:rPr>
              <w:t xml:space="preserve"> s ohledem na terénní podmínky a umožnění rovnoměrného rozmístění pozemků.</w:t>
            </w:r>
          </w:p>
        </w:tc>
      </w:tr>
      <w:tr w:rsidR="00B11562" w:rsidRPr="00182D52" w14:paraId="343D3F26" w14:textId="77777777" w:rsidTr="00B11562">
        <w:tc>
          <w:tcPr>
            <w:tcW w:w="682" w:type="dxa"/>
            <w:vMerge/>
          </w:tcPr>
          <w:p w14:paraId="070A1AD7" w14:textId="77777777" w:rsidR="00B11562" w:rsidRDefault="00B11562" w:rsidP="003A3351">
            <w:pPr>
              <w:ind w:left="0"/>
              <w:rPr>
                <w:b/>
              </w:rPr>
            </w:pPr>
          </w:p>
        </w:tc>
        <w:tc>
          <w:tcPr>
            <w:tcW w:w="1254" w:type="dxa"/>
          </w:tcPr>
          <w:p w14:paraId="29B46646" w14:textId="77777777" w:rsidR="00B11562" w:rsidRDefault="00B11562" w:rsidP="003A3351">
            <w:pPr>
              <w:ind w:left="0"/>
              <w:rPr>
                <w:b/>
              </w:rPr>
            </w:pPr>
            <w:r>
              <w:rPr>
                <w:b/>
              </w:rPr>
              <w:t>Uspořádání prostranství</w:t>
            </w:r>
          </w:p>
        </w:tc>
        <w:tc>
          <w:tcPr>
            <w:tcW w:w="6569" w:type="dxa"/>
          </w:tcPr>
          <w:p w14:paraId="08C45FCD" w14:textId="77777777" w:rsidR="00B11562" w:rsidRDefault="00B11562" w:rsidP="003A3351">
            <w:pPr>
              <w:ind w:left="0"/>
              <w:rPr>
                <w:sz w:val="15"/>
                <w:szCs w:val="15"/>
              </w:rPr>
            </w:pPr>
            <w:r w:rsidRPr="0018028F">
              <w:rPr>
                <w:sz w:val="15"/>
                <w:szCs w:val="15"/>
              </w:rPr>
              <w:t>Veřejná prostranství tvoří</w:t>
            </w:r>
            <w:r>
              <w:rPr>
                <w:sz w:val="15"/>
                <w:szCs w:val="15"/>
              </w:rPr>
              <w:t xml:space="preserve"> obslužné komunikace pro rekreační lokality s nezpevněným travnatým lemem a účelové příjezdové komunikace, turistické a cyklistické stezky a pěší cesty v krajině.</w:t>
            </w:r>
          </w:p>
          <w:p w14:paraId="709C032D" w14:textId="77777777" w:rsidR="00B11562" w:rsidRDefault="00B11562" w:rsidP="003A3351">
            <w:pPr>
              <w:ind w:left="0"/>
              <w:rPr>
                <w:sz w:val="15"/>
                <w:szCs w:val="15"/>
              </w:rPr>
            </w:pPr>
            <w:r w:rsidRPr="0053153C">
              <w:rPr>
                <w:iCs/>
                <w:sz w:val="15"/>
                <w:szCs w:val="15"/>
              </w:rPr>
              <w:t>P</w:t>
            </w:r>
            <w:r w:rsidRPr="0018028F">
              <w:rPr>
                <w:bCs/>
                <w:iCs/>
                <w:sz w:val="15"/>
                <w:szCs w:val="15"/>
              </w:rPr>
              <w:t xml:space="preserve">odmínka </w:t>
            </w:r>
            <w:r>
              <w:rPr>
                <w:bCs/>
                <w:iCs/>
                <w:sz w:val="15"/>
                <w:szCs w:val="15"/>
              </w:rPr>
              <w:t xml:space="preserve">řešit </w:t>
            </w:r>
            <w:r w:rsidRPr="0018028F">
              <w:rPr>
                <w:sz w:val="15"/>
                <w:szCs w:val="15"/>
              </w:rPr>
              <w:t>pojízdné plochy v minimálních nutných dimenzích</w:t>
            </w:r>
            <w:r>
              <w:rPr>
                <w:sz w:val="15"/>
                <w:szCs w:val="15"/>
              </w:rPr>
              <w:t xml:space="preserve"> je stanovena </w:t>
            </w:r>
            <w:r w:rsidRPr="0018028F">
              <w:rPr>
                <w:sz w:val="15"/>
                <w:szCs w:val="15"/>
              </w:rPr>
              <w:t xml:space="preserve">z důvodu zachování </w:t>
            </w:r>
            <w:r>
              <w:rPr>
                <w:sz w:val="15"/>
                <w:szCs w:val="15"/>
              </w:rPr>
              <w:t>krajinného charakteru</w:t>
            </w:r>
            <w:r w:rsidRPr="0018028F">
              <w:rPr>
                <w:sz w:val="15"/>
                <w:szCs w:val="15"/>
              </w:rPr>
              <w:t xml:space="preserve"> prostranství a kvality obytného prostředí. </w:t>
            </w:r>
          </w:p>
          <w:p w14:paraId="2C32CF08" w14:textId="77777777" w:rsidR="00B11562" w:rsidRPr="003E47A7" w:rsidRDefault="00B11562" w:rsidP="003A3351">
            <w:pPr>
              <w:ind w:left="0"/>
              <w:rPr>
                <w:sz w:val="15"/>
                <w:szCs w:val="15"/>
              </w:rPr>
            </w:pPr>
            <w:r w:rsidRPr="00606EF5">
              <w:rPr>
                <w:bCs/>
                <w:iCs/>
                <w:sz w:val="15"/>
                <w:szCs w:val="15"/>
              </w:rPr>
              <w:t xml:space="preserve">Podmínka </w:t>
            </w:r>
            <w:r w:rsidRPr="00606EF5">
              <w:rPr>
                <w:sz w:val="15"/>
                <w:szCs w:val="15"/>
              </w:rPr>
              <w:t>pěší prostupnosti lokality, vést pěší trasy tak, aby prezentovaly morfologické a přírodní prvky a vyhlídkové body v krajině,</w:t>
            </w:r>
            <w:r>
              <w:rPr>
                <w:sz w:val="15"/>
                <w:szCs w:val="15"/>
              </w:rPr>
              <w:t xml:space="preserve"> </w:t>
            </w:r>
            <w:r w:rsidRPr="00606EF5">
              <w:rPr>
                <w:sz w:val="15"/>
                <w:szCs w:val="15"/>
              </w:rPr>
              <w:t>je stanovena z důvodu zajištění citlivého řešení a lokalizace rekreační infrastruktury v</w:t>
            </w:r>
            <w:r>
              <w:rPr>
                <w:sz w:val="15"/>
                <w:szCs w:val="15"/>
              </w:rPr>
              <w:t> </w:t>
            </w:r>
            <w:r w:rsidRPr="00606EF5">
              <w:rPr>
                <w:sz w:val="15"/>
                <w:szCs w:val="15"/>
              </w:rPr>
              <w:t>krajině (cestní sítě, pobytových míst v krajině, drobné architektury).</w:t>
            </w:r>
          </w:p>
        </w:tc>
      </w:tr>
      <w:tr w:rsidR="00B11562" w:rsidRPr="00842869" w14:paraId="44802594" w14:textId="77777777" w:rsidTr="00B11562">
        <w:tc>
          <w:tcPr>
            <w:tcW w:w="682" w:type="dxa"/>
            <w:vMerge/>
          </w:tcPr>
          <w:p w14:paraId="2CAC5518" w14:textId="77777777" w:rsidR="00B11562" w:rsidRDefault="00B11562" w:rsidP="003A3351">
            <w:pPr>
              <w:ind w:left="0"/>
              <w:rPr>
                <w:b/>
              </w:rPr>
            </w:pPr>
          </w:p>
        </w:tc>
        <w:tc>
          <w:tcPr>
            <w:tcW w:w="1254" w:type="dxa"/>
          </w:tcPr>
          <w:p w14:paraId="6A494DB6" w14:textId="77777777" w:rsidR="00B11562" w:rsidRDefault="00B11562" w:rsidP="003A3351">
            <w:pPr>
              <w:ind w:left="0"/>
              <w:rPr>
                <w:b/>
              </w:rPr>
            </w:pPr>
            <w:r>
              <w:rPr>
                <w:b/>
              </w:rPr>
              <w:t>Uspořádání zástavby</w:t>
            </w:r>
          </w:p>
        </w:tc>
        <w:tc>
          <w:tcPr>
            <w:tcW w:w="6569" w:type="dxa"/>
          </w:tcPr>
          <w:p w14:paraId="193730B6" w14:textId="77777777" w:rsidR="00B11562" w:rsidRDefault="00B11562" w:rsidP="003A3351">
            <w:pPr>
              <w:ind w:left="0"/>
              <w:rPr>
                <w:sz w:val="15"/>
                <w:szCs w:val="15"/>
              </w:rPr>
            </w:pPr>
            <w:r w:rsidRPr="0018028F">
              <w:rPr>
                <w:sz w:val="15"/>
                <w:szCs w:val="15"/>
              </w:rPr>
              <w:t>Charakter zástavby udávají</w:t>
            </w:r>
            <w:r>
              <w:rPr>
                <w:sz w:val="15"/>
                <w:szCs w:val="15"/>
              </w:rPr>
              <w:t xml:space="preserve"> rekreační chaty orientované kolem cest různé orientace střech vůči veřejným prostranstvím.</w:t>
            </w:r>
          </w:p>
          <w:p w14:paraId="755477AD" w14:textId="77777777" w:rsidR="00B11562" w:rsidRPr="005448C3" w:rsidRDefault="00B11562" w:rsidP="003A3351">
            <w:pPr>
              <w:ind w:left="0"/>
              <w:rPr>
                <w:sz w:val="15"/>
                <w:szCs w:val="15"/>
              </w:rPr>
            </w:pPr>
            <w:r w:rsidRPr="0018028F">
              <w:rPr>
                <w:sz w:val="15"/>
                <w:szCs w:val="15"/>
              </w:rPr>
              <w:t xml:space="preserve">Podmínka nepřípustnosti řadové zástavby </w:t>
            </w:r>
            <w:r>
              <w:rPr>
                <w:sz w:val="15"/>
                <w:szCs w:val="15"/>
              </w:rPr>
              <w:t>je stanovena z důvodu ochrany charakteru lokality</w:t>
            </w:r>
          </w:p>
        </w:tc>
      </w:tr>
      <w:tr w:rsidR="00B11562" w:rsidRPr="00842869" w14:paraId="26C61C2A" w14:textId="77777777" w:rsidTr="00B11562">
        <w:tc>
          <w:tcPr>
            <w:tcW w:w="682" w:type="dxa"/>
            <w:vMerge/>
          </w:tcPr>
          <w:p w14:paraId="032E70D1" w14:textId="77777777" w:rsidR="00B11562" w:rsidRDefault="00B11562" w:rsidP="003A3351">
            <w:pPr>
              <w:ind w:left="0"/>
              <w:rPr>
                <w:b/>
                <w:sz w:val="28"/>
                <w:szCs w:val="28"/>
              </w:rPr>
            </w:pPr>
          </w:p>
        </w:tc>
        <w:tc>
          <w:tcPr>
            <w:tcW w:w="1254" w:type="dxa"/>
          </w:tcPr>
          <w:p w14:paraId="27AAB16F" w14:textId="77777777" w:rsidR="00B11562" w:rsidRPr="00B960DF" w:rsidRDefault="00B11562" w:rsidP="003A3351">
            <w:pPr>
              <w:ind w:left="0"/>
              <w:rPr>
                <w:b/>
              </w:rPr>
            </w:pPr>
            <w:r>
              <w:rPr>
                <w:b/>
              </w:rPr>
              <w:t>Uspořádání přírodních prvků</w:t>
            </w:r>
          </w:p>
        </w:tc>
        <w:tc>
          <w:tcPr>
            <w:tcW w:w="6569" w:type="dxa"/>
          </w:tcPr>
          <w:p w14:paraId="5A65A8F2" w14:textId="77777777" w:rsidR="00B11562" w:rsidRPr="00944DA7" w:rsidRDefault="00B11562" w:rsidP="003A3351">
            <w:pPr>
              <w:ind w:left="0"/>
              <w:rPr>
                <w:sz w:val="15"/>
                <w:szCs w:val="15"/>
              </w:rPr>
            </w:pPr>
            <w:r>
              <w:rPr>
                <w:sz w:val="15"/>
                <w:szCs w:val="15"/>
              </w:rPr>
              <w:t xml:space="preserve">Charakter lokality udávají hospodářské smíšené lesy a přírodní park Údolí Bystřice. </w:t>
            </w:r>
            <w:r w:rsidRPr="0018028F">
              <w:rPr>
                <w:sz w:val="15"/>
                <w:szCs w:val="15"/>
              </w:rPr>
              <w:t>Skupiny dřevin a stromo</w:t>
            </w:r>
            <w:r>
              <w:rPr>
                <w:sz w:val="15"/>
                <w:szCs w:val="15"/>
              </w:rPr>
              <w:t xml:space="preserve">řadí jsou uspořádány jako remízy v blízkosti vodních toků, </w:t>
            </w:r>
            <w:r w:rsidRPr="0018028F">
              <w:rPr>
                <w:sz w:val="15"/>
                <w:szCs w:val="15"/>
              </w:rPr>
              <w:t>na terénních zlomech a v</w:t>
            </w:r>
            <w:r>
              <w:rPr>
                <w:sz w:val="15"/>
                <w:szCs w:val="15"/>
              </w:rPr>
              <w:t> </w:t>
            </w:r>
            <w:r w:rsidRPr="0018028F">
              <w:rPr>
                <w:sz w:val="15"/>
                <w:szCs w:val="15"/>
              </w:rPr>
              <w:t>zářezech</w:t>
            </w:r>
            <w:r>
              <w:rPr>
                <w:sz w:val="15"/>
                <w:szCs w:val="15"/>
              </w:rPr>
              <w:t>.</w:t>
            </w:r>
          </w:p>
          <w:p w14:paraId="090F308C" w14:textId="77777777" w:rsidR="00B11562" w:rsidRPr="00944DA7" w:rsidRDefault="00B11562" w:rsidP="003A3351">
            <w:pPr>
              <w:ind w:left="0"/>
              <w:rPr>
                <w:sz w:val="15"/>
                <w:szCs w:val="15"/>
                <w:highlight w:val="yellow"/>
              </w:rPr>
            </w:pPr>
            <w:r>
              <w:rPr>
                <w:sz w:val="15"/>
                <w:szCs w:val="15"/>
              </w:rPr>
              <w:t>P</w:t>
            </w:r>
            <w:r w:rsidRPr="001F01A6">
              <w:rPr>
                <w:sz w:val="15"/>
                <w:szCs w:val="15"/>
              </w:rPr>
              <w:t xml:space="preserve">odmínka </w:t>
            </w:r>
            <w:r w:rsidRPr="00BF022B">
              <w:rPr>
                <w:sz w:val="15"/>
                <w:szCs w:val="15"/>
              </w:rPr>
              <w:t xml:space="preserve">skupiny dřevin </w:t>
            </w:r>
            <w:r>
              <w:rPr>
                <w:sz w:val="15"/>
                <w:szCs w:val="15"/>
              </w:rPr>
              <w:t xml:space="preserve">podél vodních toků </w:t>
            </w:r>
            <w:r w:rsidRPr="00BF022B">
              <w:rPr>
                <w:sz w:val="15"/>
                <w:szCs w:val="15"/>
              </w:rPr>
              <w:t>na terénních zlomech, v</w:t>
            </w:r>
            <w:r>
              <w:rPr>
                <w:sz w:val="15"/>
                <w:szCs w:val="15"/>
              </w:rPr>
              <w:t> </w:t>
            </w:r>
            <w:r w:rsidRPr="00BF022B">
              <w:rPr>
                <w:sz w:val="15"/>
                <w:szCs w:val="15"/>
              </w:rPr>
              <w:t>terénních zářezech a v b</w:t>
            </w:r>
            <w:r>
              <w:rPr>
                <w:sz w:val="15"/>
                <w:szCs w:val="15"/>
              </w:rPr>
              <w:t>lízkosti pěších tras</w:t>
            </w:r>
            <w:r w:rsidRPr="001F01A6">
              <w:rPr>
                <w:sz w:val="15"/>
                <w:szCs w:val="15"/>
              </w:rPr>
              <w:t xml:space="preserve"> </w:t>
            </w:r>
            <w:r>
              <w:rPr>
                <w:sz w:val="15"/>
                <w:szCs w:val="15"/>
              </w:rPr>
              <w:t>je stanovena z důvodu ochrany a rozvoje</w:t>
            </w:r>
            <w:r w:rsidRPr="001F01A6">
              <w:rPr>
                <w:sz w:val="15"/>
                <w:szCs w:val="15"/>
              </w:rPr>
              <w:t xml:space="preserve"> charakteru a krajinného rázu lokality a stabilizaci vodního režimu krajiny.</w:t>
            </w:r>
            <w:r>
              <w:rPr>
                <w:sz w:val="15"/>
                <w:szCs w:val="15"/>
              </w:rPr>
              <w:t xml:space="preserve"> </w:t>
            </w:r>
            <w:r w:rsidRPr="00BF022B">
              <w:rPr>
                <w:sz w:val="15"/>
                <w:szCs w:val="15"/>
              </w:rPr>
              <w:t>Je doporučeno využívání místních dřevin.</w:t>
            </w:r>
          </w:p>
        </w:tc>
      </w:tr>
      <w:tr w:rsidR="00B11562" w:rsidRPr="009D4DBB" w14:paraId="43CF4735" w14:textId="77777777" w:rsidTr="00B11562">
        <w:trPr>
          <w:trHeight w:val="3411"/>
        </w:trPr>
        <w:tc>
          <w:tcPr>
            <w:tcW w:w="682" w:type="dxa"/>
            <w:vMerge/>
          </w:tcPr>
          <w:p w14:paraId="19333EAB" w14:textId="77777777" w:rsidR="00B11562" w:rsidRDefault="00B11562" w:rsidP="003A3351">
            <w:pPr>
              <w:ind w:left="0"/>
              <w:rPr>
                <w:b/>
                <w:sz w:val="28"/>
                <w:szCs w:val="28"/>
              </w:rPr>
            </w:pPr>
          </w:p>
        </w:tc>
        <w:tc>
          <w:tcPr>
            <w:tcW w:w="1254" w:type="dxa"/>
          </w:tcPr>
          <w:p w14:paraId="5DF7DD91" w14:textId="77777777" w:rsidR="00B11562" w:rsidRPr="00B960DF" w:rsidRDefault="00B11562" w:rsidP="003A3351">
            <w:pPr>
              <w:ind w:left="0"/>
              <w:rPr>
                <w:b/>
              </w:rPr>
            </w:pPr>
            <w:r>
              <w:rPr>
                <w:b/>
              </w:rPr>
              <w:t>Specifické uspořádání</w:t>
            </w:r>
          </w:p>
        </w:tc>
        <w:tc>
          <w:tcPr>
            <w:tcW w:w="6569" w:type="dxa"/>
          </w:tcPr>
          <w:p w14:paraId="08FBED67" w14:textId="77777777" w:rsidR="00B11562" w:rsidRPr="00944DA7" w:rsidRDefault="00B11562" w:rsidP="003A3351">
            <w:pPr>
              <w:ind w:left="0"/>
              <w:rPr>
                <w:sz w:val="15"/>
                <w:szCs w:val="15"/>
              </w:rPr>
            </w:pPr>
            <w:r>
              <w:rPr>
                <w:sz w:val="15"/>
                <w:szCs w:val="15"/>
              </w:rPr>
              <w:t>-</w:t>
            </w:r>
          </w:p>
        </w:tc>
      </w:tr>
    </w:tbl>
    <w:p w14:paraId="222029ED" w14:textId="15233B8D" w:rsidR="005F3739" w:rsidRPr="00B11562" w:rsidRDefault="005F3739" w:rsidP="00B11562">
      <w:pPr>
        <w:spacing w:before="0" w:after="0"/>
        <w:ind w:left="0"/>
        <w:jc w:val="left"/>
        <w:rPr>
          <w:b/>
          <w:sz w:val="15"/>
          <w:szCs w:val="15"/>
        </w:rPr>
      </w:pPr>
      <w:r w:rsidRPr="00B11562">
        <w:rPr>
          <w:b/>
          <w:sz w:val="15"/>
          <w:szCs w:val="15"/>
        </w:rPr>
        <w:br w:type="page"/>
      </w:r>
    </w:p>
    <w:tbl>
      <w:tblPr>
        <w:tblStyle w:val="Motivtabulky"/>
        <w:tblW w:w="8505" w:type="dxa"/>
        <w:tblBorders>
          <w:top w:val="dashSmallGap" w:sz="4" w:space="0" w:color="auto"/>
          <w:bottom w:val="dashSmallGap" w:sz="4" w:space="0" w:color="auto"/>
          <w:insideH w:val="dashSmallGap" w:sz="4" w:space="0" w:color="auto"/>
        </w:tblBorders>
        <w:tblLook w:val="04A0" w:firstRow="1" w:lastRow="0" w:firstColumn="1" w:lastColumn="0" w:noHBand="0" w:noVBand="1"/>
      </w:tblPr>
      <w:tblGrid>
        <w:gridCol w:w="682"/>
        <w:gridCol w:w="1254"/>
        <w:gridCol w:w="6569"/>
      </w:tblGrid>
      <w:tr w:rsidR="005F3739" w14:paraId="64C85B2C" w14:textId="77777777" w:rsidTr="00B11562">
        <w:tc>
          <w:tcPr>
            <w:tcW w:w="1936" w:type="dxa"/>
            <w:gridSpan w:val="2"/>
          </w:tcPr>
          <w:p w14:paraId="0FBD92ED" w14:textId="12111EE7" w:rsidR="005F3739" w:rsidRPr="00944DA7" w:rsidRDefault="005F3739" w:rsidP="003A3351">
            <w:pPr>
              <w:ind w:left="0"/>
              <w:rPr>
                <w:b/>
                <w:sz w:val="24"/>
              </w:rPr>
            </w:pPr>
            <w:r>
              <w:rPr>
                <w:b/>
                <w:sz w:val="24"/>
              </w:rPr>
              <w:lastRenderedPageBreak/>
              <w:t>L.</w:t>
            </w:r>
            <w:r w:rsidR="008E092A">
              <w:rPr>
                <w:b/>
                <w:sz w:val="24"/>
              </w:rPr>
              <w:t>22</w:t>
            </w:r>
          </w:p>
        </w:tc>
        <w:tc>
          <w:tcPr>
            <w:tcW w:w="6569" w:type="dxa"/>
            <w:vAlign w:val="bottom"/>
          </w:tcPr>
          <w:p w14:paraId="76BA5128" w14:textId="77777777" w:rsidR="005F3739" w:rsidRPr="00944DA7" w:rsidRDefault="005F3739" w:rsidP="003A3351">
            <w:pPr>
              <w:ind w:left="0"/>
              <w:rPr>
                <w:b/>
                <w:sz w:val="28"/>
                <w:szCs w:val="28"/>
              </w:rPr>
            </w:pPr>
            <w:r>
              <w:rPr>
                <w:b/>
                <w:sz w:val="24"/>
              </w:rPr>
              <w:t>Údolí Pstružníku</w:t>
            </w:r>
          </w:p>
        </w:tc>
      </w:tr>
      <w:tr w:rsidR="005F3739" w14:paraId="493B4563" w14:textId="77777777" w:rsidTr="00B11562">
        <w:tc>
          <w:tcPr>
            <w:tcW w:w="8505" w:type="dxa"/>
            <w:gridSpan w:val="3"/>
          </w:tcPr>
          <w:p w14:paraId="755E99B2" w14:textId="77777777" w:rsidR="005F3739" w:rsidRDefault="005F3739" w:rsidP="003A3351">
            <w:pPr>
              <w:ind w:left="0"/>
            </w:pPr>
            <w:r>
              <w:t>Rekreačně využívané zalesněné svahy údolí Pstružníku a vrcholu Jedlina.</w:t>
            </w:r>
          </w:p>
        </w:tc>
      </w:tr>
      <w:tr w:rsidR="005F3739" w14:paraId="39548240" w14:textId="77777777" w:rsidTr="00B11562">
        <w:tc>
          <w:tcPr>
            <w:tcW w:w="1936" w:type="dxa"/>
            <w:gridSpan w:val="2"/>
          </w:tcPr>
          <w:p w14:paraId="01E1CD65" w14:textId="77777777" w:rsidR="005F3739" w:rsidRDefault="005F3739" w:rsidP="003A3351">
            <w:pPr>
              <w:ind w:left="0"/>
              <w:rPr>
                <w:b/>
                <w:sz w:val="28"/>
                <w:szCs w:val="28"/>
              </w:rPr>
            </w:pPr>
            <w:r w:rsidRPr="00CB1ACC">
              <w:rPr>
                <w:b/>
              </w:rPr>
              <w:t>Vymezení</w:t>
            </w:r>
          </w:p>
        </w:tc>
        <w:tc>
          <w:tcPr>
            <w:tcW w:w="6569" w:type="dxa"/>
          </w:tcPr>
          <w:p w14:paraId="4E915AC8" w14:textId="77777777" w:rsidR="005F3739" w:rsidRPr="00944DA7" w:rsidRDefault="005F3739" w:rsidP="003A3351">
            <w:pPr>
              <w:ind w:left="0"/>
              <w:rPr>
                <w:sz w:val="15"/>
                <w:szCs w:val="15"/>
                <w:highlight w:val="yellow"/>
              </w:rPr>
            </w:pPr>
            <w:r w:rsidRPr="00944DA7">
              <w:rPr>
                <w:sz w:val="15"/>
                <w:szCs w:val="15"/>
              </w:rPr>
              <w:t xml:space="preserve">Lokalita je </w:t>
            </w:r>
            <w:r>
              <w:rPr>
                <w:sz w:val="15"/>
                <w:szCs w:val="15"/>
              </w:rPr>
              <w:t>součástí přírodního parku Údolí Bystřice, rozprostírá se na svazích vrcholu Jedlina.</w:t>
            </w:r>
          </w:p>
        </w:tc>
      </w:tr>
      <w:tr w:rsidR="005F3739" w:rsidRPr="00842869" w14:paraId="54B4444D" w14:textId="77777777" w:rsidTr="00B11562">
        <w:tc>
          <w:tcPr>
            <w:tcW w:w="682" w:type="dxa"/>
            <w:vMerge w:val="restart"/>
            <w:textDirection w:val="btLr"/>
          </w:tcPr>
          <w:p w14:paraId="7A15A8B0" w14:textId="77777777" w:rsidR="005F3739" w:rsidRPr="00B960DF" w:rsidRDefault="005F3739" w:rsidP="003A3351">
            <w:pPr>
              <w:ind w:left="113" w:right="113"/>
              <w:jc w:val="right"/>
              <w:rPr>
                <w:b/>
              </w:rPr>
            </w:pPr>
            <w:r>
              <w:rPr>
                <w:b/>
              </w:rPr>
              <w:t>Prvky</w:t>
            </w:r>
          </w:p>
        </w:tc>
        <w:tc>
          <w:tcPr>
            <w:tcW w:w="1254" w:type="dxa"/>
          </w:tcPr>
          <w:p w14:paraId="2BF5672B" w14:textId="77777777" w:rsidR="005F3739" w:rsidRPr="00B960DF" w:rsidRDefault="005F3739" w:rsidP="003A3351">
            <w:pPr>
              <w:ind w:left="0"/>
              <w:rPr>
                <w:b/>
              </w:rPr>
            </w:pPr>
            <w:r w:rsidRPr="00B960DF">
              <w:rPr>
                <w:b/>
              </w:rPr>
              <w:t>Plošné řešení zástavby</w:t>
            </w:r>
          </w:p>
        </w:tc>
        <w:tc>
          <w:tcPr>
            <w:tcW w:w="6569" w:type="dxa"/>
          </w:tcPr>
          <w:p w14:paraId="0083A096" w14:textId="77777777" w:rsidR="005F3739" w:rsidRPr="00944DA7" w:rsidRDefault="005F3739" w:rsidP="003A3351">
            <w:pPr>
              <w:ind w:left="0"/>
              <w:rPr>
                <w:sz w:val="15"/>
                <w:szCs w:val="15"/>
              </w:rPr>
            </w:pPr>
            <w:r>
              <w:rPr>
                <w:sz w:val="15"/>
                <w:szCs w:val="15"/>
              </w:rPr>
              <w:t>V lokalitě se nevyskytuje zástavba.</w:t>
            </w:r>
          </w:p>
        </w:tc>
      </w:tr>
      <w:tr w:rsidR="005F3739" w:rsidRPr="004B4D78" w14:paraId="5EEF80D6" w14:textId="77777777" w:rsidTr="00B11562">
        <w:tc>
          <w:tcPr>
            <w:tcW w:w="682" w:type="dxa"/>
            <w:vMerge/>
          </w:tcPr>
          <w:p w14:paraId="22AD2574" w14:textId="77777777" w:rsidR="005F3739" w:rsidRDefault="005F3739" w:rsidP="003A3351">
            <w:pPr>
              <w:ind w:left="0"/>
              <w:rPr>
                <w:b/>
              </w:rPr>
            </w:pPr>
          </w:p>
        </w:tc>
        <w:tc>
          <w:tcPr>
            <w:tcW w:w="1254" w:type="dxa"/>
          </w:tcPr>
          <w:p w14:paraId="67828C29" w14:textId="77777777" w:rsidR="005F3739" w:rsidRPr="00B960DF" w:rsidRDefault="005F3739" w:rsidP="003A3351">
            <w:pPr>
              <w:ind w:left="0"/>
              <w:rPr>
                <w:b/>
              </w:rPr>
            </w:pPr>
            <w:r w:rsidRPr="00B960DF">
              <w:rPr>
                <w:b/>
              </w:rPr>
              <w:t>Výškové řešení zástavby</w:t>
            </w:r>
          </w:p>
        </w:tc>
        <w:tc>
          <w:tcPr>
            <w:tcW w:w="6569" w:type="dxa"/>
          </w:tcPr>
          <w:p w14:paraId="1647E381" w14:textId="77777777" w:rsidR="005F3739" w:rsidRPr="00674302" w:rsidRDefault="005F3739" w:rsidP="003A3351">
            <w:pPr>
              <w:ind w:left="0"/>
              <w:rPr>
                <w:sz w:val="15"/>
                <w:szCs w:val="15"/>
              </w:rPr>
            </w:pPr>
            <w:r>
              <w:rPr>
                <w:sz w:val="15"/>
                <w:szCs w:val="15"/>
              </w:rPr>
              <w:t>V lokalitě se nevyskytuje zástavba.</w:t>
            </w:r>
          </w:p>
        </w:tc>
      </w:tr>
      <w:tr w:rsidR="005F3739" w:rsidRPr="00842869" w14:paraId="6EB80DAD" w14:textId="77777777" w:rsidTr="00B11562">
        <w:tc>
          <w:tcPr>
            <w:tcW w:w="682" w:type="dxa"/>
            <w:vMerge/>
          </w:tcPr>
          <w:p w14:paraId="252E7BB1" w14:textId="77777777" w:rsidR="005F3739" w:rsidRDefault="005F3739" w:rsidP="003A3351">
            <w:pPr>
              <w:ind w:left="0"/>
              <w:rPr>
                <w:b/>
              </w:rPr>
            </w:pPr>
          </w:p>
        </w:tc>
        <w:tc>
          <w:tcPr>
            <w:tcW w:w="1254" w:type="dxa"/>
          </w:tcPr>
          <w:p w14:paraId="034C0900" w14:textId="77777777" w:rsidR="005F3739" w:rsidRPr="00B960DF" w:rsidRDefault="005F3739" w:rsidP="003A3351">
            <w:pPr>
              <w:ind w:left="0"/>
              <w:rPr>
                <w:b/>
              </w:rPr>
            </w:pPr>
            <w:r>
              <w:rPr>
                <w:b/>
              </w:rPr>
              <w:t>Charakter přírodních prvků</w:t>
            </w:r>
          </w:p>
        </w:tc>
        <w:tc>
          <w:tcPr>
            <w:tcW w:w="6569" w:type="dxa"/>
          </w:tcPr>
          <w:p w14:paraId="1701F45C" w14:textId="77777777" w:rsidR="005F3739" w:rsidRDefault="005F3739" w:rsidP="003A3351">
            <w:pPr>
              <w:ind w:left="0"/>
              <w:rPr>
                <w:sz w:val="15"/>
                <w:szCs w:val="15"/>
              </w:rPr>
            </w:pPr>
            <w:r w:rsidRPr="00E6313D">
              <w:rPr>
                <w:sz w:val="15"/>
                <w:szCs w:val="15"/>
              </w:rPr>
              <w:t xml:space="preserve">Přírodní prvky </w:t>
            </w:r>
            <w:r>
              <w:rPr>
                <w:sz w:val="15"/>
                <w:szCs w:val="15"/>
              </w:rPr>
              <w:t>nezastavěného území</w:t>
            </w:r>
            <w:r w:rsidRPr="00E6313D">
              <w:rPr>
                <w:sz w:val="15"/>
                <w:szCs w:val="15"/>
              </w:rPr>
              <w:t xml:space="preserve"> tvoří</w:t>
            </w:r>
            <w:r>
              <w:rPr>
                <w:sz w:val="15"/>
                <w:szCs w:val="15"/>
              </w:rPr>
              <w:t xml:space="preserve"> zejména hospodářské smíšené lesy.</w:t>
            </w:r>
          </w:p>
          <w:p w14:paraId="4108191C" w14:textId="77777777" w:rsidR="005F3739" w:rsidRPr="00944DA7" w:rsidRDefault="005F3739" w:rsidP="003A3351">
            <w:pPr>
              <w:ind w:left="0"/>
              <w:rPr>
                <w:sz w:val="15"/>
                <w:szCs w:val="15"/>
                <w:highlight w:val="yellow"/>
              </w:rPr>
            </w:pPr>
            <w:r w:rsidRPr="00E6313D">
              <w:rPr>
                <w:sz w:val="15"/>
                <w:szCs w:val="15"/>
              </w:rPr>
              <w:t>Je doporučeno využívání místních dřevin.</w:t>
            </w:r>
            <w:r w:rsidRPr="00944DA7">
              <w:rPr>
                <w:sz w:val="15"/>
                <w:szCs w:val="15"/>
              </w:rPr>
              <w:t xml:space="preserve"> </w:t>
            </w:r>
          </w:p>
        </w:tc>
      </w:tr>
      <w:tr w:rsidR="005F3739" w:rsidRPr="00842869" w14:paraId="55B669F2" w14:textId="77777777" w:rsidTr="00B11562">
        <w:tc>
          <w:tcPr>
            <w:tcW w:w="682" w:type="dxa"/>
            <w:vMerge/>
          </w:tcPr>
          <w:p w14:paraId="25F1A321" w14:textId="77777777" w:rsidR="005F3739" w:rsidRDefault="005F3739" w:rsidP="003A3351">
            <w:pPr>
              <w:ind w:left="0"/>
              <w:rPr>
                <w:b/>
              </w:rPr>
            </w:pPr>
          </w:p>
        </w:tc>
        <w:tc>
          <w:tcPr>
            <w:tcW w:w="1254" w:type="dxa"/>
          </w:tcPr>
          <w:p w14:paraId="420BF770" w14:textId="77777777" w:rsidR="005F3739" w:rsidRPr="00B960DF" w:rsidRDefault="005F3739" w:rsidP="003A3351">
            <w:pPr>
              <w:ind w:left="0"/>
              <w:rPr>
                <w:b/>
              </w:rPr>
            </w:pPr>
            <w:r>
              <w:rPr>
                <w:b/>
              </w:rPr>
              <w:t>Specifické prvky</w:t>
            </w:r>
          </w:p>
        </w:tc>
        <w:tc>
          <w:tcPr>
            <w:tcW w:w="6569" w:type="dxa"/>
          </w:tcPr>
          <w:p w14:paraId="60206458" w14:textId="77777777" w:rsidR="005F3739" w:rsidRPr="00113562" w:rsidRDefault="005F3739" w:rsidP="003A3351">
            <w:pPr>
              <w:ind w:left="0"/>
              <w:rPr>
                <w:sz w:val="22"/>
                <w:szCs w:val="22"/>
              </w:rPr>
            </w:pPr>
            <w:r w:rsidRPr="00E54607">
              <w:rPr>
                <w:sz w:val="15"/>
                <w:szCs w:val="15"/>
              </w:rPr>
              <w:t>V lokalitě se nevyskytují specifické prvky.</w:t>
            </w:r>
          </w:p>
        </w:tc>
      </w:tr>
      <w:tr w:rsidR="005F3739" w:rsidRPr="00842869" w14:paraId="351D7779" w14:textId="77777777" w:rsidTr="00B11562">
        <w:tc>
          <w:tcPr>
            <w:tcW w:w="682" w:type="dxa"/>
            <w:vMerge w:val="restart"/>
            <w:textDirection w:val="btLr"/>
          </w:tcPr>
          <w:p w14:paraId="520B4AEB" w14:textId="77777777" w:rsidR="005F3739" w:rsidRDefault="005F3739" w:rsidP="003A3351">
            <w:pPr>
              <w:ind w:left="113" w:right="113"/>
              <w:jc w:val="right"/>
              <w:rPr>
                <w:b/>
              </w:rPr>
            </w:pPr>
            <w:r>
              <w:rPr>
                <w:b/>
              </w:rPr>
              <w:t>Uspořádání</w:t>
            </w:r>
          </w:p>
        </w:tc>
        <w:tc>
          <w:tcPr>
            <w:tcW w:w="1254" w:type="dxa"/>
          </w:tcPr>
          <w:p w14:paraId="164609B1" w14:textId="77777777" w:rsidR="005F3739" w:rsidRPr="003E47A7" w:rsidRDefault="005F3739" w:rsidP="003A3351">
            <w:pPr>
              <w:ind w:left="0"/>
              <w:jc w:val="left"/>
              <w:rPr>
                <w:b/>
              </w:rPr>
            </w:pPr>
            <w:r w:rsidRPr="003E47A7">
              <w:rPr>
                <w:b/>
              </w:rPr>
              <w:t>Velikost a zastavitelnost pozemků</w:t>
            </w:r>
          </w:p>
        </w:tc>
        <w:tc>
          <w:tcPr>
            <w:tcW w:w="6569" w:type="dxa"/>
          </w:tcPr>
          <w:p w14:paraId="17EE897E" w14:textId="77777777" w:rsidR="005F3739" w:rsidRPr="003E47A7" w:rsidRDefault="005F3739" w:rsidP="003A3351">
            <w:pPr>
              <w:ind w:left="0"/>
              <w:rPr>
                <w:sz w:val="15"/>
                <w:szCs w:val="15"/>
                <w:highlight w:val="yellow"/>
              </w:rPr>
            </w:pPr>
            <w:r>
              <w:rPr>
                <w:sz w:val="15"/>
                <w:szCs w:val="15"/>
              </w:rPr>
              <w:t>V lokalitě se nevyskytuje zástavba.</w:t>
            </w:r>
          </w:p>
        </w:tc>
      </w:tr>
      <w:tr w:rsidR="005F3739" w:rsidRPr="00182D52" w14:paraId="19E194BD" w14:textId="77777777" w:rsidTr="00B11562">
        <w:tc>
          <w:tcPr>
            <w:tcW w:w="682" w:type="dxa"/>
            <w:vMerge/>
          </w:tcPr>
          <w:p w14:paraId="467D287C" w14:textId="77777777" w:rsidR="005F3739" w:rsidRDefault="005F3739" w:rsidP="003A3351">
            <w:pPr>
              <w:ind w:left="0"/>
              <w:rPr>
                <w:b/>
              </w:rPr>
            </w:pPr>
          </w:p>
        </w:tc>
        <w:tc>
          <w:tcPr>
            <w:tcW w:w="1254" w:type="dxa"/>
          </w:tcPr>
          <w:p w14:paraId="4A86FA7B" w14:textId="77777777" w:rsidR="005F3739" w:rsidRDefault="005F3739" w:rsidP="003A3351">
            <w:pPr>
              <w:ind w:left="0"/>
              <w:rPr>
                <w:b/>
              </w:rPr>
            </w:pPr>
            <w:r>
              <w:rPr>
                <w:b/>
              </w:rPr>
              <w:t>Uspořádání prostranství</w:t>
            </w:r>
          </w:p>
        </w:tc>
        <w:tc>
          <w:tcPr>
            <w:tcW w:w="6569" w:type="dxa"/>
          </w:tcPr>
          <w:p w14:paraId="37442DEE" w14:textId="77777777" w:rsidR="005F3739" w:rsidRDefault="005F3739" w:rsidP="003A3351">
            <w:pPr>
              <w:ind w:left="0"/>
              <w:rPr>
                <w:sz w:val="15"/>
                <w:szCs w:val="15"/>
              </w:rPr>
            </w:pPr>
            <w:r w:rsidRPr="0018028F">
              <w:rPr>
                <w:sz w:val="15"/>
                <w:szCs w:val="15"/>
              </w:rPr>
              <w:t>Veřejná prostranství tvoří</w:t>
            </w:r>
            <w:r>
              <w:rPr>
                <w:sz w:val="15"/>
                <w:szCs w:val="15"/>
              </w:rPr>
              <w:t xml:space="preserve"> obslužné komunikace pro správu lesů, turistické a cyklistické stezky a pěší cesty v krajině.</w:t>
            </w:r>
          </w:p>
          <w:p w14:paraId="4DA2D6DB" w14:textId="77777777" w:rsidR="005F3739" w:rsidRDefault="005F3739" w:rsidP="003A3351">
            <w:pPr>
              <w:ind w:left="0"/>
              <w:rPr>
                <w:sz w:val="15"/>
                <w:szCs w:val="15"/>
              </w:rPr>
            </w:pPr>
            <w:r w:rsidRPr="0053153C">
              <w:rPr>
                <w:iCs/>
                <w:sz w:val="15"/>
                <w:szCs w:val="15"/>
              </w:rPr>
              <w:t>P</w:t>
            </w:r>
            <w:r w:rsidRPr="0018028F">
              <w:rPr>
                <w:bCs/>
                <w:iCs/>
                <w:sz w:val="15"/>
                <w:szCs w:val="15"/>
              </w:rPr>
              <w:t xml:space="preserve">odmínka </w:t>
            </w:r>
            <w:r>
              <w:rPr>
                <w:bCs/>
                <w:iCs/>
                <w:sz w:val="15"/>
                <w:szCs w:val="15"/>
              </w:rPr>
              <w:t xml:space="preserve">řešit </w:t>
            </w:r>
            <w:r w:rsidRPr="0018028F">
              <w:rPr>
                <w:sz w:val="15"/>
                <w:szCs w:val="15"/>
              </w:rPr>
              <w:t>pojízdné plochy v minimálních nutných dimenzích</w:t>
            </w:r>
            <w:r>
              <w:rPr>
                <w:sz w:val="15"/>
                <w:szCs w:val="15"/>
              </w:rPr>
              <w:t xml:space="preserve"> je stanovena </w:t>
            </w:r>
            <w:r w:rsidRPr="0018028F">
              <w:rPr>
                <w:sz w:val="15"/>
                <w:szCs w:val="15"/>
              </w:rPr>
              <w:t xml:space="preserve">z důvodu zachování </w:t>
            </w:r>
            <w:r>
              <w:rPr>
                <w:sz w:val="15"/>
                <w:szCs w:val="15"/>
              </w:rPr>
              <w:t>krajinného charakteru</w:t>
            </w:r>
            <w:r w:rsidRPr="0018028F">
              <w:rPr>
                <w:sz w:val="15"/>
                <w:szCs w:val="15"/>
              </w:rPr>
              <w:t xml:space="preserve"> prostranství a </w:t>
            </w:r>
            <w:r>
              <w:rPr>
                <w:sz w:val="15"/>
                <w:szCs w:val="15"/>
              </w:rPr>
              <w:t>ochrany přírody.</w:t>
            </w:r>
            <w:r w:rsidRPr="0018028F">
              <w:rPr>
                <w:sz w:val="15"/>
                <w:szCs w:val="15"/>
              </w:rPr>
              <w:t xml:space="preserve"> </w:t>
            </w:r>
          </w:p>
          <w:p w14:paraId="7B196FC3" w14:textId="77777777" w:rsidR="005F3739" w:rsidRPr="003E47A7" w:rsidRDefault="005F3739" w:rsidP="003A3351">
            <w:pPr>
              <w:ind w:left="0"/>
              <w:rPr>
                <w:sz w:val="15"/>
                <w:szCs w:val="15"/>
              </w:rPr>
            </w:pPr>
            <w:r w:rsidRPr="00606EF5">
              <w:rPr>
                <w:bCs/>
                <w:iCs/>
                <w:sz w:val="15"/>
                <w:szCs w:val="15"/>
              </w:rPr>
              <w:t xml:space="preserve">Podmínka </w:t>
            </w:r>
            <w:r w:rsidRPr="00606EF5">
              <w:rPr>
                <w:sz w:val="15"/>
                <w:szCs w:val="15"/>
              </w:rPr>
              <w:t>pěší prostupnosti lokality, vést pěší trasy tak, aby prezentovaly morfologické a přírodní prvky a vyhlídkové body v krajině,</w:t>
            </w:r>
            <w:r>
              <w:rPr>
                <w:sz w:val="15"/>
                <w:szCs w:val="15"/>
              </w:rPr>
              <w:t xml:space="preserve"> </w:t>
            </w:r>
            <w:r w:rsidRPr="00606EF5">
              <w:rPr>
                <w:sz w:val="15"/>
                <w:szCs w:val="15"/>
              </w:rPr>
              <w:t>je stanovena z důvodu zajištění citlivého řešení a lokalizace rekreační infrastruktury v</w:t>
            </w:r>
            <w:r>
              <w:rPr>
                <w:sz w:val="15"/>
                <w:szCs w:val="15"/>
              </w:rPr>
              <w:t> </w:t>
            </w:r>
            <w:r w:rsidRPr="00606EF5">
              <w:rPr>
                <w:sz w:val="15"/>
                <w:szCs w:val="15"/>
              </w:rPr>
              <w:t>krajině (cestní sítě, pobytových míst v krajině, drobné architektury).</w:t>
            </w:r>
          </w:p>
        </w:tc>
      </w:tr>
      <w:tr w:rsidR="005F3739" w:rsidRPr="00842869" w14:paraId="13E3B76E" w14:textId="77777777" w:rsidTr="00B11562">
        <w:tc>
          <w:tcPr>
            <w:tcW w:w="682" w:type="dxa"/>
            <w:vMerge/>
          </w:tcPr>
          <w:p w14:paraId="7E13C4BD" w14:textId="77777777" w:rsidR="005F3739" w:rsidRDefault="005F3739" w:rsidP="003A3351">
            <w:pPr>
              <w:ind w:left="0"/>
              <w:rPr>
                <w:b/>
              </w:rPr>
            </w:pPr>
          </w:p>
        </w:tc>
        <w:tc>
          <w:tcPr>
            <w:tcW w:w="1254" w:type="dxa"/>
          </w:tcPr>
          <w:p w14:paraId="576F7BB2" w14:textId="77777777" w:rsidR="005F3739" w:rsidRDefault="005F3739" w:rsidP="003A3351">
            <w:pPr>
              <w:ind w:left="0"/>
              <w:rPr>
                <w:b/>
              </w:rPr>
            </w:pPr>
            <w:r>
              <w:rPr>
                <w:b/>
              </w:rPr>
              <w:t>Uspořádání zástavby</w:t>
            </w:r>
          </w:p>
        </w:tc>
        <w:tc>
          <w:tcPr>
            <w:tcW w:w="6569" w:type="dxa"/>
          </w:tcPr>
          <w:p w14:paraId="6AE95160" w14:textId="77777777" w:rsidR="005F3739" w:rsidRPr="005448C3" w:rsidRDefault="005F3739" w:rsidP="003A3351">
            <w:pPr>
              <w:ind w:left="0"/>
              <w:rPr>
                <w:sz w:val="15"/>
                <w:szCs w:val="15"/>
              </w:rPr>
            </w:pPr>
            <w:r>
              <w:rPr>
                <w:sz w:val="15"/>
                <w:szCs w:val="15"/>
              </w:rPr>
              <w:t>V lokalitě se nevyskytuje zástavba.</w:t>
            </w:r>
          </w:p>
        </w:tc>
      </w:tr>
      <w:tr w:rsidR="005F3739" w:rsidRPr="00842869" w14:paraId="177FFA0B" w14:textId="77777777" w:rsidTr="00B11562">
        <w:tc>
          <w:tcPr>
            <w:tcW w:w="682" w:type="dxa"/>
            <w:vMerge/>
          </w:tcPr>
          <w:p w14:paraId="2200ABA3" w14:textId="77777777" w:rsidR="005F3739" w:rsidRDefault="005F3739" w:rsidP="003A3351">
            <w:pPr>
              <w:ind w:left="0"/>
              <w:rPr>
                <w:b/>
                <w:sz w:val="28"/>
                <w:szCs w:val="28"/>
              </w:rPr>
            </w:pPr>
          </w:p>
        </w:tc>
        <w:tc>
          <w:tcPr>
            <w:tcW w:w="1254" w:type="dxa"/>
          </w:tcPr>
          <w:p w14:paraId="0EC55A4B" w14:textId="77777777" w:rsidR="005F3739" w:rsidRPr="00B960DF" w:rsidRDefault="005F3739" w:rsidP="003A3351">
            <w:pPr>
              <w:ind w:left="0"/>
              <w:rPr>
                <w:b/>
              </w:rPr>
            </w:pPr>
            <w:r>
              <w:rPr>
                <w:b/>
              </w:rPr>
              <w:t>Uspořádání přírodních prvků</w:t>
            </w:r>
          </w:p>
        </w:tc>
        <w:tc>
          <w:tcPr>
            <w:tcW w:w="6569" w:type="dxa"/>
          </w:tcPr>
          <w:p w14:paraId="4425AD10" w14:textId="77777777" w:rsidR="005F3739" w:rsidRPr="00944DA7" w:rsidRDefault="005F3739" w:rsidP="003A3351">
            <w:pPr>
              <w:ind w:left="0"/>
              <w:rPr>
                <w:sz w:val="15"/>
                <w:szCs w:val="15"/>
              </w:rPr>
            </w:pPr>
            <w:r>
              <w:rPr>
                <w:sz w:val="15"/>
                <w:szCs w:val="15"/>
              </w:rPr>
              <w:t xml:space="preserve">Charakter lokality udávají hospodářské smíšené lesy a přírodní park Údolí Bystřice. </w:t>
            </w:r>
            <w:r w:rsidRPr="0018028F">
              <w:rPr>
                <w:sz w:val="15"/>
                <w:szCs w:val="15"/>
              </w:rPr>
              <w:t>Skupiny dřevin a stromo</w:t>
            </w:r>
            <w:r>
              <w:rPr>
                <w:sz w:val="15"/>
                <w:szCs w:val="15"/>
              </w:rPr>
              <w:t xml:space="preserve">řadí jsou uspořádány jako remízy v blízkosti vodních toků, </w:t>
            </w:r>
            <w:r w:rsidRPr="0018028F">
              <w:rPr>
                <w:sz w:val="15"/>
                <w:szCs w:val="15"/>
              </w:rPr>
              <w:t>na terénních zlomech a v</w:t>
            </w:r>
            <w:r>
              <w:rPr>
                <w:sz w:val="15"/>
                <w:szCs w:val="15"/>
              </w:rPr>
              <w:t> </w:t>
            </w:r>
            <w:r w:rsidRPr="0018028F">
              <w:rPr>
                <w:sz w:val="15"/>
                <w:szCs w:val="15"/>
              </w:rPr>
              <w:t>zářezech</w:t>
            </w:r>
            <w:r>
              <w:rPr>
                <w:sz w:val="15"/>
                <w:szCs w:val="15"/>
              </w:rPr>
              <w:t>.</w:t>
            </w:r>
          </w:p>
          <w:p w14:paraId="746D1307" w14:textId="77777777" w:rsidR="005F3739" w:rsidRPr="00944DA7" w:rsidRDefault="005F3739" w:rsidP="003A3351">
            <w:pPr>
              <w:ind w:left="0"/>
              <w:rPr>
                <w:sz w:val="15"/>
                <w:szCs w:val="15"/>
                <w:highlight w:val="yellow"/>
              </w:rPr>
            </w:pPr>
            <w:r>
              <w:rPr>
                <w:sz w:val="15"/>
                <w:szCs w:val="15"/>
              </w:rPr>
              <w:t>P</w:t>
            </w:r>
            <w:r w:rsidRPr="001F01A6">
              <w:rPr>
                <w:sz w:val="15"/>
                <w:szCs w:val="15"/>
              </w:rPr>
              <w:t xml:space="preserve">odmínka </w:t>
            </w:r>
            <w:r w:rsidRPr="00BF022B">
              <w:rPr>
                <w:sz w:val="15"/>
                <w:szCs w:val="15"/>
              </w:rPr>
              <w:t xml:space="preserve">skupiny dřevin </w:t>
            </w:r>
            <w:r>
              <w:rPr>
                <w:sz w:val="15"/>
                <w:szCs w:val="15"/>
              </w:rPr>
              <w:t xml:space="preserve">podél vodních toků </w:t>
            </w:r>
            <w:r w:rsidRPr="00BF022B">
              <w:rPr>
                <w:sz w:val="15"/>
                <w:szCs w:val="15"/>
              </w:rPr>
              <w:t>na terénních zlomech, v</w:t>
            </w:r>
            <w:r>
              <w:rPr>
                <w:sz w:val="15"/>
                <w:szCs w:val="15"/>
              </w:rPr>
              <w:t> </w:t>
            </w:r>
            <w:r w:rsidRPr="00BF022B">
              <w:rPr>
                <w:sz w:val="15"/>
                <w:szCs w:val="15"/>
              </w:rPr>
              <w:t>terénních zářezech a v b</w:t>
            </w:r>
            <w:r>
              <w:rPr>
                <w:sz w:val="15"/>
                <w:szCs w:val="15"/>
              </w:rPr>
              <w:t>lízkosti pěších tras</w:t>
            </w:r>
            <w:r w:rsidRPr="001F01A6">
              <w:rPr>
                <w:sz w:val="15"/>
                <w:szCs w:val="15"/>
              </w:rPr>
              <w:t xml:space="preserve"> </w:t>
            </w:r>
            <w:r>
              <w:rPr>
                <w:sz w:val="15"/>
                <w:szCs w:val="15"/>
              </w:rPr>
              <w:t>je stanovena z důvodu ochrany a rozvoje</w:t>
            </w:r>
            <w:r w:rsidRPr="001F01A6">
              <w:rPr>
                <w:sz w:val="15"/>
                <w:szCs w:val="15"/>
              </w:rPr>
              <w:t xml:space="preserve"> charakteru a krajinného rázu lokality a stabilizaci vodního režimu krajiny.</w:t>
            </w:r>
            <w:r>
              <w:rPr>
                <w:sz w:val="15"/>
                <w:szCs w:val="15"/>
              </w:rPr>
              <w:t xml:space="preserve"> </w:t>
            </w:r>
            <w:r w:rsidRPr="00BF022B">
              <w:rPr>
                <w:sz w:val="15"/>
                <w:szCs w:val="15"/>
              </w:rPr>
              <w:t>Je doporučeno využívání místních dřevin.</w:t>
            </w:r>
          </w:p>
        </w:tc>
      </w:tr>
      <w:tr w:rsidR="005F3739" w:rsidRPr="009D4DBB" w14:paraId="3A4F21D5" w14:textId="77777777" w:rsidTr="00B11562">
        <w:trPr>
          <w:trHeight w:val="5396"/>
        </w:trPr>
        <w:tc>
          <w:tcPr>
            <w:tcW w:w="682" w:type="dxa"/>
            <w:vMerge/>
          </w:tcPr>
          <w:p w14:paraId="23A82D46" w14:textId="77777777" w:rsidR="005F3739" w:rsidRDefault="005F3739" w:rsidP="003A3351">
            <w:pPr>
              <w:ind w:left="0"/>
              <w:rPr>
                <w:b/>
                <w:sz w:val="28"/>
                <w:szCs w:val="28"/>
              </w:rPr>
            </w:pPr>
          </w:p>
        </w:tc>
        <w:tc>
          <w:tcPr>
            <w:tcW w:w="1254" w:type="dxa"/>
          </w:tcPr>
          <w:p w14:paraId="05DD8F87" w14:textId="77777777" w:rsidR="005F3739" w:rsidRPr="00B960DF" w:rsidRDefault="005F3739" w:rsidP="003A3351">
            <w:pPr>
              <w:ind w:left="0"/>
              <w:rPr>
                <w:b/>
              </w:rPr>
            </w:pPr>
            <w:r>
              <w:rPr>
                <w:b/>
              </w:rPr>
              <w:t>Specifické uspořádání</w:t>
            </w:r>
          </w:p>
        </w:tc>
        <w:tc>
          <w:tcPr>
            <w:tcW w:w="6569" w:type="dxa"/>
          </w:tcPr>
          <w:p w14:paraId="1FD7F142" w14:textId="77777777" w:rsidR="005F3739" w:rsidRPr="00944DA7" w:rsidRDefault="005F3739" w:rsidP="003A3351">
            <w:pPr>
              <w:ind w:left="0"/>
              <w:rPr>
                <w:sz w:val="15"/>
                <w:szCs w:val="15"/>
              </w:rPr>
            </w:pPr>
            <w:r>
              <w:rPr>
                <w:sz w:val="15"/>
                <w:szCs w:val="15"/>
              </w:rPr>
              <w:t>-</w:t>
            </w:r>
          </w:p>
        </w:tc>
      </w:tr>
    </w:tbl>
    <w:p w14:paraId="098C33BA" w14:textId="77777777" w:rsidR="007364E8" w:rsidRDefault="007364E8">
      <w:pPr>
        <w:spacing w:before="0" w:after="0"/>
        <w:ind w:left="0"/>
        <w:jc w:val="left"/>
        <w:rPr>
          <w:b/>
          <w:sz w:val="15"/>
          <w:szCs w:val="15"/>
        </w:rPr>
      </w:pPr>
      <w:r>
        <w:rPr>
          <w:b/>
          <w:sz w:val="15"/>
          <w:szCs w:val="15"/>
        </w:rPr>
        <w:br w:type="page"/>
      </w:r>
    </w:p>
    <w:p w14:paraId="0E52F946" w14:textId="0785ED9B" w:rsidR="007364E8" w:rsidRDefault="007364E8" w:rsidP="007364E8">
      <w:pPr>
        <w:pStyle w:val="Nadpis3"/>
      </w:pPr>
      <w:bookmarkStart w:id="108" w:name="_Toc232612633"/>
      <w:r>
        <w:lastRenderedPageBreak/>
        <w:t>Podmínky infrastruktury</w:t>
      </w:r>
      <w:bookmarkEnd w:id="108"/>
    </w:p>
    <w:p w14:paraId="43468321" w14:textId="756EA063" w:rsidR="00183179" w:rsidRPr="00183179" w:rsidRDefault="00183179" w:rsidP="00C4493B">
      <w:pPr>
        <w:pStyle w:val="Odstavecseseznamem"/>
        <w:ind w:left="709"/>
      </w:pPr>
      <w:r w:rsidRPr="00DF00E7">
        <w:t xml:space="preserve">Infrastruktura slouží k obsluze struktury území obce. V územním plánu je umožněna v plochách s rozdílným způsobem využití a v jejich plošném vymezení, </w:t>
      </w:r>
      <w:r>
        <w:t>případně</w:t>
      </w:r>
      <w:r w:rsidRPr="00DF00E7">
        <w:t xml:space="preserve"> je přímo vymezena koridory nad plochami s rozdílným způsobem využití pro dopravní infrastrukturu</w:t>
      </w:r>
      <w:r>
        <w:t>,</w:t>
      </w:r>
      <w:r w:rsidRPr="00DF00E7">
        <w:t xml:space="preserve"> technickou infrastrukturu, </w:t>
      </w:r>
      <w:r>
        <w:t xml:space="preserve">a opatření nestavební povahy, </w:t>
      </w:r>
      <w:r w:rsidRPr="00DF00E7">
        <w:t xml:space="preserve">nebo jako </w:t>
      </w:r>
      <w:r>
        <w:t>plocha</w:t>
      </w:r>
      <w:r w:rsidRPr="00DF00E7">
        <w:t xml:space="preserve"> pro občanské vybavení, krajinnou infrastrukturu, jako plochy a koridory ÚSES a</w:t>
      </w:r>
      <w:r>
        <w:t> </w:t>
      </w:r>
      <w:r w:rsidRPr="00DF00E7">
        <w:t>jako plochy interakčních prvků.</w:t>
      </w:r>
    </w:p>
    <w:p w14:paraId="3E2D5DE9" w14:textId="4EB2FE4A" w:rsidR="007364E8" w:rsidRDefault="007364E8" w:rsidP="008A41F9">
      <w:pPr>
        <w:pStyle w:val="Nadpis4"/>
      </w:pPr>
      <w:r>
        <w:t>Veřejná prostranství</w:t>
      </w:r>
    </w:p>
    <w:p w14:paraId="14DF0354" w14:textId="5D1340A5" w:rsidR="005A7808" w:rsidRDefault="005A7808">
      <w:pPr>
        <w:pStyle w:val="Odstavecseseznamem"/>
        <w:numPr>
          <w:ilvl w:val="0"/>
          <w:numId w:val="102"/>
        </w:numPr>
        <w:ind w:left="709"/>
      </w:pPr>
      <w:r>
        <w:t>Veřejná prostranství jsou z pohledu infrastruktury souvislým prostorem mezi soukromými a dalšími charakterově oddělenými plochami sídla. Tato prostranství mají různý význam v rámci sídla a jsou proto členěna na významná a ostatní. Podle svého významu pak spolu s navazující zástavbou a vybavením představují důležitá jádra obce. Jejich uspořádáním plán zajišťuje základní kompozici struktury sídla včetně organizace potenciálu rozvoje občanského vybavení místního i obecního významu.</w:t>
      </w:r>
    </w:p>
    <w:p w14:paraId="414924F2" w14:textId="20A8FA50" w:rsidR="005A7808" w:rsidRDefault="005A7808" w:rsidP="005A7808">
      <w:pPr>
        <w:pStyle w:val="Odstavecseseznamem"/>
        <w:ind w:left="709"/>
      </w:pPr>
      <w:r>
        <w:t>Soustava veřejných prostranství je nezbytná pro zajištění dostupnosti soukromých pozemků, vybavení obce, ploch rekreace i vnější krajiny. Jejím doplněním a uspořádáním plán zajišťuje účelné uspořádání území z</w:t>
      </w:r>
      <w:r w:rsidR="00465F80">
        <w:t> </w:t>
      </w:r>
      <w:r>
        <w:t>hlediska dostupnosti aktivit a cílů v sídle, dostupnost míst k setkávání a pořádání společenských událostí. Dále jí zajišťuje prostupnost celým územím sídla a dále do krajiny.</w:t>
      </w:r>
    </w:p>
    <w:p w14:paraId="0AD35EA6" w14:textId="294A34C5" w:rsidR="00465F80" w:rsidRDefault="00465F80">
      <w:pPr>
        <w:pStyle w:val="Odstavecseseznamem"/>
        <w:numPr>
          <w:ilvl w:val="0"/>
          <w:numId w:val="102"/>
        </w:numPr>
        <w:ind w:left="709"/>
      </w:pPr>
      <w:r>
        <w:t xml:space="preserve">Veřejná prostranství významný jsou hlavními prostorovými a funkčními těžišti obce a zakládají její identitu s potenciálem rozvoje místního i obecního významu. Významnými veřejnými prostranstvími jsou historická jádra </w:t>
      </w:r>
      <w:r w:rsidR="009D1969">
        <w:t xml:space="preserve">nebo funkční těžiště </w:t>
      </w:r>
      <w:r>
        <w:t>jednotlivých místních částí Hlubočky, Mariánské Údolí</w:t>
      </w:r>
      <w:r w:rsidR="009D1969">
        <w:t xml:space="preserve"> a Posluchov a těžiště zástavby lokality Dukla.</w:t>
      </w:r>
    </w:p>
    <w:p w14:paraId="5F97283A" w14:textId="69C120E7" w:rsidR="009D1969" w:rsidRDefault="00A24610">
      <w:pPr>
        <w:pStyle w:val="Odstavecseseznamem"/>
        <w:numPr>
          <w:ilvl w:val="0"/>
          <w:numId w:val="102"/>
        </w:numPr>
        <w:ind w:left="709"/>
      </w:pPr>
      <w:r>
        <w:t>Koncepční prvky veřejných prostranství jsou tam, kde není účelné veřejné prostranství plošné charakteru místní návsi nebo náměstí vymezit plochou, ale předpokládá se upřesnění jeho prostorového řešení územní studií nebo plánovací smlouvou.</w:t>
      </w:r>
    </w:p>
    <w:p w14:paraId="07C99752" w14:textId="394E0105" w:rsidR="00A24610" w:rsidRDefault="00A24610" w:rsidP="00A24610">
      <w:pPr>
        <w:pStyle w:val="Odstavecseseznamem"/>
        <w:ind w:left="709"/>
      </w:pPr>
      <w:r>
        <w:t>V zastavitelné ploše Z.02-1 se jedná o funkční a prostorové těžiště lokality charakteru místní návsi, tomuto předpokladu odpovídá i požadavek na jeho plošný rozsah a poměr stran.</w:t>
      </w:r>
    </w:p>
    <w:p w14:paraId="44A7143A" w14:textId="24D443A4" w:rsidR="009D1969" w:rsidRDefault="009D1969">
      <w:pPr>
        <w:pStyle w:val="Odstavecseseznamem"/>
        <w:numPr>
          <w:ilvl w:val="0"/>
          <w:numId w:val="102"/>
        </w:numPr>
        <w:ind w:left="709"/>
      </w:pPr>
      <w:r>
        <w:t xml:space="preserve">Koncepční prvky veřejné prostupnosti jsou vymezeny z důvodu potřeby zajištění provozních a funkčních vazeb v území bez požadavku na jejich </w:t>
      </w:r>
      <w:r w:rsidR="00321A3E">
        <w:t>přesný průběh</w:t>
      </w:r>
      <w:r>
        <w:t>. Tyto koncepční prvky veřejné prostupnosti tak umožňují upřesnění při konkrétním řešením využití území při splnění stanovených parametrů.</w:t>
      </w:r>
      <w:r w:rsidR="00321A3E">
        <w:t xml:space="preserve"> V návrhových plochách se předpokládá upřesnění řešení koncepčních prvků veřejné prostupnosti územní studií nebo plánovací smlouvou.</w:t>
      </w:r>
    </w:p>
    <w:p w14:paraId="55CF5CF8" w14:textId="77777777" w:rsidR="00321A3E" w:rsidRDefault="00321A3E" w:rsidP="00321A3E">
      <w:pPr>
        <w:pStyle w:val="Odstavecseseznamem"/>
        <w:numPr>
          <w:ilvl w:val="0"/>
          <w:numId w:val="18"/>
        </w:numPr>
        <w:ind w:left="1134"/>
      </w:pPr>
      <w:r>
        <w:t>veřejná prostupnost pro cyklo a pěší dopravu – veřejné prostranství min. šířky 3 m s možností umístění stezky pro chodce a cyklisty dělené – min. skladebná šířka pro dělenou stezku pro chodce a cyklisty,</w:t>
      </w:r>
    </w:p>
    <w:p w14:paraId="58BFD86D" w14:textId="216DC0C8" w:rsidR="009D1969" w:rsidRDefault="009D1969" w:rsidP="009D1969">
      <w:pPr>
        <w:pStyle w:val="Odstavecseseznamem"/>
        <w:numPr>
          <w:ilvl w:val="0"/>
          <w:numId w:val="18"/>
        </w:numPr>
        <w:ind w:left="1134"/>
      </w:pPr>
      <w:r>
        <w:t>veřejná prostupnost pro silniční dopravu – veřejné prostranství min. šířky 13 m s možností umístění místní obslužné komunikace – min. skladebný profil pro umístění obousměrné komunikace, oboustranného chodníku, parkovacího pásu a výsadbového pásu se stromořadím.</w:t>
      </w:r>
    </w:p>
    <w:p w14:paraId="753EE9B5" w14:textId="634B90DE" w:rsidR="007364E8" w:rsidRDefault="007364E8" w:rsidP="008A41F9">
      <w:pPr>
        <w:pStyle w:val="Nadpis4"/>
      </w:pPr>
      <w:r>
        <w:t>Občanské vybavení</w:t>
      </w:r>
    </w:p>
    <w:p w14:paraId="0FEC1D69" w14:textId="77777777" w:rsidR="00413F27" w:rsidRDefault="00F70565">
      <w:pPr>
        <w:pStyle w:val="Odstavecseseznamem"/>
        <w:numPr>
          <w:ilvl w:val="0"/>
          <w:numId w:val="103"/>
        </w:numPr>
        <w:ind w:left="709"/>
      </w:pPr>
      <w:r>
        <w:t>Občanské vybavení obce je stabilizováno a rozvíjeno jako součást smíšených obytných ploch a ploch občanského vybavení.</w:t>
      </w:r>
      <w:r w:rsidR="00CD5BA3">
        <w:t xml:space="preserve"> </w:t>
      </w:r>
    </w:p>
    <w:p w14:paraId="0B3B280C" w14:textId="5676356B" w:rsidR="00CD5BA3" w:rsidRDefault="00CD5BA3" w:rsidP="00413F27">
      <w:pPr>
        <w:pStyle w:val="Odstavecseseznamem"/>
        <w:ind w:left="709"/>
      </w:pPr>
      <w:r>
        <w:t>V obci se nachází komplexní občanské vybavení</w:t>
      </w:r>
      <w:r w:rsidR="00413F27">
        <w:t xml:space="preserve"> místní</w:t>
      </w:r>
      <w:r>
        <w:t>:</w:t>
      </w:r>
    </w:p>
    <w:p w14:paraId="6BAFF523" w14:textId="242702EB" w:rsidR="00CD5BA3" w:rsidRDefault="00CD5BA3">
      <w:pPr>
        <w:pStyle w:val="Odstavecseseznamem"/>
        <w:numPr>
          <w:ilvl w:val="0"/>
          <w:numId w:val="104"/>
        </w:numPr>
        <w:ind w:left="1134"/>
      </w:pPr>
      <w:r>
        <w:t>správní vybavení (obecní úřad, pošta, sběrný dvůr)</w:t>
      </w:r>
      <w:r w:rsidR="00413F27">
        <w:t>;</w:t>
      </w:r>
    </w:p>
    <w:p w14:paraId="4F640D3B" w14:textId="45BF5DC2" w:rsidR="00F70565" w:rsidRDefault="00CD5BA3">
      <w:pPr>
        <w:pStyle w:val="Odstavecseseznamem"/>
        <w:numPr>
          <w:ilvl w:val="0"/>
          <w:numId w:val="104"/>
        </w:numPr>
        <w:ind w:left="1134"/>
      </w:pPr>
      <w:r>
        <w:t>zdravotnické vybavení (zdravotnické středisko v Mariánském Údolí, dětská lékař)</w:t>
      </w:r>
      <w:r w:rsidR="00413F27">
        <w:t>;</w:t>
      </w:r>
    </w:p>
    <w:p w14:paraId="1E2E0E28" w14:textId="38E3ED6B" w:rsidR="00413F27" w:rsidRDefault="00413F27">
      <w:pPr>
        <w:pStyle w:val="Odstavecseseznamem"/>
        <w:numPr>
          <w:ilvl w:val="0"/>
          <w:numId w:val="104"/>
        </w:numPr>
        <w:ind w:left="1134"/>
      </w:pPr>
      <w:r>
        <w:t>kulturní vybavení (Kulturní dům Hlubočky)</w:t>
      </w:r>
      <w:r w:rsidR="009B1368">
        <w:t>;</w:t>
      </w:r>
    </w:p>
    <w:p w14:paraId="7E8B500A" w14:textId="1E12D6CD" w:rsidR="009B1368" w:rsidRDefault="009B1368">
      <w:pPr>
        <w:pStyle w:val="Odstavecseseznamem"/>
        <w:numPr>
          <w:ilvl w:val="0"/>
          <w:numId w:val="104"/>
        </w:numPr>
        <w:ind w:left="1134"/>
      </w:pPr>
      <w:r>
        <w:t>sportovní vybavení (sportovní areál fotbalového klubu Hlubočky, tenisový areál Dukla)</w:t>
      </w:r>
    </w:p>
    <w:p w14:paraId="47D2A30E" w14:textId="138C291B" w:rsidR="00CD5BA3" w:rsidRDefault="00CD5BA3">
      <w:pPr>
        <w:pStyle w:val="Odstavecseseznamem"/>
        <w:numPr>
          <w:ilvl w:val="0"/>
          <w:numId w:val="104"/>
        </w:numPr>
        <w:ind w:left="1134"/>
      </w:pPr>
      <w:r>
        <w:t>základní škola Hlubočky (Hlubočky – Dukla a Mariánské Údolí: 1.-5. ročník, Hlubočky – Ves: 6.-.9 ročník, kapacita</w:t>
      </w:r>
      <w:r w:rsidR="00C13D46">
        <w:t xml:space="preserve"> 350</w:t>
      </w:r>
      <w:r>
        <w:t xml:space="preserve"> žáků)</w:t>
      </w:r>
      <w:r w:rsidR="00413F27">
        <w:t>;</w:t>
      </w:r>
    </w:p>
    <w:p w14:paraId="75D1F559" w14:textId="6B38E359" w:rsidR="00CD5BA3" w:rsidRDefault="00CD5BA3">
      <w:pPr>
        <w:pStyle w:val="Odstavecseseznamem"/>
        <w:numPr>
          <w:ilvl w:val="0"/>
          <w:numId w:val="104"/>
        </w:numPr>
        <w:ind w:left="1134"/>
      </w:pPr>
      <w:r>
        <w:t xml:space="preserve">mateřská škola </w:t>
      </w:r>
      <w:r w:rsidR="001562C3">
        <w:t xml:space="preserve">Hlubočky </w:t>
      </w:r>
      <w:r w:rsidR="00211A3F">
        <w:t>Mariánské Údolí (kapacita 150 žáků)</w:t>
      </w:r>
      <w:r w:rsidR="00413F27">
        <w:t>;</w:t>
      </w:r>
    </w:p>
    <w:p w14:paraId="439EAA42" w14:textId="3F12E236" w:rsidR="00211A3F" w:rsidRDefault="00211A3F">
      <w:pPr>
        <w:pStyle w:val="Odstavecseseznamem"/>
        <w:numPr>
          <w:ilvl w:val="0"/>
          <w:numId w:val="104"/>
        </w:numPr>
        <w:ind w:left="1134"/>
      </w:pPr>
      <w:r>
        <w:t>mateřská škola (kapacita 103 žáků)</w:t>
      </w:r>
      <w:r w:rsidR="000B46A1">
        <w:t>,</w:t>
      </w:r>
    </w:p>
    <w:p w14:paraId="1F1F7C5B" w14:textId="411C15E5" w:rsidR="000B46A1" w:rsidRDefault="000B46A1">
      <w:pPr>
        <w:pStyle w:val="Odstavecseseznamem"/>
        <w:numPr>
          <w:ilvl w:val="0"/>
          <w:numId w:val="104"/>
        </w:numPr>
        <w:ind w:left="1134"/>
      </w:pPr>
      <w:r>
        <w:t>základní umělecká škola.</w:t>
      </w:r>
    </w:p>
    <w:p w14:paraId="596BC981" w14:textId="2E0DC280" w:rsidR="000B46A1" w:rsidRDefault="000B46A1" w:rsidP="00413F27">
      <w:pPr>
        <w:ind w:left="774"/>
      </w:pPr>
      <w:r>
        <w:t>Předpokládaný nárůst počtu obyvatel (500 – 800 obyvatel) je potřeba zajistit cca 15-24 míst v mateřské škole a cca 50 – 80 míst v základní škole.</w:t>
      </w:r>
      <w:r w:rsidR="00185381">
        <w:t xml:space="preserve"> V rámci návrhové plochy Z.02-1 se předpokládá rezerva pro zařízení pro předškolní výchovu</w:t>
      </w:r>
      <w:r w:rsidR="00C13D46">
        <w:t>. Základní škola má kapacitu pro dalších cca 35 – 50 žáků</w:t>
      </w:r>
      <w:r w:rsidR="00994CE4">
        <w:t xml:space="preserve"> (zdroj: data ČŠI)</w:t>
      </w:r>
      <w:r w:rsidR="00C13D46">
        <w:t>, předpokládá se její navýšení s ohledem na předpokládaný rozvoj.</w:t>
      </w:r>
    </w:p>
    <w:p w14:paraId="069DAB64" w14:textId="77777777" w:rsidR="0065423C" w:rsidRDefault="0065423C" w:rsidP="0065423C">
      <w:pPr>
        <w:ind w:left="774"/>
      </w:pPr>
      <w:r>
        <w:t>Nadmístní občanské vybavení přestavují rekreační areály Hlubočky (zmíní sporty), Hrubá Voda (zimní sporty) a Mariánské Údolí (biotop, letní sporty). Rekreační areál Mariánské Údolí je navržen k rozvoji.</w:t>
      </w:r>
    </w:p>
    <w:p w14:paraId="20342FA4" w14:textId="12B3D7EA" w:rsidR="00CD5BA3" w:rsidRDefault="00CD5BA3">
      <w:pPr>
        <w:pStyle w:val="Odstavecseseznamem"/>
        <w:numPr>
          <w:ilvl w:val="0"/>
          <w:numId w:val="103"/>
        </w:numPr>
        <w:ind w:left="709"/>
      </w:pPr>
      <w:r>
        <w:t>Plocha občanského vybavení</w:t>
      </w:r>
      <w:r w:rsidR="00AE4E64">
        <w:t xml:space="preserve"> veřejného (bez stanovení typu vybavení) v ploše Z.02-1 je vymezena pro umístění občanského vybavení pro potřeby obce v návaznosti na funkční a významové těžiště jádra obce Hlubočky. Upřesnění účelu a rozsahu občanského vybavení je předmětem podrobnějšího řešení územní studií.</w:t>
      </w:r>
    </w:p>
    <w:p w14:paraId="6F5D51CE" w14:textId="543754E6" w:rsidR="00A25868" w:rsidRPr="00F70565" w:rsidRDefault="00A25868">
      <w:pPr>
        <w:pStyle w:val="Odstavecseseznamem"/>
        <w:numPr>
          <w:ilvl w:val="0"/>
          <w:numId w:val="103"/>
        </w:numPr>
        <w:ind w:left="709"/>
      </w:pPr>
      <w:r>
        <w:lastRenderedPageBreak/>
        <w:t>Podmínka zajištění náhrady kapacit občanského vybavení veřejného při jeho změně nebo zrušení v obsluhovaném zájmovém území nebo jeho zajištění jiným způsobem je stanovena z důvodu ochrany standardu občanského vybavení obce</w:t>
      </w:r>
      <w:r w:rsidR="00F3566B">
        <w:t xml:space="preserve"> a udržitelnost jejího rozvoje.</w:t>
      </w:r>
    </w:p>
    <w:p w14:paraId="05120AE7" w14:textId="0956B2E5" w:rsidR="007364E8" w:rsidRDefault="007364E8" w:rsidP="008A41F9">
      <w:pPr>
        <w:pStyle w:val="Nadpis4"/>
      </w:pPr>
      <w:r>
        <w:t>Dopravní infrastruktura</w:t>
      </w:r>
    </w:p>
    <w:p w14:paraId="272363C0" w14:textId="77777777" w:rsidR="00A87E50" w:rsidRPr="00DF00E7" w:rsidRDefault="00A87E50" w:rsidP="00A87E50">
      <w:r w:rsidRPr="00DF00E7">
        <w:t xml:space="preserve">Dopravní infrastruktura tvoří systémy, které zajišťují odpovídající úroveň dopravní obsluhy sídla a jeho obyvatel. </w:t>
      </w:r>
    </w:p>
    <w:p w14:paraId="13B67360" w14:textId="77777777" w:rsidR="00A87E50" w:rsidRPr="00DF00E7" w:rsidRDefault="00A87E50" w:rsidP="00A87E50">
      <w:r w:rsidRPr="00DF00E7">
        <w:t>V územním plánu jsou navrženy konkrétní opatření dopravní infrastruktury, které jsou nutné pro zajištění obsluhy území. Tato opatření a jejich popis, resp. podmínky jsou součástí odpovídajících kapitol dopravní infrastruktury. Jestliže jsou nutná v návrhu zobrazit graficky, jsou vymezena jako koridory dopravní infrastruktury</w:t>
      </w:r>
      <w:r>
        <w:t xml:space="preserve"> nebo návrhové plochy dopravy silniční (DS).</w:t>
      </w:r>
    </w:p>
    <w:p w14:paraId="6B3DDCCA" w14:textId="45E47C30" w:rsidR="00A87E50" w:rsidRDefault="00A87E50" w:rsidP="00A87E50">
      <w:r w:rsidRPr="00DF00E7">
        <w:t>Dopravní řešení návrhu koncepce územního plánu obce vychází z potřeby řešení stávající dopravní situace na řešeném území obce včetně místních částí. Dopravní závady na silnicích v průjezdních úsecích místních částí budou řešeny stavební úpravou uličního profilu, na místních komunikacích řešeny převážně zklidněním dopravy. Záměry komunikační sítě bude nutno vždy v rámci projektové i předprojektové přípravy ověřit technickými, případně prověřovacími urbanistickými studiemi.</w:t>
      </w:r>
    </w:p>
    <w:p w14:paraId="7DAAEF2E" w14:textId="3711B108" w:rsidR="00FC0261" w:rsidRDefault="00450A56" w:rsidP="00BE68A3">
      <w:pPr>
        <w:pStyle w:val="Nadpis5"/>
      </w:pPr>
      <w:r>
        <w:t>Doprava silniční</w:t>
      </w:r>
    </w:p>
    <w:p w14:paraId="00EC5EFE" w14:textId="5587987F" w:rsidR="00C4493B" w:rsidRDefault="00C4493B">
      <w:pPr>
        <w:pStyle w:val="Odstavecseseznamem"/>
        <w:numPr>
          <w:ilvl w:val="0"/>
          <w:numId w:val="106"/>
        </w:numPr>
        <w:ind w:left="709"/>
      </w:pPr>
      <w:r w:rsidRPr="00FF5FBE">
        <w:t>Územní plán stabilizuje stávající komunikační systém</w:t>
      </w:r>
      <w:r>
        <w:t xml:space="preserve"> obce. </w:t>
      </w:r>
    </w:p>
    <w:p w14:paraId="35D7C4AD" w14:textId="0B885DB3" w:rsidR="00C4493B" w:rsidRDefault="00C4493B" w:rsidP="00C4493B">
      <w:r>
        <w:t>Na území obce se nachází následující silnice:</w:t>
      </w:r>
    </w:p>
    <w:p w14:paraId="77B62BC4" w14:textId="5A1BC225" w:rsidR="00E20526" w:rsidRPr="00E20526" w:rsidRDefault="00930A37" w:rsidP="00E20526">
      <w:pPr>
        <w:ind w:left="414" w:firstLine="295"/>
        <w:rPr>
          <w:b/>
          <w:bCs/>
        </w:rPr>
      </w:pPr>
      <w:r w:rsidRPr="00E20526">
        <w:rPr>
          <w:b/>
          <w:bCs/>
        </w:rPr>
        <w:t>s</w:t>
      </w:r>
      <w:r w:rsidR="00C4493B" w:rsidRPr="00E20526">
        <w:rPr>
          <w:b/>
          <w:bCs/>
        </w:rPr>
        <w:t xml:space="preserve">ilnice III/443 17 </w:t>
      </w:r>
      <w:r w:rsidRPr="00E20526">
        <w:rPr>
          <w:b/>
          <w:bCs/>
        </w:rPr>
        <w:t>–</w:t>
      </w:r>
      <w:r w:rsidR="00C4493B" w:rsidRPr="00E20526">
        <w:rPr>
          <w:b/>
          <w:bCs/>
        </w:rPr>
        <w:t xml:space="preserve"> </w:t>
      </w:r>
      <w:r w:rsidRPr="00E20526">
        <w:rPr>
          <w:b/>
          <w:bCs/>
        </w:rPr>
        <w:t>Velká Bystřice – Hrubá Voda</w:t>
      </w:r>
      <w:r w:rsidR="00E20526" w:rsidRPr="00E20526">
        <w:rPr>
          <w:b/>
          <w:bCs/>
        </w:rPr>
        <w:t>:</w:t>
      </w:r>
    </w:p>
    <w:p w14:paraId="270EC73C" w14:textId="45E57608" w:rsidR="00E20526" w:rsidRDefault="00E20526">
      <w:pPr>
        <w:pStyle w:val="Odstavecseseznamem"/>
        <w:numPr>
          <w:ilvl w:val="0"/>
          <w:numId w:val="105"/>
        </w:numPr>
        <w:ind w:left="1134"/>
      </w:pPr>
      <w:r>
        <w:t>silnice tvoří hlavní dopravní napojení obce na nadřazenou komunikační síť,</w:t>
      </w:r>
    </w:p>
    <w:p w14:paraId="010B3E12" w14:textId="55D82FA3" w:rsidR="00E20526" w:rsidRDefault="00E20526">
      <w:pPr>
        <w:pStyle w:val="Odstavecseseznamem"/>
        <w:numPr>
          <w:ilvl w:val="0"/>
          <w:numId w:val="105"/>
        </w:numPr>
        <w:ind w:left="1134"/>
      </w:pPr>
      <w:r>
        <w:t>s</w:t>
      </w:r>
      <w:r w:rsidRPr="00E20526">
        <w:t xml:space="preserve">ilnice bude upravována v kat. S 7,5/50, </w:t>
      </w:r>
      <w:r>
        <w:t>vozovka bude směrově upravena a místně rozšířena,  úsecích s nevyhovujícími směrovými parametry bude místně upravena rychlost na 30km/h,</w:t>
      </w:r>
    </w:p>
    <w:p w14:paraId="341E20D2" w14:textId="3E84B2C5" w:rsidR="00E20526" w:rsidRDefault="00E20526">
      <w:pPr>
        <w:pStyle w:val="Odstavecseseznamem"/>
        <w:numPr>
          <w:ilvl w:val="0"/>
          <w:numId w:val="105"/>
        </w:numPr>
        <w:ind w:left="1134"/>
      </w:pPr>
      <w:r>
        <w:t>v</w:t>
      </w:r>
      <w:r w:rsidRPr="00E20526">
        <w:t xml:space="preserve"> zastavěném území bude </w:t>
      </w:r>
      <w:r>
        <w:t>upravována jako místní komunikace funkční skupiny C</w:t>
      </w:r>
      <w:r w:rsidR="00E66504">
        <w:t>1</w:t>
      </w:r>
      <w:r w:rsidR="00DB06C1">
        <w:t xml:space="preserve">, umožňující přímou obsluhu zástavby, </w:t>
      </w:r>
      <w:r w:rsidR="00DB06C1" w:rsidRPr="00DF00E7">
        <w:t>silnice bud</w:t>
      </w:r>
      <w:r w:rsidR="00DB06C1">
        <w:t>e</w:t>
      </w:r>
      <w:r w:rsidR="00DB06C1" w:rsidRPr="00DF00E7">
        <w:t xml:space="preserve"> v dnešní trase šířkově upravová</w:t>
      </w:r>
      <w:r w:rsidR="00DB06C1">
        <w:t>na</w:t>
      </w:r>
      <w:r w:rsidR="00DB06C1" w:rsidRPr="00DF00E7">
        <w:t xml:space="preserve"> na normovou kategorii </w:t>
      </w:r>
      <w:r w:rsidR="00DB06C1">
        <w:t>MO 7,5-</w:t>
      </w:r>
      <w:r w:rsidR="00DB06C1" w:rsidRPr="00DF00E7">
        <w:t>6,5/50 dle ČSN 7361</w:t>
      </w:r>
      <w:r w:rsidR="00DB06C1">
        <w:t>10</w:t>
      </w:r>
      <w:r w:rsidR="00DB06C1" w:rsidRPr="00DF00E7">
        <w:t>. Dále budou odstraněny dopravní závady – úprava malých směrových poloměrů, vyspraven a rekonstruován kryt. V uličních profilech sběrných komunikací budou realizovány chybějící chodníky v normové šířce se zvýšenou niveletou</w:t>
      </w:r>
      <w:r w:rsidR="006D21E4">
        <w:t>;</w:t>
      </w:r>
    </w:p>
    <w:p w14:paraId="04F24D9A" w14:textId="17C77C0D" w:rsidR="007F7A12" w:rsidRDefault="006D21E4">
      <w:pPr>
        <w:pStyle w:val="Odstavecseseznamem"/>
        <w:numPr>
          <w:ilvl w:val="0"/>
          <w:numId w:val="105"/>
        </w:numPr>
        <w:ind w:left="1134"/>
      </w:pPr>
      <w:r>
        <w:t>intenzita dopravy je dle dostupných dat ze sčítání dopravy nízká (~</w:t>
      </w:r>
      <w:r w:rsidR="00710EE6">
        <w:t>3 800 voz./den v úseku 7-2220 Velká Bystřice – Mariánské Údolí a ~</w:t>
      </w:r>
      <w:r>
        <w:t xml:space="preserve"> 2 200 voz</w:t>
      </w:r>
      <w:r w:rsidR="00710EE6">
        <w:t>.</w:t>
      </w:r>
      <w:r>
        <w:t xml:space="preserve"> / den</w:t>
      </w:r>
      <w:r w:rsidR="00710EE6">
        <w:t xml:space="preserve"> v úseku 7-2226 Mariánské Údolí – Hrubá Voda</w:t>
      </w:r>
      <w:r>
        <w:t>), intenzita dopravy nevyvolává potřebu místních úprav směrového vedení komunikace.</w:t>
      </w:r>
    </w:p>
    <w:p w14:paraId="244E9720" w14:textId="68324A87" w:rsidR="00930A37" w:rsidRPr="00E20526" w:rsidRDefault="00930A37" w:rsidP="00E20526">
      <w:pPr>
        <w:ind w:left="414" w:firstLine="295"/>
        <w:rPr>
          <w:b/>
          <w:bCs/>
        </w:rPr>
      </w:pPr>
      <w:r w:rsidRPr="00E20526">
        <w:rPr>
          <w:b/>
          <w:bCs/>
        </w:rPr>
        <w:t>silnice III/443 18 - Mariánské Údolí – Mrsklesy – Přáslavice</w:t>
      </w:r>
    </w:p>
    <w:p w14:paraId="4883F19F" w14:textId="05C28B55" w:rsidR="00E20526" w:rsidRDefault="00F91731">
      <w:pPr>
        <w:pStyle w:val="Odstavecseseznamem"/>
        <w:numPr>
          <w:ilvl w:val="0"/>
          <w:numId w:val="105"/>
        </w:numPr>
        <w:ind w:left="1134"/>
      </w:pPr>
      <w:r>
        <w:t>spojuje místní část obce Mariánské Údolí s obcí Mrsklesy</w:t>
      </w:r>
      <w:r w:rsidR="00691810">
        <w:t>,</w:t>
      </w:r>
    </w:p>
    <w:p w14:paraId="3DD651F5" w14:textId="01B6BCC4" w:rsidR="00F91731" w:rsidRDefault="00F91731">
      <w:pPr>
        <w:pStyle w:val="Odstavecseseznamem"/>
        <w:numPr>
          <w:ilvl w:val="0"/>
          <w:numId w:val="105"/>
        </w:numPr>
        <w:ind w:left="1134"/>
      </w:pPr>
      <w:r>
        <w:t xml:space="preserve">silnice je stabilizována a </w:t>
      </w:r>
      <w:r w:rsidRPr="00E20526">
        <w:t>bude upravována v kat. S 7,5/50</w:t>
      </w:r>
      <w:r>
        <w:t xml:space="preserve">, </w:t>
      </w:r>
      <w:r w:rsidRPr="00E20526">
        <w:t xml:space="preserve">zastavěném území bude </w:t>
      </w:r>
      <w:r>
        <w:t>upravována jako místní komunikace funkční skupiny C</w:t>
      </w:r>
      <w:r w:rsidR="00E66504">
        <w:t>1</w:t>
      </w:r>
      <w:r>
        <w:t xml:space="preserve"> v kat. MO7,5/50, umožňující přímou obsluhu zástavby</w:t>
      </w:r>
      <w:r w:rsidR="00691810">
        <w:t>.</w:t>
      </w:r>
    </w:p>
    <w:p w14:paraId="012329C9" w14:textId="06F7D615" w:rsidR="00930A37" w:rsidRPr="00E20526" w:rsidRDefault="00930A37" w:rsidP="00E20526">
      <w:pPr>
        <w:ind w:left="414" w:firstLine="295"/>
        <w:rPr>
          <w:b/>
          <w:bCs/>
        </w:rPr>
      </w:pPr>
      <w:r w:rsidRPr="00E20526">
        <w:rPr>
          <w:b/>
          <w:bCs/>
        </w:rPr>
        <w:t xml:space="preserve">silnice III/443 19 - Mariánské Údolí </w:t>
      </w:r>
      <w:r w:rsidR="00E20526" w:rsidRPr="00E20526">
        <w:rPr>
          <w:b/>
          <w:bCs/>
        </w:rPr>
        <w:t>–</w:t>
      </w:r>
      <w:r w:rsidRPr="00E20526">
        <w:rPr>
          <w:b/>
          <w:bCs/>
        </w:rPr>
        <w:t xml:space="preserve"> Posluchov</w:t>
      </w:r>
    </w:p>
    <w:p w14:paraId="48D472CD" w14:textId="18137170" w:rsidR="00E20526" w:rsidRDefault="008E2F5F">
      <w:pPr>
        <w:pStyle w:val="Odstavecseseznamem"/>
        <w:numPr>
          <w:ilvl w:val="0"/>
          <w:numId w:val="105"/>
        </w:numPr>
        <w:ind w:left="1134"/>
      </w:pPr>
      <w:r w:rsidRPr="008E2F5F">
        <w:t>spojuje místní část obce Mariánské Údolí</w:t>
      </w:r>
      <w:r>
        <w:t xml:space="preserve"> s místní částí obce Posluchov, je ukončena na návsi v Posluchově,</w:t>
      </w:r>
    </w:p>
    <w:p w14:paraId="56E6ECB1" w14:textId="5087B850" w:rsidR="008E2F5F" w:rsidRDefault="008E2F5F">
      <w:pPr>
        <w:pStyle w:val="Odstavecseseznamem"/>
        <w:numPr>
          <w:ilvl w:val="0"/>
          <w:numId w:val="105"/>
        </w:numPr>
        <w:ind w:left="1134"/>
      </w:pPr>
      <w:r>
        <w:t xml:space="preserve">silnice je stabilizována a </w:t>
      </w:r>
      <w:r w:rsidRPr="00E20526">
        <w:t>bude upravována v kat. S 7,5/50</w:t>
      </w:r>
      <w:r>
        <w:t xml:space="preserve">, </w:t>
      </w:r>
      <w:r w:rsidRPr="00E20526">
        <w:t xml:space="preserve">zastavěném území bude </w:t>
      </w:r>
      <w:r>
        <w:t>upravována jako místní komunikace funkční skupiny C</w:t>
      </w:r>
      <w:r w:rsidR="00E66504">
        <w:t>1</w:t>
      </w:r>
      <w:r>
        <w:t xml:space="preserve"> v kat. MO7,5/50, umožňující přímou obsluhu zástavby.</w:t>
      </w:r>
    </w:p>
    <w:p w14:paraId="00D5C7A9" w14:textId="1F77A6F5" w:rsidR="008E2F5F" w:rsidRDefault="00E66504" w:rsidP="00E66504">
      <w:pPr>
        <w:ind w:left="774"/>
      </w:pPr>
      <w:r>
        <w:t>Ostatní místní komunikace budou upravovány jako místní komunikace funkční skupiny C2 v kat. MO 6,5/30 nebo D1 se zklidněným provozem.</w:t>
      </w:r>
    </w:p>
    <w:p w14:paraId="5D4FAC14" w14:textId="4797840D" w:rsidR="00450A56" w:rsidRDefault="00450A56" w:rsidP="00C4493B">
      <w:pPr>
        <w:pStyle w:val="Nadpis5"/>
      </w:pPr>
      <w:r>
        <w:t>Doprava v</w:t>
      </w:r>
      <w:r w:rsidR="00C4493B">
        <w:t> </w:t>
      </w:r>
      <w:r>
        <w:t>klidu</w:t>
      </w:r>
    </w:p>
    <w:p w14:paraId="1D799275" w14:textId="6181FED5" w:rsidR="00C4493B" w:rsidRDefault="00AC155F">
      <w:pPr>
        <w:pStyle w:val="Odstavecseseznamem"/>
        <w:numPr>
          <w:ilvl w:val="0"/>
          <w:numId w:val="107"/>
        </w:numPr>
        <w:ind w:left="709"/>
      </w:pPr>
      <w:r>
        <w:t>Stávající zařízení dopravy v klidu jsou respektována a integrována do smíšeného využití ploch s rozdílným způsobem využití. Nejsou samostatně vyčleňována a předpokládá se jejich možná úprava dle místního řešení zástavby a veřejných prostranství.</w:t>
      </w:r>
      <w:r w:rsidR="00895797">
        <w:t xml:space="preserve"> Parkoviště sloužící výrobním areálům jsou zahrnuta do ploch smíšených výrobních.</w:t>
      </w:r>
      <w:r w:rsidR="00DE3BDF">
        <w:t xml:space="preserve"> </w:t>
      </w:r>
      <w:r w:rsidR="00383ED4">
        <w:t>U řadových garáží se předpokládá, že mohou být dle místní situace stavebně upravena a zapojeny do zástavby nebo zachovány jako součást ploch veřejných prostranství</w:t>
      </w:r>
      <w:r w:rsidR="00562467">
        <w:t xml:space="preserve"> bez možnosti dalšího rozšiřování</w:t>
      </w:r>
      <w:r w:rsidR="00383ED4">
        <w:t>.</w:t>
      </w:r>
    </w:p>
    <w:p w14:paraId="38542762" w14:textId="77777777" w:rsidR="004D4536" w:rsidRDefault="004D4536" w:rsidP="004D4536">
      <w:pPr>
        <w:pStyle w:val="Odstavecseseznamem"/>
      </w:pPr>
      <w:r>
        <w:t>Opatření statické dopravy jsou stanovena zejména z následujících důvodů:</w:t>
      </w:r>
    </w:p>
    <w:p w14:paraId="0F77ACE0" w14:textId="480D0FB8" w:rsidR="004D4536" w:rsidRDefault="004D4536">
      <w:pPr>
        <w:pStyle w:val="Odstavecseseznamem"/>
        <w:numPr>
          <w:ilvl w:val="0"/>
          <w:numId w:val="108"/>
        </w:numPr>
        <w:ind w:left="1134"/>
      </w:pPr>
      <w:r>
        <w:t>ochrana zastavěného území a veřejných prostranství před živelný</w:t>
      </w:r>
      <w:r w:rsidR="00562467">
        <w:t>m</w:t>
      </w:r>
      <w:r>
        <w:t xml:space="preserve"> parkování</w:t>
      </w:r>
      <w:r w:rsidR="00562467">
        <w:t>m</w:t>
      </w:r>
      <w:r>
        <w:t>, které přináší mimo prostorový zábor rizika vzniku dopravně nebezpečných situací a zvýšení nehodovosti,</w:t>
      </w:r>
    </w:p>
    <w:p w14:paraId="30B931D2" w14:textId="623D36B5" w:rsidR="004D4536" w:rsidRDefault="004D4536">
      <w:pPr>
        <w:pStyle w:val="Odstavecseseznamem"/>
        <w:numPr>
          <w:ilvl w:val="0"/>
          <w:numId w:val="108"/>
        </w:numPr>
        <w:ind w:left="1134"/>
      </w:pPr>
      <w:r>
        <w:t>zajištění systémového řešení v rámci celého území obce</w:t>
      </w:r>
      <w:r w:rsidR="00562467">
        <w:t>,</w:t>
      </w:r>
    </w:p>
    <w:p w14:paraId="071056ED" w14:textId="36749656" w:rsidR="00562467" w:rsidRDefault="00562467">
      <w:pPr>
        <w:pStyle w:val="Odstavecseseznamem"/>
        <w:numPr>
          <w:ilvl w:val="0"/>
          <w:numId w:val="108"/>
        </w:numPr>
        <w:ind w:left="1134"/>
      </w:pPr>
      <w:r>
        <w:t>zamezení neefektivnímu využívání veřejných prostranství pro parkování formou řadových garáží,</w:t>
      </w:r>
    </w:p>
    <w:p w14:paraId="70AF74CF" w14:textId="0ED1421A" w:rsidR="00873D1D" w:rsidRDefault="00873D1D">
      <w:pPr>
        <w:pStyle w:val="Odstavecseseznamem"/>
        <w:numPr>
          <w:ilvl w:val="0"/>
          <w:numId w:val="108"/>
        </w:numPr>
        <w:ind w:left="1134"/>
      </w:pPr>
      <w:r w:rsidRPr="008420E3">
        <w:rPr>
          <w:iCs/>
        </w:rPr>
        <w:t>dlouhodobá i krátkodobá stání budou umístěna na pozemku stavby v celém rozsahu</w:t>
      </w:r>
      <w:r>
        <w:rPr>
          <w:iCs/>
        </w:rPr>
        <w:t xml:space="preserve"> tak, aby pozemky zástavby nezatěžovaly svou potřebou statické dopravy veřejná prostranství,</w:t>
      </w:r>
    </w:p>
    <w:p w14:paraId="03FEA376" w14:textId="1FC5616E" w:rsidR="00562467" w:rsidRDefault="00CC5B65">
      <w:pPr>
        <w:pStyle w:val="Odstavecseseznamem"/>
        <w:numPr>
          <w:ilvl w:val="0"/>
          <w:numId w:val="108"/>
        </w:numPr>
        <w:ind w:left="1134"/>
      </w:pPr>
      <w:r>
        <w:lastRenderedPageBreak/>
        <w:t>zajištění kapacity statické dopravy pro rekreační areály mimo pozemky veřejných prostranství a</w:t>
      </w:r>
      <w:r w:rsidR="00DF1FE0">
        <w:t> </w:t>
      </w:r>
      <w:r>
        <w:t xml:space="preserve">místních </w:t>
      </w:r>
      <w:r w:rsidR="00873D1D">
        <w:t>komunikací,</w:t>
      </w:r>
      <w:r>
        <w:t xml:space="preserve"> a tedy neubírání jejich kapacity pro residenční parkování</w:t>
      </w:r>
      <w:r w:rsidR="00A31EA9">
        <w:t xml:space="preserve"> a parkování pro</w:t>
      </w:r>
      <w:r w:rsidR="00DF1FE0">
        <w:t> </w:t>
      </w:r>
      <w:r w:rsidR="00A31EA9">
        <w:t>potřeby obsluhy občanského vybavení.</w:t>
      </w:r>
    </w:p>
    <w:p w14:paraId="342A046F" w14:textId="625230BD" w:rsidR="00562467" w:rsidRPr="00562467" w:rsidRDefault="00562467">
      <w:pPr>
        <w:pStyle w:val="Odstavecseseznamem"/>
        <w:numPr>
          <w:ilvl w:val="0"/>
          <w:numId w:val="107"/>
        </w:numPr>
        <w:ind w:left="851"/>
      </w:pPr>
      <w:r>
        <w:t>J</w:t>
      </w:r>
      <w:r w:rsidRPr="00562467">
        <w:t>e stanovena procentuální korekce pro vybrané způsoby využití:</w:t>
      </w:r>
    </w:p>
    <w:p w14:paraId="4AF8EE84" w14:textId="5358B405" w:rsidR="00562467" w:rsidRPr="00873D1D" w:rsidRDefault="00562467">
      <w:pPr>
        <w:pStyle w:val="Odstavecseseznamem"/>
        <w:numPr>
          <w:ilvl w:val="0"/>
          <w:numId w:val="108"/>
        </w:numPr>
        <w:ind w:left="1134"/>
      </w:pPr>
      <w:r w:rsidRPr="00873D1D">
        <w:t>Procentuální korekce pro bydlení 200 % je stanovena z důvodu zajištění kapacity stání pro rodinný dům nebo bytovou jednotku pod 100 m</w:t>
      </w:r>
      <w:r w:rsidRPr="00873D1D">
        <w:rPr>
          <w:vertAlign w:val="superscript"/>
        </w:rPr>
        <w:t>2</w:t>
      </w:r>
      <w:r w:rsidRPr="00873D1D">
        <w:t xml:space="preserve"> tak, jak stanovila ČSN 736110 před platností vyhl. č. 164/2024 Sb. Vyhláška č. 146/2024 Sb. redukuje požadavek na počet parkovacích míst pro rodinný dům nebo bytovou jednotku pod 100 m</w:t>
      </w:r>
      <w:r w:rsidRPr="00667780">
        <w:rPr>
          <w:vertAlign w:val="superscript"/>
        </w:rPr>
        <w:t>2</w:t>
      </w:r>
      <w:r w:rsidRPr="00873D1D">
        <w:t xml:space="preserve"> na přibližně 50 %, což má významně negativní dopad na deficit dlouhodobých stání v převážně obytné zástavbě </w:t>
      </w:r>
      <w:r w:rsidR="00D5788A">
        <w:t>Hluboček</w:t>
      </w:r>
      <w:r w:rsidRPr="00873D1D">
        <w:t xml:space="preserve"> a vyvolává tlak na umístění těchto deficitních stání na pozemky veřejných prostranství, a to i ve vlastnictví obce.</w:t>
      </w:r>
    </w:p>
    <w:p w14:paraId="03E10643" w14:textId="77777777" w:rsidR="00562467" w:rsidRPr="00873D1D" w:rsidRDefault="00562467">
      <w:pPr>
        <w:pStyle w:val="Odstavecseseznamem"/>
        <w:numPr>
          <w:ilvl w:val="0"/>
          <w:numId w:val="108"/>
        </w:numPr>
        <w:ind w:left="1134"/>
      </w:pPr>
      <w:r w:rsidRPr="00873D1D">
        <w:t>Procentuální korekce pro obchod a služby – drobné provozovny a služby do 300 m</w:t>
      </w:r>
      <w:r w:rsidRPr="00873D1D">
        <w:rPr>
          <w:vertAlign w:val="superscript"/>
        </w:rPr>
        <w:t>2</w:t>
      </w:r>
      <w:r w:rsidRPr="00873D1D">
        <w:t xml:space="preserve"> prodejní plochy je stanovena z důvodu přiměřené úpravy nároku na parkování pro drobný obchod a služby pro posílení drobného podnikání a služeb v parteru zástavby, zejména v centrálních částech obce, kde není reálné dosáhnout požadovaných nároků na zajištění statické dopravy.</w:t>
      </w:r>
    </w:p>
    <w:p w14:paraId="484C593B" w14:textId="5DCB25CB" w:rsidR="00450A56" w:rsidRDefault="00450A56" w:rsidP="00BE68A3">
      <w:pPr>
        <w:pStyle w:val="Nadpis5"/>
      </w:pPr>
      <w:r>
        <w:t>Veřejná hromadná doprava</w:t>
      </w:r>
    </w:p>
    <w:p w14:paraId="6A631E52" w14:textId="77777777" w:rsidR="0049485A" w:rsidRDefault="000C7110">
      <w:pPr>
        <w:pStyle w:val="Odstavecseseznamem"/>
        <w:numPr>
          <w:ilvl w:val="0"/>
          <w:numId w:val="109"/>
        </w:numPr>
        <w:ind w:left="851"/>
      </w:pPr>
      <w:r>
        <w:t xml:space="preserve">Stávající systém veřejné hromadné dopravy je stabilizován. </w:t>
      </w:r>
    </w:p>
    <w:p w14:paraId="2F970D19" w14:textId="1D425E3A" w:rsidR="00C4493B" w:rsidRDefault="0049485A" w:rsidP="00475584">
      <w:pPr>
        <w:pStyle w:val="Odstavecseseznamem"/>
        <w:ind w:left="851"/>
      </w:pPr>
      <w:r>
        <w:t>Hromadná doprava je zajištěna vlakovými linkami po železniční trati č. 310 v 0,5 – 1 h intervalu s dojezdem z Olomouce do 20-ti minut. Vlaková doprava tvoří páteř hromadné dopravy obce.</w:t>
      </w:r>
    </w:p>
    <w:p w14:paraId="39270FB2" w14:textId="3290B5E0" w:rsidR="0049485A" w:rsidRDefault="0049485A">
      <w:pPr>
        <w:pStyle w:val="Odstavecseseznamem"/>
        <w:numPr>
          <w:ilvl w:val="0"/>
          <w:numId w:val="109"/>
        </w:numPr>
        <w:ind w:left="851"/>
      </w:pPr>
      <w:r>
        <w:t>Vlaková doprava je doplněna linkovou autobusovou dopravou ve směru Olomouc, hlavní nádraží, Dolany – Svatý Kopeček a ve směru Velký Újezd/Tršice. Místní linka tvoří spojení mezi Mariánským Údolím a Hlubočkami (domov důchodců).</w:t>
      </w:r>
    </w:p>
    <w:p w14:paraId="031B7805" w14:textId="18FE0049" w:rsidR="009B3263" w:rsidRPr="00C4493B" w:rsidRDefault="008A4F04" w:rsidP="00475584">
      <w:pPr>
        <w:pStyle w:val="Odstavecseseznamem"/>
        <w:ind w:left="851"/>
      </w:pPr>
      <w:r>
        <w:t>Hlavní spojení na Olomouc, hlavní nádraží pokrývá hlavní špičkové časy v intervalu 1-2x za hodinu. Ostatní spoje jezdí 1-2x za den.</w:t>
      </w:r>
    </w:p>
    <w:p w14:paraId="219996C4" w14:textId="234C9CF3" w:rsidR="00450A56" w:rsidRDefault="00450A56" w:rsidP="00BE68A3">
      <w:pPr>
        <w:pStyle w:val="Nadpis5"/>
      </w:pPr>
      <w:r>
        <w:t>Drážní doprava</w:t>
      </w:r>
    </w:p>
    <w:p w14:paraId="0BE88A68" w14:textId="4CC32D0C" w:rsidR="006A7C8B" w:rsidRDefault="007B26F6">
      <w:pPr>
        <w:pStyle w:val="Odstavecseseznamem"/>
        <w:numPr>
          <w:ilvl w:val="0"/>
          <w:numId w:val="110"/>
        </w:numPr>
        <w:ind w:left="851"/>
      </w:pPr>
      <w:r>
        <w:t>Správním</w:t>
      </w:r>
      <w:r w:rsidR="009A11ED">
        <w:t xml:space="preserve"> územím </w:t>
      </w:r>
      <w:r>
        <w:t xml:space="preserve">obce </w:t>
      </w:r>
      <w:r w:rsidR="009A11ED">
        <w:t>prochází jednokolejná železniční trať č. 310 Olomouc – Krnov – Opava východ. Trať je v</w:t>
      </w:r>
      <w:r w:rsidR="000F236D">
        <w:t> </w:t>
      </w:r>
      <w:r w:rsidR="009A11ED">
        <w:t xml:space="preserve">území stabilizována. </w:t>
      </w:r>
    </w:p>
    <w:p w14:paraId="26C31C77" w14:textId="7FBFC730" w:rsidR="006A7C8B" w:rsidRDefault="006A7C8B" w:rsidP="00475584">
      <w:pPr>
        <w:pStyle w:val="Odstavecseseznamem"/>
        <w:ind w:left="851"/>
      </w:pPr>
      <w:r>
        <w:t xml:space="preserve">Ve správním území obce se nachází 6 železničních stanic: </w:t>
      </w:r>
      <w:r w:rsidRPr="006A7C8B">
        <w:t>Hlubočky-Mariánské Údolí</w:t>
      </w:r>
      <w:r>
        <w:t xml:space="preserve">, </w:t>
      </w:r>
      <w:r w:rsidRPr="006A7C8B">
        <w:t>Hlubočky zastávka</w:t>
      </w:r>
      <w:r>
        <w:t xml:space="preserve">, Hlubočky, </w:t>
      </w:r>
      <w:r w:rsidRPr="006A7C8B">
        <w:t>Hrubá Voda zastávka</w:t>
      </w:r>
      <w:r>
        <w:t xml:space="preserve">, </w:t>
      </w:r>
      <w:r w:rsidRPr="006A7C8B">
        <w:t>Hrubá Voda</w:t>
      </w:r>
      <w:r>
        <w:t xml:space="preserve"> a </w:t>
      </w:r>
      <w:r w:rsidRPr="006A7C8B">
        <w:t>Hrubá Voda-Smilov</w:t>
      </w:r>
      <w:r>
        <w:t>. Z</w:t>
      </w:r>
      <w:r w:rsidRPr="006A7C8B">
        <w:t>e stanice Hlubočky – Mariánské Údolí odbočuje vlečka firmy Moravia</w:t>
      </w:r>
      <w:r>
        <w:t>.</w:t>
      </w:r>
    </w:p>
    <w:p w14:paraId="28DECAB9" w14:textId="293F144B" w:rsidR="009A11ED" w:rsidRDefault="009A11ED">
      <w:pPr>
        <w:pStyle w:val="Odstavecseseznamem"/>
        <w:numPr>
          <w:ilvl w:val="0"/>
          <w:numId w:val="110"/>
        </w:numPr>
        <w:ind w:left="851"/>
      </w:pPr>
      <w:r>
        <w:t xml:space="preserve">V současné době je na této trati motorový provoz a předpokládá se její revitalizace </w:t>
      </w:r>
      <w:r w:rsidR="00C92851">
        <w:t>a</w:t>
      </w:r>
      <w:r w:rsidR="000F236D">
        <w:t> </w:t>
      </w:r>
      <w:r w:rsidR="00C92851">
        <w:t xml:space="preserve">elektrifikace </w:t>
      </w:r>
      <w:r>
        <w:t>v souladu se Zásadami územního rozvoje Olomouckého kraje (koridor DD7)</w:t>
      </w:r>
      <w:r w:rsidR="00A1094F">
        <w:t>. Koridor je upřesněn stabilizovanými plochami dopravy drážní (DD) tak, aby byl minimalizován dopad na stabilizované plochy zastavěného území obce, které jsou dotčeny průchodem železniční trati.</w:t>
      </w:r>
    </w:p>
    <w:p w14:paraId="76110430" w14:textId="0D3C7554" w:rsidR="00450A56" w:rsidRDefault="00450A56" w:rsidP="00BE68A3">
      <w:pPr>
        <w:pStyle w:val="Nadpis5"/>
      </w:pPr>
      <w:r>
        <w:t>Letecká doprava</w:t>
      </w:r>
    </w:p>
    <w:p w14:paraId="013C9A78" w14:textId="2C92875C" w:rsidR="00C4493B" w:rsidRDefault="007B26F6">
      <w:pPr>
        <w:pStyle w:val="Odstavecseseznamem"/>
        <w:numPr>
          <w:ilvl w:val="0"/>
          <w:numId w:val="111"/>
        </w:numPr>
        <w:ind w:left="709"/>
      </w:pPr>
      <w:r>
        <w:t>Územní plán respektuje podmínky v</w:t>
      </w:r>
      <w:r w:rsidRPr="00FF5FBE">
        <w:t>zdušn</w:t>
      </w:r>
      <w:r>
        <w:t>ého</w:t>
      </w:r>
      <w:r w:rsidRPr="00FF5FBE">
        <w:t xml:space="preserve"> prostor</w:t>
      </w:r>
      <w:r>
        <w:t>u</w:t>
      </w:r>
      <w:r w:rsidRPr="00FF5FBE">
        <w:t xml:space="preserve"> LK TSA24 Litovel </w:t>
      </w:r>
      <w:r>
        <w:t xml:space="preserve">a </w:t>
      </w:r>
      <w:r w:rsidRPr="00FF5FBE">
        <w:t>LK TSA3 Libavá</w:t>
      </w:r>
      <w:r>
        <w:t>.</w:t>
      </w:r>
    </w:p>
    <w:p w14:paraId="2A5288AB" w14:textId="19F1045A" w:rsidR="007B26F6" w:rsidRPr="00C4493B" w:rsidRDefault="007B26F6">
      <w:pPr>
        <w:pStyle w:val="Odstavecseseznamem"/>
        <w:numPr>
          <w:ilvl w:val="0"/>
          <w:numId w:val="111"/>
        </w:numPr>
        <w:ind w:left="709"/>
      </w:pPr>
      <w:r>
        <w:t>Zájmy letecké dopravy nejsou územním plánem dotčeny.</w:t>
      </w:r>
    </w:p>
    <w:p w14:paraId="04AFB3DB" w14:textId="3CAFABFE" w:rsidR="00450A56" w:rsidRDefault="00450A56" w:rsidP="00BE68A3">
      <w:pPr>
        <w:pStyle w:val="Nadpis5"/>
      </w:pPr>
      <w:r>
        <w:t>Cyklistická doprava</w:t>
      </w:r>
    </w:p>
    <w:p w14:paraId="1C934274" w14:textId="203C5370" w:rsidR="00C4493B" w:rsidRDefault="001F7A4E">
      <w:pPr>
        <w:pStyle w:val="Odstavecseseznamem"/>
        <w:numPr>
          <w:ilvl w:val="0"/>
          <w:numId w:val="112"/>
        </w:numPr>
        <w:ind w:left="709"/>
      </w:pPr>
      <w:r>
        <w:t>Systém cyklistické dopravy je stabilizován ve stávajících páteřních cyklistických trasách a místě stezkách (</w:t>
      </w:r>
      <w:r w:rsidRPr="00FF5FBE">
        <w:t>6009, 6030, 6108 a</w:t>
      </w:r>
      <w:r>
        <w:t> </w:t>
      </w:r>
      <w:r w:rsidRPr="00FF5FBE">
        <w:t>MTB Brody</w:t>
      </w:r>
      <w:r>
        <w:t>). Cyklistická doprava je vedena jako součást využití systému veřejných prostranství. Nároky na uspořádání profilu místních komunikací s vedením cyklistické dopravy jsou řešeny vymezením ploch veřejných prostranství.</w:t>
      </w:r>
    </w:p>
    <w:p w14:paraId="68D192BE" w14:textId="32F4FC2F" w:rsidR="001F7A4E" w:rsidRPr="00C4493B" w:rsidRDefault="00083502">
      <w:pPr>
        <w:pStyle w:val="Odstavecseseznamem"/>
        <w:numPr>
          <w:ilvl w:val="0"/>
          <w:numId w:val="112"/>
        </w:numPr>
        <w:ind w:left="709"/>
      </w:pPr>
      <w:r>
        <w:t>Opatření cyklistické dopravy cestní síť v krajině je vymezena z důvodu zajištění koridoru pro páteřní vedení stezky pro pěší a cyklisty v krajině, resp. mimo systém veřejných prostranství včetně minimálního šířkového standardu trasy, umožňující realizaci stezky pro pěší a cyklisty v šířce 2 – 3 m dle místních podmínek.</w:t>
      </w:r>
    </w:p>
    <w:p w14:paraId="78CB9FF2" w14:textId="122126D9" w:rsidR="00450A56" w:rsidRDefault="00450A56" w:rsidP="00BE68A3">
      <w:pPr>
        <w:pStyle w:val="Nadpis5"/>
      </w:pPr>
      <w:r>
        <w:t>Pěší doprava</w:t>
      </w:r>
    </w:p>
    <w:p w14:paraId="50EF28FD" w14:textId="376C0C5C" w:rsidR="00C4493B" w:rsidRDefault="00ED7B13">
      <w:pPr>
        <w:pStyle w:val="Odstavecseseznamem"/>
        <w:numPr>
          <w:ilvl w:val="0"/>
          <w:numId w:val="113"/>
        </w:numPr>
        <w:ind w:left="709"/>
      </w:pPr>
      <w:r w:rsidRPr="00ED7B13">
        <w:t>Pěší doprava ve správním území obce je vedena zčásti podél vozovek silnic III. tř. a místních komunikací. Chodníky a stezky pro chodce budou budovány jako součást ploch veřejných prostranství společně s</w:t>
      </w:r>
      <w:r>
        <w:t> </w:t>
      </w:r>
      <w:r w:rsidRPr="00ED7B13">
        <w:t>vozovkami silnic a místních komunikací a v plochách s jiným způsobem využití.</w:t>
      </w:r>
    </w:p>
    <w:p w14:paraId="23DB6832" w14:textId="6F45E24A" w:rsidR="00ED7B13" w:rsidRDefault="00ED7B13">
      <w:pPr>
        <w:pStyle w:val="Odstavecseseznamem"/>
        <w:numPr>
          <w:ilvl w:val="0"/>
          <w:numId w:val="113"/>
        </w:numPr>
        <w:ind w:left="709"/>
      </w:pPr>
      <w:r>
        <w:t>Ve správním území obce se nachází turistické a naučné stezky (</w:t>
      </w:r>
      <w:r w:rsidRPr="00FF5FBE">
        <w:t>NS Hrubá Voda – voda živá“, „NS skřítka Hrubíka“</w:t>
      </w:r>
      <w:r>
        <w:t>,</w:t>
      </w:r>
      <w:r w:rsidRPr="00FF5FBE">
        <w:t>„NS Údolím Bystřice“</w:t>
      </w:r>
      <w:r>
        <w:t>), které jsou respektovány a zapojeny do systému veřejných prostranství a cestní sítě v krajině. Velkobystřická trasa propojuje Mariánské Údolí s Velkou Bystřicí a Svatým Kopečkem.</w:t>
      </w:r>
      <w:r w:rsidR="009D31DC">
        <w:t xml:space="preserve"> Zelená turistická trasa propojuje Mariánské Údolí s Posluchovem a dále směrem na Radíkov. Žlutá turistická trasa propojuje Duklu přes Zdiměřskou hájovnu směrem na Radíkov a severně přes Drápalovu Samotu směrem na Pohořany.</w:t>
      </w:r>
      <w:r w:rsidR="00B700C9">
        <w:t xml:space="preserve"> Žlutá turistická trasa propojuje Hrubou Vodu a Jívovou.</w:t>
      </w:r>
    </w:p>
    <w:p w14:paraId="6A8DC788" w14:textId="0A0EC46B" w:rsidR="00D55B87" w:rsidRDefault="00D55B87">
      <w:pPr>
        <w:pStyle w:val="Odstavecseseznamem"/>
        <w:numPr>
          <w:ilvl w:val="0"/>
          <w:numId w:val="113"/>
        </w:numPr>
        <w:ind w:left="709"/>
      </w:pPr>
      <w:r w:rsidRPr="00D55B87">
        <w:lastRenderedPageBreak/>
        <w:t xml:space="preserve">Opatření </w:t>
      </w:r>
      <w:r>
        <w:t>pěší</w:t>
      </w:r>
      <w:r w:rsidRPr="00D55B87">
        <w:t xml:space="preserve"> dopravy cestní síť v krajině je vymezena z důvodu zajištění koridoru pro páteřní vedení stezky pro pěší a cyklisty v krajině, resp. mimo systém veřejných prostranství včetně minimálního šířkového standardu trasy, umožňující realizaci stezky pro pěší a cyklisty v šířce 2 – 3 m dle místních podmínek.</w:t>
      </w:r>
    </w:p>
    <w:p w14:paraId="41A72D87" w14:textId="416458B3" w:rsidR="00D55B87" w:rsidRPr="00D55B87" w:rsidRDefault="00D55B87" w:rsidP="00D55B87">
      <w:pPr>
        <w:pStyle w:val="Odstavecseseznamem"/>
        <w:ind w:left="709"/>
      </w:pPr>
      <w:r>
        <w:t>Podmínka posilovat pěší prostupnost podél Bystřice a jejích přítoků je stanovena z důvodu zajištění prostupnosti základní osnovy krajiny podél údolí Bystřice a jejích jednotlivých přítoků. Krajinná osnova je tak propojena s osnovou pohybu územím sídla i krajiny.</w:t>
      </w:r>
    </w:p>
    <w:p w14:paraId="42CD9522" w14:textId="2959C8A9" w:rsidR="00450A56" w:rsidRDefault="00450A56" w:rsidP="00BE68A3">
      <w:pPr>
        <w:pStyle w:val="Nadpis5"/>
      </w:pPr>
      <w:r>
        <w:t>Hipostezky</w:t>
      </w:r>
    </w:p>
    <w:p w14:paraId="7B36A6C5" w14:textId="11265331" w:rsidR="00C4493B" w:rsidRPr="00C4493B" w:rsidRDefault="00B61F55">
      <w:pPr>
        <w:pStyle w:val="Odstavecseseznamem"/>
        <w:numPr>
          <w:ilvl w:val="0"/>
          <w:numId w:val="114"/>
        </w:numPr>
        <w:ind w:left="709"/>
      </w:pPr>
      <w:r w:rsidRPr="00B61F55">
        <w:t>Okolí správního území obce s hodnotnou přírodou a přírodními zajímavostmi umožňuje rozvoj hipoturistiky. Hipoturistika může přiměřeně využívat stávající cestní síť v krajině.</w:t>
      </w:r>
    </w:p>
    <w:p w14:paraId="18DCA696" w14:textId="49710249" w:rsidR="00450A56" w:rsidRDefault="00450A56" w:rsidP="00FD6FA9">
      <w:pPr>
        <w:pStyle w:val="Nadpis5"/>
      </w:pPr>
      <w:r>
        <w:t>Zemědělská a lesní doprava</w:t>
      </w:r>
    </w:p>
    <w:p w14:paraId="39C2B5F7" w14:textId="0864C2E4" w:rsidR="00C4493B" w:rsidRPr="00C4493B" w:rsidRDefault="00B61F55">
      <w:pPr>
        <w:pStyle w:val="Odstavecseseznamem"/>
        <w:numPr>
          <w:ilvl w:val="0"/>
          <w:numId w:val="115"/>
        </w:numPr>
        <w:ind w:left="709"/>
      </w:pPr>
      <w:r>
        <w:t>Zemědělská a lesní účelová doprava probíhá dnes zčásti po účelových a místních komunikacích, zčásti po místních komunikacích, z části po silnicích III. tř. Intenzita provozu zemědělské techniky je výrazně závislá na sezónních pracích. Budou zachovány přístupové cesty a sjezdy na zemědělské pozemky. Využití polních cest, včetně cest vznikajících v rámci zemědělského hospodaření, se v daném území jeví jako vhodné doplnění systému dopravní obsluhy. Ochranu základní sítě účelových komunikací významných pro</w:t>
      </w:r>
      <w:r w:rsidR="008D47B3">
        <w:t> </w:t>
      </w:r>
      <w:r w:rsidR="00E47938">
        <w:t xml:space="preserve">prostupnost území </w:t>
      </w:r>
      <w:r>
        <w:t xml:space="preserve">zajišťuje </w:t>
      </w:r>
      <w:r w:rsidR="00440414">
        <w:t xml:space="preserve">územní plán </w:t>
      </w:r>
      <w:r>
        <w:t>vymezením veřejných prostranství a dopravních ploch.</w:t>
      </w:r>
    </w:p>
    <w:p w14:paraId="1017F8CC" w14:textId="4F889093" w:rsidR="00450A56" w:rsidRDefault="00450A56" w:rsidP="00FD6FA9">
      <w:pPr>
        <w:pStyle w:val="Nadpis5"/>
      </w:pPr>
      <w:r>
        <w:t>Rekreační doprava</w:t>
      </w:r>
    </w:p>
    <w:p w14:paraId="6EE2CDB4" w14:textId="70655375" w:rsidR="00C4493B" w:rsidRDefault="005D7674">
      <w:pPr>
        <w:pStyle w:val="Odstavecseseznamem"/>
        <w:numPr>
          <w:ilvl w:val="0"/>
          <w:numId w:val="116"/>
        </w:numPr>
        <w:ind w:left="709"/>
      </w:pPr>
      <w:r>
        <w:t>Zařízení rekreační dopravy v rámci nadmístních rekreačních areálů Hlubočky a Hrubá voda jsou stabilizována a nepředpokládá se v návrhovém horizontu územního plánu jejich územní rozvoj</w:t>
      </w:r>
      <w:r w:rsidR="00675CCE">
        <w:t xml:space="preserve"> mimo rozsah těchto areálů</w:t>
      </w:r>
      <w:r>
        <w:t>.</w:t>
      </w:r>
    </w:p>
    <w:p w14:paraId="5552414E" w14:textId="548CF0B4" w:rsidR="00675CCE" w:rsidRPr="00C4493B" w:rsidRDefault="00675CCE">
      <w:pPr>
        <w:pStyle w:val="Odstavecseseznamem"/>
        <w:numPr>
          <w:ilvl w:val="0"/>
          <w:numId w:val="116"/>
        </w:numPr>
        <w:ind w:left="709"/>
      </w:pPr>
      <w:r>
        <w:t>Rozvoj lyžařských vleků a souvisejícího vybavení je možné rozvíjet v rámci nadmístních rekreačních areálů Hlubočky a Hrubá voda.</w:t>
      </w:r>
    </w:p>
    <w:p w14:paraId="343E853A" w14:textId="6C85897F" w:rsidR="007364E8" w:rsidRDefault="007364E8" w:rsidP="008A41F9">
      <w:pPr>
        <w:pStyle w:val="Nadpis4"/>
      </w:pPr>
      <w:r>
        <w:t>Technická infrastruktura</w:t>
      </w:r>
    </w:p>
    <w:p w14:paraId="7282DF36" w14:textId="466855F4" w:rsidR="00DC7425" w:rsidRDefault="00DC7425" w:rsidP="00DC7425">
      <w:r>
        <w:t>Technická infrastruktura tvoří systémy, které zajišťují odpovídající úroveň technické obsluhy sídla a jeho obyvatel. Jedná se o zajištění dostupnosti energií a informací, zajištění pitné vody, odvádění splaškových a</w:t>
      </w:r>
      <w:r w:rsidR="00A2238E">
        <w:t> </w:t>
      </w:r>
      <w:r w:rsidR="008B33A7">
        <w:t>dešťových</w:t>
      </w:r>
      <w:r>
        <w:t xml:space="preserve"> vod a dalších systémů obsluhujících území. </w:t>
      </w:r>
    </w:p>
    <w:p w14:paraId="21BA0CE3" w14:textId="6874E59F" w:rsidR="00DC7425" w:rsidRDefault="00DC7425" w:rsidP="00DC7425">
      <w:r>
        <w:t xml:space="preserve">V územním plánu jsou navržena konkrétní opatření technické infrastruktury, která jsou nutná pro zajištění této technické obsluhy území pro předpokládaný počet obyvatel. Tato opatření a jejich popis, resp. podmínky jsou součástí odpovídajících kapitol technické infrastruktury. Jestliže jsou nutná v návrhu zobrazit graficky, jsou vymezena jako </w:t>
      </w:r>
      <w:r w:rsidR="00A2238E">
        <w:t xml:space="preserve">plochy nebo </w:t>
      </w:r>
      <w:r>
        <w:t xml:space="preserve">koridory technické infrastruktury. </w:t>
      </w:r>
    </w:p>
    <w:p w14:paraId="0486FBA2" w14:textId="798D1416" w:rsidR="00C4493B" w:rsidRPr="00C4493B" w:rsidRDefault="00DC7425" w:rsidP="00DC7425">
      <w:r>
        <w:t>Stávající sítě technické infrastruktury jsou stabilizovány mimo přeložek nebo rušených úseků. Do stávajících stabilizovaných sítí technické infrastruktury nejsou zahrnuty stávající nefunkční nebo nenapojené části sítě.</w:t>
      </w:r>
    </w:p>
    <w:p w14:paraId="6A91990B" w14:textId="72E7FBE7" w:rsidR="00FD6FA9" w:rsidRDefault="00FD6FA9" w:rsidP="00FD6FA9">
      <w:pPr>
        <w:pStyle w:val="Nadpis5"/>
      </w:pPr>
      <w:r>
        <w:t>Vodní režim</w:t>
      </w:r>
    </w:p>
    <w:p w14:paraId="58B26981" w14:textId="533198B6" w:rsidR="00C4493B" w:rsidRDefault="00C95CB5">
      <w:pPr>
        <w:pStyle w:val="Odstavecseseznamem"/>
        <w:numPr>
          <w:ilvl w:val="0"/>
          <w:numId w:val="117"/>
        </w:numPr>
        <w:ind w:left="709"/>
      </w:pPr>
      <w:r>
        <w:t>Vodní toky</w:t>
      </w:r>
    </w:p>
    <w:p w14:paraId="2B9EEFA2" w14:textId="41D8D46D" w:rsidR="00C95CB5" w:rsidRDefault="00C95CB5" w:rsidP="00C95CB5">
      <w:r>
        <w:t>Hlavním tokem, protékající údolím celého řešeného území je Bystřice, do které jsou zaústěny přítoky z údolnic. Jedná se o vodohospodářsky významný tok</w:t>
      </w:r>
      <w:r w:rsidR="009A5950">
        <w:t>.</w:t>
      </w:r>
      <w:r>
        <w:t xml:space="preserve"> Bystřice se vlévá do Moravy, správcem toku je Povodí Moravy.</w:t>
      </w:r>
    </w:p>
    <w:p w14:paraId="5ABE6024" w14:textId="661DC14D" w:rsidR="009A5950" w:rsidRDefault="009A5950" w:rsidP="00C95CB5">
      <w:r>
        <w:t>Levobřežní přítoky Bystřice:</w:t>
      </w:r>
    </w:p>
    <w:p w14:paraId="38341EF9" w14:textId="77247E98" w:rsidR="009A5950" w:rsidRDefault="009A5950">
      <w:pPr>
        <w:pStyle w:val="Odstavecseseznamem"/>
        <w:numPr>
          <w:ilvl w:val="0"/>
          <w:numId w:val="119"/>
        </w:numPr>
        <w:ind w:left="1134"/>
      </w:pPr>
      <w:r>
        <w:t xml:space="preserve">Lichnička včetně přítoků (správce </w:t>
      </w:r>
      <w:r w:rsidRPr="009A5950">
        <w:t>Lesy ČR, s.p.</w:t>
      </w:r>
      <w:r>
        <w:t>)</w:t>
      </w:r>
    </w:p>
    <w:p w14:paraId="43F6F543" w14:textId="5310E986" w:rsidR="009A5950" w:rsidRDefault="009A5950">
      <w:pPr>
        <w:pStyle w:val="Odstavecseseznamem"/>
        <w:numPr>
          <w:ilvl w:val="0"/>
          <w:numId w:val="119"/>
        </w:numPr>
        <w:ind w:left="1134"/>
      </w:pPr>
      <w:r>
        <w:t xml:space="preserve">Nepřívazský potok včetně přítoků (správce </w:t>
      </w:r>
      <w:r w:rsidRPr="009A5950">
        <w:t>Lesy ČR, s.p.</w:t>
      </w:r>
      <w:r>
        <w:t>)</w:t>
      </w:r>
    </w:p>
    <w:p w14:paraId="190BB71C" w14:textId="64106E7D" w:rsidR="009A5950" w:rsidRDefault="009A5950">
      <w:pPr>
        <w:pStyle w:val="Odstavecseseznamem"/>
        <w:numPr>
          <w:ilvl w:val="0"/>
          <w:numId w:val="119"/>
        </w:numPr>
        <w:ind w:left="1134"/>
      </w:pPr>
      <w:r>
        <w:t xml:space="preserve">Trnava včetně přítoků (správce </w:t>
      </w:r>
      <w:r w:rsidRPr="009A5950">
        <w:t>Povodí Moravy, s. p.</w:t>
      </w:r>
      <w:r>
        <w:t>)</w:t>
      </w:r>
    </w:p>
    <w:p w14:paraId="4CC5A97D" w14:textId="6B0BD96F" w:rsidR="009A5950" w:rsidRDefault="009A5950">
      <w:pPr>
        <w:pStyle w:val="Odstavecseseznamem"/>
        <w:numPr>
          <w:ilvl w:val="0"/>
          <w:numId w:val="119"/>
        </w:numPr>
        <w:ind w:left="1134"/>
      </w:pPr>
      <w:r>
        <w:t>Hluboček</w:t>
      </w:r>
      <w:r w:rsidRPr="009A5950">
        <w:t xml:space="preserve"> </w:t>
      </w:r>
      <w:r>
        <w:t xml:space="preserve">včetně přítoků (správce </w:t>
      </w:r>
      <w:r w:rsidRPr="009A5950">
        <w:t>Lesy ČR, s.p.</w:t>
      </w:r>
      <w:r>
        <w:t>)</w:t>
      </w:r>
    </w:p>
    <w:p w14:paraId="083EE0F3" w14:textId="0D340AA3" w:rsidR="009A5950" w:rsidRDefault="009A5950">
      <w:pPr>
        <w:pStyle w:val="Odstavecseseznamem"/>
        <w:numPr>
          <w:ilvl w:val="0"/>
          <w:numId w:val="119"/>
        </w:numPr>
        <w:ind w:left="1134"/>
      </w:pPr>
      <w:r w:rsidRPr="009A5950">
        <w:t xml:space="preserve">LP Bystřice </w:t>
      </w:r>
      <w:r>
        <w:t>včetně přítoků</w:t>
      </w:r>
      <w:r w:rsidRPr="009A5950">
        <w:t xml:space="preserve"> (Podlesí) v km 12,100</w:t>
      </w:r>
    </w:p>
    <w:p w14:paraId="19580398" w14:textId="67E8445D" w:rsidR="009A5950" w:rsidRDefault="009A5950">
      <w:pPr>
        <w:pStyle w:val="Odstavecseseznamem"/>
        <w:numPr>
          <w:ilvl w:val="0"/>
          <w:numId w:val="119"/>
        </w:numPr>
        <w:ind w:left="1134"/>
      </w:pPr>
      <w:r>
        <w:t>a další bezejmenné přítoky</w:t>
      </w:r>
    </w:p>
    <w:p w14:paraId="5971236A" w14:textId="770D77EB" w:rsidR="00C95CB5" w:rsidRDefault="00C95CB5" w:rsidP="00C95CB5">
      <w:r>
        <w:t>Pravobřežní přítoky Bystřice:</w:t>
      </w:r>
    </w:p>
    <w:p w14:paraId="0D25565B" w14:textId="4F0C6A33" w:rsidR="009A5950" w:rsidRDefault="009A5950">
      <w:pPr>
        <w:pStyle w:val="Odstavecseseznamem"/>
        <w:numPr>
          <w:ilvl w:val="0"/>
          <w:numId w:val="118"/>
        </w:numPr>
        <w:ind w:left="1134"/>
      </w:pPr>
      <w:r>
        <w:t xml:space="preserve">Pstružník včetně přítoků (správce </w:t>
      </w:r>
      <w:r w:rsidRPr="009A5950">
        <w:t>Lesy ČR, s.p.</w:t>
      </w:r>
      <w:r>
        <w:t>)</w:t>
      </w:r>
    </w:p>
    <w:p w14:paraId="0A9FED65" w14:textId="4E0DFEA3" w:rsidR="009A5950" w:rsidRDefault="009A5950">
      <w:pPr>
        <w:pStyle w:val="Odstavecseseznamem"/>
        <w:numPr>
          <w:ilvl w:val="0"/>
          <w:numId w:val="118"/>
        </w:numPr>
        <w:ind w:left="1134"/>
      </w:pPr>
      <w:r>
        <w:t xml:space="preserve">Staromlynský potok včetně přítoků (správce </w:t>
      </w:r>
      <w:r w:rsidRPr="009A5950">
        <w:t>Lesy ČR, s.p.</w:t>
      </w:r>
      <w:r>
        <w:t>)</w:t>
      </w:r>
    </w:p>
    <w:p w14:paraId="558670FD" w14:textId="21B9EBD6" w:rsidR="009A5950" w:rsidRDefault="009A5950">
      <w:pPr>
        <w:pStyle w:val="Odstavecseseznamem"/>
        <w:numPr>
          <w:ilvl w:val="0"/>
          <w:numId w:val="118"/>
        </w:numPr>
        <w:ind w:left="1134"/>
      </w:pPr>
      <w:r>
        <w:t xml:space="preserve">Zdiměřský potok včetně přítoků (správce </w:t>
      </w:r>
      <w:r w:rsidRPr="009A5950">
        <w:t>Lesy ČR, s.p.</w:t>
      </w:r>
      <w:r>
        <w:t>)</w:t>
      </w:r>
    </w:p>
    <w:p w14:paraId="40E4FD50" w14:textId="32B8E263" w:rsidR="00C95CB5" w:rsidRDefault="00C95CB5">
      <w:pPr>
        <w:pStyle w:val="Odstavecseseznamem"/>
        <w:numPr>
          <w:ilvl w:val="0"/>
          <w:numId w:val="118"/>
        </w:numPr>
        <w:ind w:left="1134"/>
      </w:pPr>
      <w:r>
        <w:t>PP Bystřice v km 13,150</w:t>
      </w:r>
      <w:r w:rsidR="009A5950">
        <w:t xml:space="preserve"> (správce </w:t>
      </w:r>
      <w:r w:rsidR="009A5950" w:rsidRPr="009A5950">
        <w:t>Lesy ČR, s.p.</w:t>
      </w:r>
      <w:r w:rsidR="009A5950">
        <w:t>)</w:t>
      </w:r>
    </w:p>
    <w:p w14:paraId="559A39B9" w14:textId="7E380C86" w:rsidR="00C95CB5" w:rsidRDefault="00C95CB5">
      <w:pPr>
        <w:pStyle w:val="Odstavecseseznamem"/>
        <w:numPr>
          <w:ilvl w:val="0"/>
          <w:numId w:val="118"/>
        </w:numPr>
        <w:ind w:left="1134"/>
      </w:pPr>
      <w:r>
        <w:t>Posluchovský potok</w:t>
      </w:r>
      <w:r w:rsidR="009A5950">
        <w:t xml:space="preserve"> (správce </w:t>
      </w:r>
      <w:r w:rsidR="009A5950" w:rsidRPr="009A5950">
        <w:t>Lesy ČR, s.p.</w:t>
      </w:r>
      <w:r w:rsidR="009A5950">
        <w:t>)</w:t>
      </w:r>
    </w:p>
    <w:p w14:paraId="71435308" w14:textId="4EA9589B" w:rsidR="00C95CB5" w:rsidRDefault="00C95CB5">
      <w:pPr>
        <w:pStyle w:val="Odstavecseseznamem"/>
        <w:numPr>
          <w:ilvl w:val="0"/>
          <w:numId w:val="118"/>
        </w:numPr>
        <w:ind w:left="1134"/>
      </w:pPr>
      <w:r>
        <w:t>Zlatý Důl</w:t>
      </w:r>
      <w:r w:rsidR="009A5950">
        <w:t xml:space="preserve"> (správce </w:t>
      </w:r>
      <w:r w:rsidR="009A5950" w:rsidRPr="009A5950">
        <w:t>Lesy ČR, s.p.</w:t>
      </w:r>
      <w:r w:rsidR="009A5950">
        <w:t>)</w:t>
      </w:r>
    </w:p>
    <w:p w14:paraId="7F2F9EF6" w14:textId="77777777" w:rsidR="00306D6E" w:rsidRDefault="00306D6E">
      <w:pPr>
        <w:spacing w:before="0" w:after="0"/>
        <w:ind w:left="0"/>
        <w:jc w:val="left"/>
      </w:pPr>
      <w:r>
        <w:br w:type="page"/>
      </w:r>
    </w:p>
    <w:p w14:paraId="438FEE5C" w14:textId="70A1831B" w:rsidR="009A5950" w:rsidRDefault="009A5950" w:rsidP="009A5950">
      <w:pPr>
        <w:ind w:left="774"/>
      </w:pPr>
      <w:r>
        <w:lastRenderedPageBreak/>
        <w:t>Vodní plochy:</w:t>
      </w:r>
    </w:p>
    <w:p w14:paraId="427DD102" w14:textId="04F26C19" w:rsidR="009A5950" w:rsidRDefault="009A5950">
      <w:pPr>
        <w:pStyle w:val="Odstavecseseznamem"/>
        <w:numPr>
          <w:ilvl w:val="0"/>
          <w:numId w:val="120"/>
        </w:numPr>
      </w:pPr>
      <w:r>
        <w:t>vodní nádrž Posluchov (správce obec Hlubočky)</w:t>
      </w:r>
    </w:p>
    <w:p w14:paraId="65196F46" w14:textId="77777777" w:rsidR="00FD3A80" w:rsidRDefault="00FD3A80" w:rsidP="00FD3A80">
      <w:r>
        <w:t>Podle vodního zákona č. 254/2001 Sb. § 49 jsou správci toků po projednání s vlastníky oprávněni užívat pozemků sousedících s korytem vodního toku:</w:t>
      </w:r>
    </w:p>
    <w:p w14:paraId="5DD5D660" w14:textId="724F3E64" w:rsidR="00FD3A80" w:rsidRDefault="00FD3A80">
      <w:pPr>
        <w:pStyle w:val="Odstavecseseznamem"/>
        <w:numPr>
          <w:ilvl w:val="0"/>
          <w:numId w:val="120"/>
        </w:numPr>
        <w:ind w:left="1134"/>
      </w:pPr>
      <w:r>
        <w:t>u významných vodních toků nejvýše do šířky 8 m od břehové hrany</w:t>
      </w:r>
    </w:p>
    <w:p w14:paraId="6F8E0AD2" w14:textId="6307E37F" w:rsidR="00FD3A80" w:rsidRDefault="00FD3A80">
      <w:pPr>
        <w:pStyle w:val="Odstavecseseznamem"/>
        <w:numPr>
          <w:ilvl w:val="0"/>
          <w:numId w:val="120"/>
        </w:numPr>
        <w:ind w:left="1134"/>
      </w:pPr>
      <w:r>
        <w:t>u drobných vodních toků nejvýše v šířce 6 m od břehové hrany</w:t>
      </w:r>
    </w:p>
    <w:p w14:paraId="135696AB" w14:textId="76FEE5A4" w:rsidR="00FD3A80" w:rsidRDefault="00FD3A80" w:rsidP="00FD3A80">
      <w:r>
        <w:t xml:space="preserve">Jedná se o ponechání volného pruhu kolem břehu k umožnění pojezdu mechanismů pro údržbu vod. toku. Nutná je stálá údržba koryt, </w:t>
      </w:r>
      <w:r w:rsidRPr="00FD3A80">
        <w:t>zvláště malých místních svodnic, protože v území ohroženém erozí zajišťují tyto</w:t>
      </w:r>
      <w:r>
        <w:t xml:space="preserve"> </w:t>
      </w:r>
      <w:r w:rsidRPr="00FD3A80">
        <w:t>svodnice odvod vody z území.</w:t>
      </w:r>
    </w:p>
    <w:p w14:paraId="3BC9C5BA" w14:textId="5AEA84B5" w:rsidR="009A5950" w:rsidRDefault="009A5950">
      <w:pPr>
        <w:pStyle w:val="Odstavecseseznamem"/>
        <w:numPr>
          <w:ilvl w:val="0"/>
          <w:numId w:val="117"/>
        </w:numPr>
        <w:ind w:left="709"/>
      </w:pPr>
      <w:r>
        <w:t>Bystřice má stanoveno záplavové území Q100. V dolní části toku, po Bystřici je upravena na průtok Q 50-100 m3/s. V dalším úseku je tokem neupraveným, procházející většinou prostorově stísněným údolím. K rozlivům dochází na lesní i zemědělské půdě, místně i v zastavěném území, převážně v horní části toku. Je zde poměrně vysoká hladina spodní vody korespondující s hladinou vody v řece.</w:t>
      </w:r>
    </w:p>
    <w:p w14:paraId="581D37E6" w14:textId="5126F09F" w:rsidR="009A5950" w:rsidRPr="00C4493B" w:rsidRDefault="009A5950">
      <w:pPr>
        <w:pStyle w:val="Odstavecseseznamem"/>
        <w:numPr>
          <w:ilvl w:val="0"/>
          <w:numId w:val="117"/>
        </w:numPr>
        <w:ind w:left="709"/>
      </w:pPr>
      <w:r>
        <w:t>Záplavové území včetně aktivní zóny záplavového území je respektováno.</w:t>
      </w:r>
    </w:p>
    <w:p w14:paraId="4BD52C26" w14:textId="0FA4B453" w:rsidR="00FD6FA9" w:rsidRDefault="00FD6FA9" w:rsidP="00FD6FA9">
      <w:pPr>
        <w:pStyle w:val="Nadpis5"/>
      </w:pPr>
      <w:r>
        <w:t>Zásobování vodou</w:t>
      </w:r>
    </w:p>
    <w:p w14:paraId="70514608" w14:textId="5AEEAADB" w:rsidR="00C4493B" w:rsidRDefault="00BC03FB">
      <w:pPr>
        <w:pStyle w:val="Odstavecseseznamem"/>
        <w:numPr>
          <w:ilvl w:val="0"/>
          <w:numId w:val="121"/>
        </w:numPr>
        <w:ind w:left="709"/>
      </w:pPr>
      <w:r>
        <w:t>Stávající systém zásobování obce pitnou vodou je stabilizován.</w:t>
      </w:r>
    </w:p>
    <w:p w14:paraId="13CA36F0" w14:textId="5427E29F" w:rsidR="007F7A12" w:rsidRPr="00424EAB" w:rsidRDefault="007F7A12" w:rsidP="007F7A12">
      <w:pPr>
        <w:rPr>
          <w:u w:val="single"/>
        </w:rPr>
      </w:pPr>
      <w:r w:rsidRPr="00424EAB">
        <w:rPr>
          <w:u w:val="single"/>
        </w:rPr>
        <w:t>Mariánské Údolí</w:t>
      </w:r>
    </w:p>
    <w:p w14:paraId="7E96496B" w14:textId="06A1A2A0" w:rsidR="007F7A12" w:rsidRPr="007F7A12" w:rsidRDefault="007F7A12" w:rsidP="007F7A12">
      <w:r w:rsidRPr="007F7A12">
        <w:t>V</w:t>
      </w:r>
      <w:r w:rsidR="00424EAB">
        <w:t> místní části</w:t>
      </w:r>
      <w:r w:rsidRPr="007F7A12">
        <w:t xml:space="preserve"> Mariánské Údolí je vybudován veřejný vodovod, který je částečně v majetku VHS Olomouc a.s. Část</w:t>
      </w:r>
      <w:r>
        <w:t xml:space="preserve"> </w:t>
      </w:r>
      <w:r w:rsidRPr="007F7A12">
        <w:t>vodovodu je v majetku obce. Byl postaven postupně v letech 1958 – 95 a v současné době je na něj</w:t>
      </w:r>
      <w:r>
        <w:t xml:space="preserve"> </w:t>
      </w:r>
      <w:r w:rsidRPr="007F7A12">
        <w:t>napojeno asi 95 % obyvatel.</w:t>
      </w:r>
    </w:p>
    <w:p w14:paraId="1404E5A5" w14:textId="77777777" w:rsidR="007F7A12" w:rsidRDefault="007F7A12" w:rsidP="007F7A12">
      <w:r w:rsidRPr="007F7A12">
        <w:t>Zdrojem vody je skupinový vodovod Olomouc. Ze zemního VDJ Posluchov 2 x 2 000 m3 (394,50 – 389,00)</w:t>
      </w:r>
      <w:r>
        <w:t xml:space="preserve"> </w:t>
      </w:r>
      <w:r w:rsidRPr="007F7A12">
        <w:t>je voda dopravována řadem DN 200 délky 800 m do vodojemu Mariánské Údolí 150 m3 (335,00 – 331,50).</w:t>
      </w:r>
      <w:r>
        <w:t xml:space="preserve"> </w:t>
      </w:r>
      <w:r w:rsidRPr="007F7A12">
        <w:t>Odbočkou z tohoto řadu je plněna P.K. Mar. Údolí 50 m3 (355,00 – 351,50), ze které je zásobeno horní</w:t>
      </w:r>
      <w:r>
        <w:t xml:space="preserve"> </w:t>
      </w:r>
      <w:r w:rsidRPr="007F7A12">
        <w:t>tlakové pásmo sídla. Samostatným propojovacím řadem DN 200 délky 2 100 m je rovněž propojena P.K.</w:t>
      </w:r>
      <w:r>
        <w:t xml:space="preserve"> </w:t>
      </w:r>
      <w:r w:rsidRPr="007F7A12">
        <w:t>Mariánské Údolí a zemní VDJ Kovákov 2 x 250 m3 (342,30 – 339,00).</w:t>
      </w:r>
      <w:r>
        <w:t xml:space="preserve"> </w:t>
      </w:r>
    </w:p>
    <w:p w14:paraId="0C5AB01A" w14:textId="45E091CC" w:rsidR="007F7A12" w:rsidRDefault="007F7A12" w:rsidP="007F7A12">
      <w:r w:rsidRPr="007F7A12">
        <w:t>Rozvodná vodovodní síť je zhotovena z materiálů litina a PVC v profilech DN 80 – 200 a zásobuje sídlo ve</w:t>
      </w:r>
      <w:r>
        <w:t> </w:t>
      </w:r>
      <w:r w:rsidRPr="007F7A12">
        <w:t>dvou tlakových pásmech. Horní tl. pásmo je zásobeno z P.K. 50 m3 (355,00 – 351,50), dolní tlakové pásmo</w:t>
      </w:r>
      <w:r>
        <w:t xml:space="preserve"> </w:t>
      </w:r>
      <w:r w:rsidRPr="007F7A12">
        <w:t>z VDJ 150 m3 (335,00 – 331,50). DTP je rovněž možno zásobovat (dle provozních potřeb) z VDJ Kovákov 2</w:t>
      </w:r>
      <w:r>
        <w:t> </w:t>
      </w:r>
      <w:r w:rsidRPr="007F7A12">
        <w:t>x</w:t>
      </w:r>
      <w:r>
        <w:t> </w:t>
      </w:r>
      <w:r w:rsidRPr="007F7A12">
        <w:t>250 m3 (342,30 – 339,00).</w:t>
      </w:r>
    </w:p>
    <w:p w14:paraId="40FA16EB" w14:textId="77BF74A8" w:rsidR="007B69AC" w:rsidRDefault="007B69AC" w:rsidP="007B69AC">
      <w:r w:rsidRPr="007B69AC">
        <w:t xml:space="preserve">Stávající systém zásobování </w:t>
      </w:r>
      <w:r w:rsidR="00466870">
        <w:t>místní části</w:t>
      </w:r>
      <w:r w:rsidRPr="007B69AC">
        <w:t xml:space="preserve"> Mariánské Údolí pitnou vodou napojením na SV Olomouc je vyhovující a</w:t>
      </w:r>
      <w:r w:rsidR="00927AA7">
        <w:t> </w:t>
      </w:r>
      <w:r w:rsidRPr="007B69AC">
        <w:t>zůstane zachován</w:t>
      </w:r>
      <w:r>
        <w:t>.</w:t>
      </w:r>
    </w:p>
    <w:p w14:paraId="77004685" w14:textId="5523D177" w:rsidR="00424EAB" w:rsidRPr="00424EAB" w:rsidRDefault="00424EAB" w:rsidP="007B69AC">
      <w:pPr>
        <w:rPr>
          <w:u w:val="single"/>
        </w:rPr>
      </w:pPr>
      <w:r w:rsidRPr="00424EAB">
        <w:rPr>
          <w:u w:val="single"/>
        </w:rPr>
        <w:t>Hlubočky</w:t>
      </w:r>
    </w:p>
    <w:p w14:paraId="51DABB65" w14:textId="13F7E1B1" w:rsidR="00424EAB" w:rsidRPr="00424EAB" w:rsidRDefault="00424EAB" w:rsidP="00424EAB">
      <w:r w:rsidRPr="00424EAB">
        <w:t>V</w:t>
      </w:r>
      <w:r>
        <w:t> místní části</w:t>
      </w:r>
      <w:r w:rsidRPr="00424EAB">
        <w:t xml:space="preserve"> Hlubočky je vybudován veřejný vodovod, který je částečně v majetku VHS Olomouc a.s. Provoz</w:t>
      </w:r>
      <w:r>
        <w:t xml:space="preserve"> </w:t>
      </w:r>
      <w:r w:rsidRPr="00424EAB">
        <w:t xml:space="preserve">vodovodu zajišťuje </w:t>
      </w:r>
      <w:r>
        <w:t>M</w:t>
      </w:r>
      <w:r w:rsidRPr="00424EAB">
        <w:t>oravská Vodárenská a.s. Vodovod byl postaven v letech 1980 – 98 a v</w:t>
      </w:r>
      <w:r>
        <w:t xml:space="preserve"> </w:t>
      </w:r>
      <w:r w:rsidRPr="00424EAB">
        <w:t>současné době je na něj napojeno asi 70 % obyvatel.</w:t>
      </w:r>
    </w:p>
    <w:p w14:paraId="623B6060" w14:textId="77777777" w:rsidR="00424EAB" w:rsidRDefault="00424EAB" w:rsidP="00424EAB">
      <w:r w:rsidRPr="00424EAB">
        <w:t>Zdrojem vody je skupinový vodovod Olomouc. Ze zemního VDJ Radíkov 2 x 250 m3 (428,00 – 424,50) je</w:t>
      </w:r>
      <w:r>
        <w:t xml:space="preserve"> </w:t>
      </w:r>
      <w:r w:rsidRPr="00424EAB">
        <w:t>voda dopravována řadem DN 300 délky 1 900 m do VDJ Posluchov 2 x 2 000 m3 (394,50 – 389,00). Z</w:t>
      </w:r>
      <w:r>
        <w:t xml:space="preserve"> </w:t>
      </w:r>
      <w:r w:rsidRPr="00424EAB">
        <w:t>tohoto VDJ je voda přivedena řadem DN 200 délky 700 m do P.K. Hlubočky 100 m3 (352,00 – 348,50).</w:t>
      </w:r>
      <w:r>
        <w:t xml:space="preserve"> </w:t>
      </w:r>
      <w:r w:rsidRPr="00424EAB">
        <w:t>Odtud je pak zásobována sama obec řadem DN 200. Za řekou Bystřicí se tento řad rozděluje směrem na</w:t>
      </w:r>
      <w:r>
        <w:t xml:space="preserve"> </w:t>
      </w:r>
      <w:r w:rsidRPr="00424EAB">
        <w:t xml:space="preserve">Hlubočky – Ves a Hlubočky – Dukla. </w:t>
      </w:r>
    </w:p>
    <w:p w14:paraId="25A7A005" w14:textId="730496F6" w:rsidR="00424EAB" w:rsidRPr="00424EAB" w:rsidRDefault="00424EAB" w:rsidP="00424EAB">
      <w:r w:rsidRPr="00424EAB">
        <w:t>Rozvodná vodovodní síť zásobuje obec v jednom tlakovém pásmu, a je</w:t>
      </w:r>
      <w:r>
        <w:t xml:space="preserve"> </w:t>
      </w:r>
      <w:r w:rsidRPr="00424EAB">
        <w:t>zhotovena z PVC v profilech DN 80 – 200.</w:t>
      </w:r>
      <w:r>
        <w:t xml:space="preserve"> </w:t>
      </w:r>
      <w:r w:rsidRPr="00424EAB">
        <w:t>V lokalitě Hlubočky – Dukla byli obyvatelé vodou zásobováni ze zdroje podniku Morávia. Jednalo se o dvě</w:t>
      </w:r>
      <w:r>
        <w:t xml:space="preserve"> </w:t>
      </w:r>
      <w:r w:rsidRPr="00424EAB">
        <w:t>studny o vydatnosti 6,0 l/s, ze kterých byla lokality napojena pomocí AT stanice. V jihovýchodní části je</w:t>
      </w:r>
      <w:r>
        <w:t xml:space="preserve"> </w:t>
      </w:r>
      <w:r w:rsidRPr="00424EAB">
        <w:t>vybudován zemní VDJ Moravia 400 m3 (339,10 – 334,60). Rozvodná vodovodní síť je zhotovena z PE a</w:t>
      </w:r>
      <w:r>
        <w:t xml:space="preserve"> </w:t>
      </w:r>
      <w:r w:rsidRPr="00424EAB">
        <w:t>litiny v profilech DN 80 – 200.</w:t>
      </w:r>
    </w:p>
    <w:p w14:paraId="3C3694BD" w14:textId="7469100D" w:rsidR="00424EAB" w:rsidRDefault="00424EAB" w:rsidP="00424EAB">
      <w:r w:rsidRPr="00424EAB">
        <w:t>Lokalitu Hlubočky – Dukla, která byla napojena pouze na zdroj závodu Moravia je nyní zásobena ze SV</w:t>
      </w:r>
      <w:r>
        <w:t xml:space="preserve"> </w:t>
      </w:r>
      <w:r w:rsidRPr="00424EAB">
        <w:t>Olomouc.</w:t>
      </w:r>
      <w:r>
        <w:t xml:space="preserve"> </w:t>
      </w:r>
      <w:r w:rsidRPr="00424EAB">
        <w:t>Malá část rodinné zástavby v části Hlubočky – Dukla je vodou zásobena ze zdroje u Nepřívazského potoka</w:t>
      </w:r>
      <w:r>
        <w:t xml:space="preserve"> </w:t>
      </w:r>
      <w:r w:rsidRPr="00424EAB">
        <w:t>+ AT stanice. Rozvodná síť je z litiny DN 80.</w:t>
      </w:r>
    </w:p>
    <w:p w14:paraId="4A49BD01" w14:textId="23D4BA2D" w:rsidR="00466870" w:rsidRDefault="00466870" w:rsidP="00466870">
      <w:r w:rsidRPr="00466870">
        <w:t xml:space="preserve">Stávající systém zásobování </w:t>
      </w:r>
      <w:r>
        <w:t>místní části</w:t>
      </w:r>
      <w:r w:rsidRPr="00466870">
        <w:t xml:space="preserve"> Hlubočky pitnou vodou napojením na SV Olomouc je vyhovující a zůstane</w:t>
      </w:r>
      <w:r>
        <w:t xml:space="preserve"> </w:t>
      </w:r>
      <w:r w:rsidRPr="00466870">
        <w:t>zachován.</w:t>
      </w:r>
    </w:p>
    <w:p w14:paraId="5801A071" w14:textId="3DA4A0BE" w:rsidR="00837DAD" w:rsidRPr="00837DAD" w:rsidRDefault="00837DAD" w:rsidP="00466870">
      <w:pPr>
        <w:rPr>
          <w:u w:val="single"/>
        </w:rPr>
      </w:pPr>
      <w:r w:rsidRPr="00837DAD">
        <w:rPr>
          <w:u w:val="single"/>
        </w:rPr>
        <w:t>Hrubá Voda</w:t>
      </w:r>
    </w:p>
    <w:p w14:paraId="6B11E1B7" w14:textId="2AE2A72A" w:rsidR="00837DAD" w:rsidRDefault="00837DAD" w:rsidP="00837DAD">
      <w:r w:rsidRPr="00837DAD">
        <w:t xml:space="preserve">V </w:t>
      </w:r>
      <w:r w:rsidR="00752AC6">
        <w:t>místní části</w:t>
      </w:r>
      <w:r w:rsidRPr="00837DAD">
        <w:t xml:space="preserve"> Hrubá Voda není vybudován veřejný vodovod. Obyvatelé jsou vodou zásobováni z vlastních zdrojů –převážně studní.</w:t>
      </w:r>
    </w:p>
    <w:p w14:paraId="66D679EC" w14:textId="63BD4D55" w:rsidR="00837DAD" w:rsidRDefault="00837DAD" w:rsidP="00837DAD">
      <w:r>
        <w:lastRenderedPageBreak/>
        <w:t>Výstavba vodovodu se nepředpokládá. Dle Plánu rozvoje vodovodů a kanalizací se jeví jako nejvýhodnější řešení napojit jej na rozvodnou vodovodní síť lokality Hlubočky – Dukla (AT stanice + vodovodní síť DN 50 – 80 v celkové délce asi 6 500 m).</w:t>
      </w:r>
    </w:p>
    <w:p w14:paraId="48BBA345" w14:textId="6642BF85" w:rsidR="00837DAD" w:rsidRPr="00752AC6" w:rsidRDefault="00837DAD" w:rsidP="00837DAD">
      <w:pPr>
        <w:rPr>
          <w:u w:val="single"/>
        </w:rPr>
      </w:pPr>
      <w:r w:rsidRPr="00752AC6">
        <w:rPr>
          <w:u w:val="single"/>
        </w:rPr>
        <w:t>Posluchov</w:t>
      </w:r>
    </w:p>
    <w:p w14:paraId="0071BDB4" w14:textId="6BD6525A" w:rsidR="00752AC6" w:rsidRPr="00752AC6" w:rsidRDefault="00752AC6" w:rsidP="00752AC6">
      <w:r w:rsidRPr="00752AC6">
        <w:t xml:space="preserve">V </w:t>
      </w:r>
      <w:r>
        <w:t>místní části</w:t>
      </w:r>
      <w:r w:rsidRPr="00752AC6">
        <w:t xml:space="preserve"> Posluchov je vybudován veřejný vodovod, který je v majetku obce. Vodovod byl postaven v</w:t>
      </w:r>
      <w:r>
        <w:t> </w:t>
      </w:r>
      <w:r w:rsidRPr="00752AC6">
        <w:t>roce</w:t>
      </w:r>
      <w:r>
        <w:t xml:space="preserve"> </w:t>
      </w:r>
      <w:r w:rsidRPr="00752AC6">
        <w:t>1984 a v současné době je na něj napojeno asi 91 % obyvatel.</w:t>
      </w:r>
    </w:p>
    <w:p w14:paraId="6537059D" w14:textId="4057B192" w:rsidR="00752AC6" w:rsidRPr="00752AC6" w:rsidRDefault="00752AC6" w:rsidP="00752AC6">
      <w:r w:rsidRPr="00752AC6">
        <w:t>Zdrojem vody je vrtaná studna o vydatnosti 0,5 l/s. Voda je ze zdroje čerpána výtlačným řadem DN 80</w:t>
      </w:r>
      <w:r>
        <w:t xml:space="preserve"> </w:t>
      </w:r>
      <w:r w:rsidRPr="00752AC6">
        <w:t>délky 630 m do zemního VDJ 100 m3, odkud je obec zásobena pomocí AT stanice. Rozvodná vodovodní síť</w:t>
      </w:r>
      <w:r>
        <w:t xml:space="preserve"> </w:t>
      </w:r>
      <w:r w:rsidRPr="00752AC6">
        <w:t>je zhotovena z PE v profilech DN 80 – 100.</w:t>
      </w:r>
    </w:p>
    <w:p w14:paraId="69E4E35C" w14:textId="43BC05E0" w:rsidR="00837DAD" w:rsidRDefault="00752AC6" w:rsidP="00752AC6">
      <w:r>
        <w:t>Místní část</w:t>
      </w:r>
      <w:r w:rsidRPr="00752AC6">
        <w:t xml:space="preserve"> Posluchov je možné zásobovat i ze skupinového vodovodu. V těsné blízkosti obce prochází</w:t>
      </w:r>
      <w:r>
        <w:t xml:space="preserve"> </w:t>
      </w:r>
      <w:r w:rsidRPr="00752AC6">
        <w:t>přívodní řad DN 300 z VDJ Radíkov 2 x 250 m3 (428,00 – 424,50) do zemního vodojemu Posluchov 2 x</w:t>
      </w:r>
      <w:r>
        <w:t xml:space="preserve"> </w:t>
      </w:r>
      <w:r w:rsidRPr="00752AC6">
        <w:t>2000 m3 (394,00 – 389,50). Na tento přivaděč je obec napojena.</w:t>
      </w:r>
    </w:p>
    <w:p w14:paraId="40007CE0" w14:textId="10EAC17D" w:rsidR="00103CE6" w:rsidRDefault="00103CE6" w:rsidP="00103CE6">
      <w:r>
        <w:t>Výhledově</w:t>
      </w:r>
      <w:r w:rsidRPr="00103CE6">
        <w:t xml:space="preserve"> se počítá s kompletní obnovou vodovodní sítě v délce cca 768 m a napojení na Skupinový</w:t>
      </w:r>
      <w:r>
        <w:t xml:space="preserve"> </w:t>
      </w:r>
      <w:r w:rsidRPr="00103CE6">
        <w:t>vodovod Olomouc.</w:t>
      </w:r>
      <w:r w:rsidR="00E3507A">
        <w:t xml:space="preserve"> </w:t>
      </w:r>
    </w:p>
    <w:p w14:paraId="7A01CBA1" w14:textId="381E5B2F" w:rsidR="0060798D" w:rsidRDefault="00E3507A">
      <w:pPr>
        <w:pStyle w:val="Odstavecseseznamem"/>
        <w:numPr>
          <w:ilvl w:val="0"/>
          <w:numId w:val="121"/>
        </w:numPr>
        <w:ind w:left="709"/>
      </w:pPr>
      <w:r>
        <w:t>Návrhové plochy budou napojeny ze stávající místní vodovodní sítě</w:t>
      </w:r>
      <w:r w:rsidR="009055D4">
        <w:t xml:space="preserve">, nové řady budou ukládány v rámci veřejných prostranství umožňujících přístup a údržbu a </w:t>
      </w:r>
      <w:r>
        <w:t>budou zokruhovány.</w:t>
      </w:r>
    </w:p>
    <w:p w14:paraId="01DD0F36" w14:textId="5EE7B46E" w:rsidR="00BC03FB" w:rsidRPr="00C4493B" w:rsidRDefault="00BC03FB">
      <w:pPr>
        <w:pStyle w:val="Odstavecseseznamem"/>
        <w:numPr>
          <w:ilvl w:val="0"/>
          <w:numId w:val="121"/>
        </w:numPr>
        <w:ind w:left="709"/>
      </w:pPr>
      <w:r>
        <w:t>Stávající systém zásobování obce požární vodou je stabilizován. Hydranty jsou přístupné ze systému veřejných prostranství obce.</w:t>
      </w:r>
    </w:p>
    <w:p w14:paraId="0B2DC6F8" w14:textId="61068663" w:rsidR="00FD6FA9" w:rsidRDefault="00FD6FA9" w:rsidP="00FD6FA9">
      <w:pPr>
        <w:pStyle w:val="Nadpis5"/>
      </w:pPr>
      <w:r>
        <w:t>Odvádění splaškových a dešťových vod</w:t>
      </w:r>
    </w:p>
    <w:p w14:paraId="7546A11F" w14:textId="08620741" w:rsidR="00C4493B" w:rsidRDefault="001C4475">
      <w:pPr>
        <w:pStyle w:val="Odstavecseseznamem"/>
        <w:numPr>
          <w:ilvl w:val="0"/>
          <w:numId w:val="122"/>
        </w:numPr>
        <w:ind w:left="709"/>
      </w:pPr>
      <w:r>
        <w:t>Stávající systém odvádění splaškových a dešťových vod je stabilizován.</w:t>
      </w:r>
    </w:p>
    <w:p w14:paraId="18E2545E" w14:textId="416B1D31" w:rsidR="001C4475" w:rsidRDefault="001C4475" w:rsidP="001C4475">
      <w:pPr>
        <w:rPr>
          <w:u w:val="single"/>
        </w:rPr>
      </w:pPr>
      <w:r w:rsidRPr="001C4475">
        <w:rPr>
          <w:u w:val="single"/>
        </w:rPr>
        <w:t>Mariánské Údolí</w:t>
      </w:r>
      <w:r w:rsidR="00F03D10">
        <w:rPr>
          <w:u w:val="single"/>
        </w:rPr>
        <w:t>, Hlubočky</w:t>
      </w:r>
    </w:p>
    <w:p w14:paraId="62C51857" w14:textId="74C72B7E" w:rsidR="00F03D10" w:rsidRDefault="00F03D10" w:rsidP="00F03D10">
      <w:r w:rsidRPr="00F03D10">
        <w:t>V obci Hlubočky je vybudovaná jednotná kanalizace v lokalitách Mariánské Údolí a Hlubočky</w:t>
      </w:r>
      <w:r>
        <w:t xml:space="preserve"> </w:t>
      </w:r>
      <w:r w:rsidRPr="00F03D10">
        <w:t>převážně splašková kanalizace je v lokalitě Dukla.</w:t>
      </w:r>
      <w:r>
        <w:t xml:space="preserve"> </w:t>
      </w:r>
    </w:p>
    <w:p w14:paraId="30C0CF5E" w14:textId="542EA0AA" w:rsidR="00F03D10" w:rsidRDefault="00F03D10" w:rsidP="00F03D10">
      <w:r w:rsidRPr="00F03D10">
        <w:t xml:space="preserve">Kmenový sběrač propojuje Mariánské Údolí, </w:t>
      </w:r>
      <w:r w:rsidR="00B23DE1">
        <w:t>Hlubočky a Duklu</w:t>
      </w:r>
      <w:r w:rsidRPr="00F03D10">
        <w:t xml:space="preserve"> a je ukončen na</w:t>
      </w:r>
      <w:r w:rsidR="00FD58E2">
        <w:t> </w:t>
      </w:r>
      <w:r w:rsidRPr="00F03D10">
        <w:t>mechanicko-biologické ČOV umístěné jižně od obce pod prům. závodem MORA na pravém břehu Bystřičky.</w:t>
      </w:r>
      <w:r>
        <w:t xml:space="preserve"> </w:t>
      </w:r>
      <w:r w:rsidRPr="00F03D10">
        <w:t>Část kanalizace a ČOV jsou ve vlastnictví VHS Olomouc a.s. Stoková síť v Hlubočkách – Dukle je v</w:t>
      </w:r>
      <w:r>
        <w:t> </w:t>
      </w:r>
      <w:r w:rsidRPr="00F03D10">
        <w:t>majetku</w:t>
      </w:r>
      <w:r>
        <w:t xml:space="preserve"> </w:t>
      </w:r>
      <w:r w:rsidRPr="00F03D10">
        <w:t>obce. ČS splaškových vod v Mariánském Údolí, umístěná na levé straně st. silnice při výjezdu od</w:t>
      </w:r>
      <w:r w:rsidR="00FD58E2">
        <w:t> </w:t>
      </w:r>
      <w:r w:rsidRPr="00F03D10">
        <w:t>V</w:t>
      </w:r>
      <w:r>
        <w:t xml:space="preserve">elké </w:t>
      </w:r>
      <w:r w:rsidRPr="00F03D10">
        <w:t>Bystřice provozuje obec.</w:t>
      </w:r>
      <w:r>
        <w:t xml:space="preserve"> </w:t>
      </w:r>
    </w:p>
    <w:p w14:paraId="70B22214" w14:textId="5100179A" w:rsidR="00F03D10" w:rsidRPr="00F03D10" w:rsidRDefault="00F03D10" w:rsidP="00F03D10">
      <w:r w:rsidRPr="00F03D10">
        <w:t>Podél nádraží a za vlečkou závodu Moravia jsou stoky, které odvodňují tento prostor. Tato kanalizace patří</w:t>
      </w:r>
      <w:r>
        <w:t xml:space="preserve"> </w:t>
      </w:r>
      <w:r w:rsidRPr="00F03D10">
        <w:t>Moravii, případně ČD. Kanalizace byla budována postupně z ŽB, betonových, kameninových a PVC trub od</w:t>
      </w:r>
      <w:r>
        <w:t> </w:t>
      </w:r>
      <w:r w:rsidRPr="00F03D10">
        <w:t>r.</w:t>
      </w:r>
      <w:r>
        <w:t> </w:t>
      </w:r>
      <w:r w:rsidRPr="00F03D10">
        <w:t>1950 až do současnosti. Profily jsou DN 300-1000, v ulici Nádražní je ŽB štítovaná stoka 1680/1530.</w:t>
      </w:r>
    </w:p>
    <w:p w14:paraId="7C6C78D5" w14:textId="187EE9ED" w:rsidR="00F03D10" w:rsidRPr="00F03D10" w:rsidRDefault="00F03D10" w:rsidP="00F03D10">
      <w:r w:rsidRPr="00F03D10">
        <w:t>Mechanicko-biologická ČOV s úplnou stabilizací kalu byla uvedena do provozu v r. 1976 (kapacita 1727</w:t>
      </w:r>
      <w:r>
        <w:t xml:space="preserve"> </w:t>
      </w:r>
      <w:r w:rsidRPr="00F03D10">
        <w:t>m3/den). Odtok je zaústěn do řeky Bystřice. Vyprodukovaný kal je odvodňován na kalových polích a je</w:t>
      </w:r>
      <w:r>
        <w:t xml:space="preserve"> </w:t>
      </w:r>
      <w:r w:rsidRPr="00F03D10">
        <w:t>odvážen na skládku do Mrskles.</w:t>
      </w:r>
    </w:p>
    <w:p w14:paraId="70137FBD" w14:textId="699A3824" w:rsidR="00F03D10" w:rsidRPr="00F03D10" w:rsidRDefault="00F03D10" w:rsidP="00F03D10">
      <w:r w:rsidRPr="00F03D10">
        <w:t>Kapacitně kanalizace vyhovuje i pro výhledové dobudování jednotlivých stok v zájmovém území. Některé</w:t>
      </w:r>
      <w:r>
        <w:t xml:space="preserve"> </w:t>
      </w:r>
      <w:r w:rsidRPr="00F03D10">
        <w:t>úseky jsou netěsné a nabírají balastní vody (jedná se především o kmenovou stoku „A“ v horním úseku).</w:t>
      </w:r>
    </w:p>
    <w:p w14:paraId="3C1BC2E6" w14:textId="7C8FBF82" w:rsidR="00F03D10" w:rsidRPr="00F03D10" w:rsidRDefault="00F03D10" w:rsidP="00FD58E2">
      <w:r w:rsidRPr="00F03D10">
        <w:t>Uložení potrubí je typové, na trasách jsou zřízeny revizní šachty, uliční vpusti jsou osazeny na přípojkách.</w:t>
      </w:r>
      <w:r w:rsidR="00FD58E2">
        <w:t xml:space="preserve"> </w:t>
      </w:r>
      <w:r w:rsidRPr="00F03D10">
        <w:t>Na</w:t>
      </w:r>
      <w:r w:rsidR="00FD58E2">
        <w:t> </w:t>
      </w:r>
      <w:r w:rsidRPr="00F03D10">
        <w:t>trase je vybudováno 5 odlehčovacích komor s vyústěním do Bystřice.</w:t>
      </w:r>
    </w:p>
    <w:p w14:paraId="44B0B69D" w14:textId="724DE268" w:rsidR="00F03D10" w:rsidRDefault="00F03D10" w:rsidP="00F03D10">
      <w:r>
        <w:t>Výrobní areály</w:t>
      </w:r>
      <w:r w:rsidRPr="00F03D10">
        <w:t xml:space="preserve"> m</w:t>
      </w:r>
      <w:r>
        <w:t>ají</w:t>
      </w:r>
      <w:r w:rsidRPr="00F03D10">
        <w:t xml:space="preserve"> splaškové vody zaústěné do veřejné kanalizace, dešťové vody jsou</w:t>
      </w:r>
      <w:r>
        <w:t xml:space="preserve"> </w:t>
      </w:r>
      <w:r w:rsidRPr="00F03D10">
        <w:t>odváděny přímo do</w:t>
      </w:r>
      <w:r>
        <w:t> recipientu</w:t>
      </w:r>
      <w:r w:rsidRPr="00F03D10">
        <w:t>. Nádražní budova má vlastní ČOV.</w:t>
      </w:r>
    </w:p>
    <w:p w14:paraId="0AEF164F" w14:textId="5C8AE79C" w:rsidR="00FD58E2" w:rsidRPr="00FD58E2" w:rsidRDefault="00FD58E2" w:rsidP="00FD58E2">
      <w:r>
        <w:t>Předpokládá se provedení</w:t>
      </w:r>
      <w:r w:rsidRPr="00FD58E2">
        <w:t xml:space="preserve"> </w:t>
      </w:r>
      <w:r>
        <w:t xml:space="preserve">postupné </w:t>
      </w:r>
      <w:r w:rsidRPr="00FD58E2">
        <w:t>rekonstrukc</w:t>
      </w:r>
      <w:r>
        <w:t>e</w:t>
      </w:r>
      <w:r w:rsidRPr="00FD58E2">
        <w:t xml:space="preserve"> kapacitně nevyhovujících úseků stok na kmenové</w:t>
      </w:r>
      <w:r>
        <w:t xml:space="preserve"> </w:t>
      </w:r>
      <w:r w:rsidRPr="00FD58E2">
        <w:t>stoce „A“, stoce „AIa“, „DIV“, „DVa“ a odlehčovací stoce 05A v délce 843 m a dále rekonstrukc</w:t>
      </w:r>
      <w:r>
        <w:t>e</w:t>
      </w:r>
      <w:r w:rsidRPr="00FD58E2">
        <w:t xml:space="preserve"> horní části</w:t>
      </w:r>
      <w:r>
        <w:t xml:space="preserve"> </w:t>
      </w:r>
      <w:r w:rsidRPr="00FD58E2">
        <w:t>kmenové stoky „A“ z důvodů netěsnosti a tím k pronikání velkého množství balastních vod na ČOV.</w:t>
      </w:r>
    </w:p>
    <w:p w14:paraId="335CF28B" w14:textId="5B6B9EBC" w:rsidR="00FD58E2" w:rsidRPr="00F03D10" w:rsidRDefault="00FD58E2" w:rsidP="00FD58E2">
      <w:r w:rsidRPr="00FD58E2">
        <w:t>Celková délka nutné rekonstrukce stok přesahuje 1 800 m.</w:t>
      </w:r>
      <w:r>
        <w:t xml:space="preserve"> </w:t>
      </w:r>
      <w:r w:rsidRPr="00FD58E2">
        <w:t>Na ul. ČSA bude prodloužena stávající stoka o</w:t>
      </w:r>
      <w:r>
        <w:t> </w:t>
      </w:r>
      <w:r w:rsidRPr="00FD58E2">
        <w:t xml:space="preserve">cca 300 m. Dále je </w:t>
      </w:r>
      <w:r>
        <w:t xml:space="preserve">výhledově </w:t>
      </w:r>
      <w:r w:rsidRPr="00FD58E2">
        <w:t>plánovaná výstavba kanalizace v ul.</w:t>
      </w:r>
      <w:r>
        <w:t xml:space="preserve"> </w:t>
      </w:r>
      <w:r w:rsidRPr="00FD58E2">
        <w:t>Podlesí v délce cca 920 m.</w:t>
      </w:r>
    </w:p>
    <w:p w14:paraId="4A259A9E" w14:textId="77777777" w:rsidR="001C4475" w:rsidRDefault="001C4475" w:rsidP="001C4475">
      <w:pPr>
        <w:rPr>
          <w:u w:val="single"/>
        </w:rPr>
      </w:pPr>
      <w:r w:rsidRPr="00837DAD">
        <w:rPr>
          <w:u w:val="single"/>
        </w:rPr>
        <w:t>Hrubá Voda</w:t>
      </w:r>
    </w:p>
    <w:p w14:paraId="0527C33C" w14:textId="658015BD" w:rsidR="00BD62A7" w:rsidRPr="00BD62A7" w:rsidRDefault="00BD62A7" w:rsidP="00BD62A7">
      <w:r w:rsidRPr="00BD62A7">
        <w:t xml:space="preserve">V </w:t>
      </w:r>
      <w:r>
        <w:t>místní části</w:t>
      </w:r>
      <w:r w:rsidRPr="00BD62A7">
        <w:t xml:space="preserve"> Hrubá voda není vybudovaná žádná kanalizace. Odpadní vody jsou likvidovány v septicích a</w:t>
      </w:r>
      <w:r>
        <w:t> </w:t>
      </w:r>
      <w:r w:rsidRPr="00BD62A7">
        <w:t>přepadem odváděny přímo do recipientů. Část zástavby má vybudovány jímky na vyvážení, novější</w:t>
      </w:r>
      <w:r>
        <w:t xml:space="preserve"> </w:t>
      </w:r>
      <w:r w:rsidRPr="00BD62A7">
        <w:t>zástavba má malé domovní ČOV.</w:t>
      </w:r>
    </w:p>
    <w:p w14:paraId="36A0ADF7" w14:textId="617998E8" w:rsidR="00E53EA7" w:rsidRDefault="00BD62A7" w:rsidP="00BD62A7">
      <w:r w:rsidRPr="00BD62A7">
        <w:t>Dešťové vody jsou odváděny otevřenými příkopy přímo do vodoteče.</w:t>
      </w:r>
    </w:p>
    <w:p w14:paraId="657DF43B" w14:textId="73E039C1" w:rsidR="00BD62A7" w:rsidRPr="00BD62A7" w:rsidRDefault="00BD62A7" w:rsidP="00BD62A7">
      <w:r w:rsidRPr="00BD62A7">
        <w:t>S přihlédnutím k velikosti a charakteru sídla se nepředpokládá výstavba kanalizace s ukončením na ČOV.</w:t>
      </w:r>
      <w:r>
        <w:t xml:space="preserve"> </w:t>
      </w:r>
      <w:r w:rsidRPr="00BD62A7">
        <w:t>Likvidace odpadních vod bude dále řešena individuálně.</w:t>
      </w:r>
    </w:p>
    <w:p w14:paraId="3A925650" w14:textId="77777777" w:rsidR="00BD62A7" w:rsidRDefault="00BD62A7" w:rsidP="001C4475">
      <w:pPr>
        <w:rPr>
          <w:u w:val="single"/>
        </w:rPr>
      </w:pPr>
    </w:p>
    <w:p w14:paraId="500F999C" w14:textId="77777777" w:rsidR="00BD62A7" w:rsidRDefault="00BD62A7">
      <w:pPr>
        <w:spacing w:before="0" w:after="0"/>
        <w:ind w:left="0"/>
        <w:jc w:val="left"/>
        <w:rPr>
          <w:u w:val="single"/>
        </w:rPr>
      </w:pPr>
      <w:r>
        <w:rPr>
          <w:u w:val="single"/>
        </w:rPr>
        <w:br w:type="page"/>
      </w:r>
    </w:p>
    <w:p w14:paraId="45EA3052" w14:textId="1B05FEE0" w:rsidR="001C4475" w:rsidRPr="00752AC6" w:rsidRDefault="001C4475" w:rsidP="001C4475">
      <w:pPr>
        <w:rPr>
          <w:u w:val="single"/>
        </w:rPr>
      </w:pPr>
      <w:r w:rsidRPr="00752AC6">
        <w:rPr>
          <w:u w:val="single"/>
        </w:rPr>
        <w:lastRenderedPageBreak/>
        <w:t>Posluchov</w:t>
      </w:r>
    </w:p>
    <w:p w14:paraId="16459514" w14:textId="409B9333" w:rsidR="001C4475" w:rsidRDefault="001C4475" w:rsidP="001C4475">
      <w:r w:rsidRPr="001C4475">
        <w:t>V</w:t>
      </w:r>
      <w:r>
        <w:t> místní části</w:t>
      </w:r>
      <w:r w:rsidRPr="001C4475">
        <w:t xml:space="preserve"> Posluchov je vybudován jen krátký úsek dešťové kanalizace, která je zaústěna do příkopu ústícího</w:t>
      </w:r>
      <w:r>
        <w:t xml:space="preserve"> </w:t>
      </w:r>
      <w:r w:rsidRPr="001C4475">
        <w:t>do</w:t>
      </w:r>
      <w:r>
        <w:t> </w:t>
      </w:r>
      <w:r w:rsidRPr="001C4475">
        <w:t>řeky Bystřice. V současné době je provozována jako jednotná a je v majetku a ve správě obce Hlubočky.</w:t>
      </w:r>
      <w:r>
        <w:t xml:space="preserve"> </w:t>
      </w:r>
      <w:r w:rsidRPr="001C4475">
        <w:t>Kanalizace je z betonových trub DN 500 délky 250 m a je na ni odkanalizováno asi 5 usedlostí (přes</w:t>
      </w:r>
      <w:r>
        <w:t xml:space="preserve"> </w:t>
      </w:r>
      <w:r w:rsidRPr="001C4475">
        <w:t>septiky). Zbývající část zástavby má jímky na vyvážení.</w:t>
      </w:r>
    </w:p>
    <w:p w14:paraId="3CEB8FF8" w14:textId="58F72627" w:rsidR="001C4475" w:rsidRDefault="001C4475" w:rsidP="001C4475">
      <w:r>
        <w:t>V Posluchově je plánovaná výstavba splaškové kanalizace s odvedením odpadních vod na ČOV Posluchov, případně do ČSOV s přečerpáváním do kanalizační sítě. Kanalizace bude uložena v rámci veřejných prostranství.</w:t>
      </w:r>
    </w:p>
    <w:p w14:paraId="3E91BB50" w14:textId="77F125FD" w:rsidR="00E53EA7" w:rsidRDefault="00E53EA7">
      <w:pPr>
        <w:pStyle w:val="Odstavecseseznamem"/>
        <w:numPr>
          <w:ilvl w:val="0"/>
          <w:numId w:val="122"/>
        </w:numPr>
        <w:ind w:left="709"/>
      </w:pPr>
      <w:r>
        <w:t xml:space="preserve">Odvodnění zastavitelných ploch nesmí negativně ovlivnit stávající odtokové poměry, z těchto důvodů budou v jednotlivých plochách realizována opatření pro hospodaření se srážkovými vodami, s maximálním důrazem na jejich vsakování, pokud nebude vsakování prokazatelně možné, bude řešena akumulace srážkových vod k jejich dalšímu využití. Do recipientu může být vypouštěno pouze regulované množství srážkových vod. </w:t>
      </w:r>
    </w:p>
    <w:p w14:paraId="784283FA" w14:textId="12F3BF0E" w:rsidR="00E53EA7" w:rsidRDefault="00E53EA7" w:rsidP="00E53EA7">
      <w:r>
        <w:t>Srážkové vody z komunikací a veřejných prostranství budou přednostně zasakovány v území prostřednictvím vhodných opatření (nezpevněných zatravněných pásů, příkopů a průlehů), případně budou akumulovány v navrhovaných zdržích a poldrech.</w:t>
      </w:r>
    </w:p>
    <w:p w14:paraId="1F2B6335" w14:textId="55A86820" w:rsidR="00716260" w:rsidRDefault="00716260">
      <w:pPr>
        <w:pStyle w:val="Odstavecseseznamem"/>
        <w:numPr>
          <w:ilvl w:val="0"/>
          <w:numId w:val="122"/>
        </w:numPr>
        <w:ind w:left="709"/>
      </w:pPr>
      <w:r>
        <w:t xml:space="preserve">Návrhové plochy budou napojeny </w:t>
      </w:r>
      <w:r w:rsidR="00EB16FF">
        <w:t xml:space="preserve">na stávající kanalizační </w:t>
      </w:r>
      <w:r>
        <w:t>sí</w:t>
      </w:r>
      <w:r w:rsidR="00EB16FF">
        <w:t>ť, případně řešeny s napojení</w:t>
      </w:r>
      <w:r w:rsidR="00FC36C9">
        <w:t>m</w:t>
      </w:r>
      <w:r w:rsidR="00EB16FF">
        <w:t xml:space="preserve"> na jímky</w:t>
      </w:r>
      <w:r>
        <w:t>, nové řady budou ukládány v rámci veřejných prostranství umožňujících přístup a údržbu.</w:t>
      </w:r>
    </w:p>
    <w:p w14:paraId="49B16E38" w14:textId="2149CE11" w:rsidR="0063783E" w:rsidRDefault="00BC284B">
      <w:pPr>
        <w:pStyle w:val="Odstavecseseznamem"/>
        <w:numPr>
          <w:ilvl w:val="0"/>
          <w:numId w:val="122"/>
        </w:numPr>
        <w:ind w:left="709"/>
      </w:pPr>
      <w:r>
        <w:t>Koridory pro vodohospodářská opatření (retenční a protierozní opatření) jsou vymezeny z důvodu ochrany erozně exponovaných svahů údolí Trnavy a Hlubučku pro ochranu zastavěného území před následky přívalových srážek.</w:t>
      </w:r>
    </w:p>
    <w:p w14:paraId="39649D87" w14:textId="7F8E6C2E" w:rsidR="0090549F" w:rsidRDefault="0090549F">
      <w:pPr>
        <w:pStyle w:val="Odstavecseseznamem"/>
        <w:numPr>
          <w:ilvl w:val="0"/>
          <w:numId w:val="122"/>
        </w:numPr>
        <w:ind w:left="709"/>
      </w:pPr>
      <w:r>
        <w:t>Opatření pro odvádění splaškových vod jsou stanovena z následujících důvodů:</w:t>
      </w:r>
    </w:p>
    <w:p w14:paraId="6D4AEBAC" w14:textId="3DC890A8" w:rsidR="0090549F" w:rsidRDefault="0090549F">
      <w:pPr>
        <w:pStyle w:val="Odstavecseseznamem"/>
        <w:numPr>
          <w:ilvl w:val="0"/>
          <w:numId w:val="123"/>
        </w:numPr>
        <w:ind w:left="1134"/>
      </w:pPr>
      <w:r>
        <w:t>ČOV Hlubočky – zajištění plochy pro zkapacitnění stávající ČOV,</w:t>
      </w:r>
    </w:p>
    <w:p w14:paraId="6E401D38" w14:textId="67FBFB44" w:rsidR="0090549F" w:rsidRDefault="0090549F">
      <w:pPr>
        <w:pStyle w:val="Odstavecseseznamem"/>
        <w:numPr>
          <w:ilvl w:val="0"/>
          <w:numId w:val="123"/>
        </w:numPr>
        <w:ind w:left="1134"/>
      </w:pPr>
      <w:r>
        <w:t>ČOV Posluchov – zajištění plochy pro realizaci nové ČOV, případně ČSOV s přečerpáváním do kanalizační sítě,</w:t>
      </w:r>
    </w:p>
    <w:p w14:paraId="2CADD160" w14:textId="516D3E61" w:rsidR="0090549F" w:rsidRDefault="0090549F">
      <w:pPr>
        <w:pStyle w:val="Odstavecseseznamem"/>
        <w:numPr>
          <w:ilvl w:val="0"/>
          <w:numId w:val="123"/>
        </w:numPr>
        <w:ind w:left="1134"/>
      </w:pPr>
      <w:r>
        <w:t xml:space="preserve">ČOV Hrubá Voda – </w:t>
      </w:r>
      <w:r w:rsidR="00FC36C9">
        <w:t>zajištění plochy pro</w:t>
      </w:r>
      <w:r>
        <w:t xml:space="preserve"> realizaci nové ČOV, případně ČSOV s přečerpáváním do</w:t>
      </w:r>
      <w:r w:rsidR="00FC36C9">
        <w:t> </w:t>
      </w:r>
      <w:r>
        <w:t>kanalizační sítě,</w:t>
      </w:r>
      <w:r w:rsidR="00B00F88">
        <w:t xml:space="preserve"> dlouhodobá prostorová rezerva,</w:t>
      </w:r>
    </w:p>
    <w:p w14:paraId="4438551E" w14:textId="330ED639" w:rsidR="0090549F" w:rsidRPr="001C4475" w:rsidRDefault="0090549F">
      <w:pPr>
        <w:pStyle w:val="Odstavecseseznamem"/>
        <w:numPr>
          <w:ilvl w:val="0"/>
          <w:numId w:val="123"/>
        </w:numPr>
        <w:ind w:left="1134"/>
      </w:pPr>
      <w:r>
        <w:t xml:space="preserve">ČOV Hrubá Voda, rekreační areál – </w:t>
      </w:r>
      <w:r w:rsidR="00FC36C9">
        <w:t xml:space="preserve">zajištění plochy </w:t>
      </w:r>
      <w:r>
        <w:t xml:space="preserve">pro realizaci nové ČOV </w:t>
      </w:r>
      <w:r w:rsidR="000301E7">
        <w:t xml:space="preserve">pro rekreační areál, dlouhodobá </w:t>
      </w:r>
      <w:r w:rsidR="00B00F88">
        <w:t xml:space="preserve">prostorová </w:t>
      </w:r>
      <w:r w:rsidR="000301E7">
        <w:t>rezerva</w:t>
      </w:r>
      <w:r w:rsidR="00B00F88">
        <w:t>.</w:t>
      </w:r>
    </w:p>
    <w:p w14:paraId="2553C129" w14:textId="0AE7BAE1" w:rsidR="00FD6FA9" w:rsidRDefault="00FD6FA9" w:rsidP="00FD6FA9">
      <w:pPr>
        <w:pStyle w:val="Nadpis5"/>
      </w:pPr>
      <w:r>
        <w:t>Zásobování plynem</w:t>
      </w:r>
    </w:p>
    <w:p w14:paraId="643DA4AB" w14:textId="20A513FD" w:rsidR="00C4493B" w:rsidRDefault="00AA26C2">
      <w:pPr>
        <w:pStyle w:val="Odstavecseseznamem"/>
        <w:numPr>
          <w:ilvl w:val="0"/>
          <w:numId w:val="124"/>
        </w:numPr>
        <w:ind w:left="709"/>
      </w:pPr>
      <w:r>
        <w:t>Stávající systém zásobování obce plynem je stabilizován.</w:t>
      </w:r>
    </w:p>
    <w:p w14:paraId="39B91BEE" w14:textId="77777777" w:rsidR="0048361A" w:rsidRDefault="0048361A" w:rsidP="0048361A">
      <w:pPr>
        <w:pStyle w:val="Odstavecseseznamem"/>
      </w:pPr>
      <w:r>
        <w:t xml:space="preserve">Plynovod v obci je v dobrém technickém stavu, nevyžaduje žádné rekonstrukce, pouze běžnou údržbu. </w:t>
      </w:r>
    </w:p>
    <w:p w14:paraId="499BA4EB" w14:textId="7D30FE1C" w:rsidR="0048361A" w:rsidRPr="00C4493B" w:rsidRDefault="0048361A">
      <w:pPr>
        <w:pStyle w:val="Odstavecseseznamem"/>
        <w:numPr>
          <w:ilvl w:val="0"/>
          <w:numId w:val="124"/>
        </w:numPr>
        <w:ind w:left="709"/>
      </w:pPr>
      <w:r>
        <w:t>Návrhové plochy budou napojeny na stávají plynovod, zastavitelné plochy budou vybaveny přípojkami, nové řady budou ukládány v rámci veřejných prostranství umožňujících přístup a údržbu.</w:t>
      </w:r>
    </w:p>
    <w:p w14:paraId="4947ED72" w14:textId="3CA36728" w:rsidR="00FD6FA9" w:rsidRDefault="00FD6FA9" w:rsidP="00FD6FA9">
      <w:pPr>
        <w:pStyle w:val="Nadpis5"/>
      </w:pPr>
      <w:r>
        <w:t>Zásobování elektrickou energií</w:t>
      </w:r>
    </w:p>
    <w:p w14:paraId="58B21CF6" w14:textId="649F927C" w:rsidR="007555A8" w:rsidRDefault="007555A8">
      <w:pPr>
        <w:pStyle w:val="Odstavecseseznamem"/>
        <w:numPr>
          <w:ilvl w:val="0"/>
          <w:numId w:val="125"/>
        </w:numPr>
        <w:ind w:left="709"/>
      </w:pPr>
      <w:r>
        <w:t>Stávající systém zásobování obce elektrickou energií je stabilizován.</w:t>
      </w:r>
    </w:p>
    <w:p w14:paraId="440DE6CE" w14:textId="39A00702" w:rsidR="007555A8" w:rsidRDefault="00F457CD" w:rsidP="00F457CD">
      <w:pPr>
        <w:pStyle w:val="Odstavecseseznamem"/>
      </w:pPr>
      <w:r>
        <w:t>Kapacita systému v obci je dostačující i pro navržené zastavitelné plochy, případně budou přezbrojeny stávajících trafostanice, na stávající distribuční síť budou navržené lokality připojeny zemními kabely.</w:t>
      </w:r>
    </w:p>
    <w:p w14:paraId="645C33B7" w14:textId="06F43987" w:rsidR="007555A8" w:rsidRDefault="007555A8">
      <w:pPr>
        <w:pStyle w:val="Odstavecseseznamem"/>
        <w:numPr>
          <w:ilvl w:val="0"/>
          <w:numId w:val="125"/>
        </w:numPr>
        <w:ind w:left="709"/>
      </w:pPr>
      <w:r>
        <w:t xml:space="preserve">Návrhové plochy budou napojeny na </w:t>
      </w:r>
      <w:r w:rsidR="00F457CD">
        <w:t>sítě vysokého napětí, případně včetně posílení výkonu stávajících trafostanic</w:t>
      </w:r>
      <w:r>
        <w:t>.</w:t>
      </w:r>
    </w:p>
    <w:p w14:paraId="454FD1DA" w14:textId="72B708B2" w:rsidR="00C4493B" w:rsidRDefault="00412E02">
      <w:pPr>
        <w:pStyle w:val="Odstavecseseznamem"/>
        <w:numPr>
          <w:ilvl w:val="0"/>
          <w:numId w:val="125"/>
        </w:numPr>
        <w:ind w:left="709"/>
      </w:pPr>
      <w:r>
        <w:t>Rozvoj lokálních obnovitelných zdrojů energie je standardem současné stavební výroby a je podporováno stanovením podmínek využití ploch s rozdílným způsobem využití.</w:t>
      </w:r>
    </w:p>
    <w:p w14:paraId="04ABF232" w14:textId="56613473" w:rsidR="006F45AC" w:rsidRPr="00C4493B" w:rsidRDefault="006F45AC">
      <w:pPr>
        <w:pStyle w:val="Odstavecseseznamem"/>
        <w:numPr>
          <w:ilvl w:val="0"/>
          <w:numId w:val="125"/>
        </w:numPr>
        <w:ind w:left="709"/>
      </w:pPr>
      <w:r>
        <w:t>Malé vodní elektrárny představují významný potenciál obnovitelných zdrojů energie. V případě rozvoje vodní energeticky nesmí být narušeno hodnotné přírodní prostředí přírodního parku Údolí Bystřice a</w:t>
      </w:r>
      <w:r w:rsidR="00787647">
        <w:t> </w:t>
      </w:r>
      <w:r>
        <w:t>ekologická hodnota biotopu nivy Bystřice.</w:t>
      </w:r>
    </w:p>
    <w:p w14:paraId="52638753" w14:textId="369CA3BF" w:rsidR="00FD6FA9" w:rsidRDefault="00FD6FA9" w:rsidP="00FD6FA9">
      <w:pPr>
        <w:pStyle w:val="Nadpis5"/>
      </w:pPr>
      <w:r>
        <w:t>Spoje</w:t>
      </w:r>
    </w:p>
    <w:p w14:paraId="043FABB1" w14:textId="77777777" w:rsidR="00DA2200" w:rsidRDefault="007319DA">
      <w:pPr>
        <w:pStyle w:val="Odstavecseseznamem"/>
        <w:numPr>
          <w:ilvl w:val="0"/>
          <w:numId w:val="126"/>
        </w:numPr>
        <w:ind w:left="709"/>
      </w:pPr>
      <w:r>
        <w:t>S</w:t>
      </w:r>
      <w:r w:rsidRPr="00FF5FBE">
        <w:t>távající síť slaboproudých telekomunikačních rozvodů</w:t>
      </w:r>
      <w:r>
        <w:t xml:space="preserve"> a radioreléových tras je stabilizována.</w:t>
      </w:r>
      <w:r w:rsidR="00DA2200">
        <w:t xml:space="preserve"> </w:t>
      </w:r>
    </w:p>
    <w:p w14:paraId="042DF65E" w14:textId="718B3699" w:rsidR="00C4493B" w:rsidRDefault="00DA2200" w:rsidP="00DA2200">
      <w:pPr>
        <w:pStyle w:val="Odstavecseseznamem"/>
        <w:ind w:left="709"/>
      </w:pPr>
      <w:r>
        <w:t>R</w:t>
      </w:r>
      <w:r w:rsidRPr="00DA2200">
        <w:t>adioreléová trasa Českých radiokomunikací a.s.</w:t>
      </w:r>
      <w:r w:rsidR="005C3149">
        <w:t xml:space="preserve"> </w:t>
      </w:r>
      <w:r w:rsidRPr="00DA2200">
        <w:t>v jižním výběžku katastrálního</w:t>
      </w:r>
      <w:r>
        <w:t xml:space="preserve"> </w:t>
      </w:r>
      <w:r w:rsidRPr="00DA2200">
        <w:t>území Hlubočky</w:t>
      </w:r>
      <w:r>
        <w:t>.</w:t>
      </w:r>
    </w:p>
    <w:p w14:paraId="1ED2157C" w14:textId="322E53B4" w:rsidR="00DA2200" w:rsidRPr="00C4493B" w:rsidRDefault="00DA2200">
      <w:pPr>
        <w:pStyle w:val="Odstavecseseznamem"/>
        <w:numPr>
          <w:ilvl w:val="0"/>
          <w:numId w:val="126"/>
        </w:numPr>
        <w:ind w:left="709"/>
      </w:pPr>
      <w:r>
        <w:t>Napojování návrhových ploch na sítě elektronických komunikací bude probíhat dle podmínek provozovatele.</w:t>
      </w:r>
    </w:p>
    <w:p w14:paraId="43A3306A" w14:textId="13FDC741" w:rsidR="00FD6FA9" w:rsidRDefault="00FD6FA9" w:rsidP="00FD6FA9">
      <w:pPr>
        <w:pStyle w:val="Nadpis5"/>
      </w:pPr>
      <w:r>
        <w:t>Odpadové hospodářství</w:t>
      </w:r>
    </w:p>
    <w:p w14:paraId="2F640B8C" w14:textId="4711A471" w:rsidR="00C4493B" w:rsidRDefault="00DA289B">
      <w:pPr>
        <w:pStyle w:val="Odstavecseseznamem"/>
        <w:numPr>
          <w:ilvl w:val="0"/>
          <w:numId w:val="127"/>
        </w:numPr>
        <w:ind w:left="709"/>
      </w:pPr>
      <w:r>
        <w:t>Systém odpadového hospodářství obce je stabilizován a rozvíjen jako součást ploch s rozdílným způsobem využití. Předpokládá se plošné zajištění standardu třídění odpadu a zřizování míst s nádobami na tříděný odpad, zejména v rámci řešení návrhových ploch.</w:t>
      </w:r>
    </w:p>
    <w:p w14:paraId="56C4B7C5" w14:textId="420F1CC8" w:rsidR="00B06A96" w:rsidRDefault="00B06A96">
      <w:pPr>
        <w:pStyle w:val="Odstavecseseznamem"/>
        <w:numPr>
          <w:ilvl w:val="0"/>
          <w:numId w:val="127"/>
        </w:numPr>
        <w:ind w:left="709"/>
      </w:pPr>
      <w:r>
        <w:lastRenderedPageBreak/>
        <w:t>Plocha pro rozšíření sběrného dvora je vymezena v návaznosti na stávající sběrný dvůr obce jako strategická prostorová rezerva.</w:t>
      </w:r>
    </w:p>
    <w:p w14:paraId="3DAE07F5" w14:textId="397E6E53" w:rsidR="00B06A96" w:rsidRPr="00C4493B" w:rsidRDefault="00B06A96">
      <w:pPr>
        <w:pStyle w:val="Odstavecseseznamem"/>
        <w:numPr>
          <w:ilvl w:val="0"/>
          <w:numId w:val="127"/>
        </w:numPr>
        <w:ind w:left="709"/>
      </w:pPr>
      <w:r>
        <w:t>Ve správním území obce se nachází území ekologických rizik a kontaminovaná místa dle Systému evidence kontaminovaných míst (s</w:t>
      </w:r>
      <w:r w:rsidRPr="00B06A96">
        <w:t xml:space="preserve">kládka Sedlisko </w:t>
      </w:r>
      <w:r>
        <w:t>–</w:t>
      </w:r>
      <w:r w:rsidRPr="00B06A96">
        <w:t xml:space="preserve"> skál</w:t>
      </w:r>
      <w:r>
        <w:t>a, skládka Hlubočky, s</w:t>
      </w:r>
      <w:r w:rsidRPr="00B06A96">
        <w:t xml:space="preserve">kládka Kalová pole </w:t>
      </w:r>
      <w:r>
        <w:t>–</w:t>
      </w:r>
      <w:r w:rsidRPr="00B06A96">
        <w:t xml:space="preserve"> Moravia</w:t>
      </w:r>
      <w:r>
        <w:t>), předpokládá se jejich postupná rekultivace a zapojení rekultivovaných ploch zpět do krajiny.</w:t>
      </w:r>
    </w:p>
    <w:p w14:paraId="3671F0CE" w14:textId="6861DC84" w:rsidR="007364E8" w:rsidRDefault="007364E8" w:rsidP="008A41F9">
      <w:pPr>
        <w:pStyle w:val="Nadpis4"/>
      </w:pPr>
      <w:r>
        <w:t>Krajinná infrastruktura</w:t>
      </w:r>
    </w:p>
    <w:p w14:paraId="27050CB8" w14:textId="32E05A4B" w:rsidR="007364E8" w:rsidRDefault="004619D1" w:rsidP="004619D1">
      <w:pPr>
        <w:pStyle w:val="Nadpis5"/>
      </w:pPr>
      <w:r>
        <w:t>Základní koncepce</w:t>
      </w:r>
    </w:p>
    <w:p w14:paraId="2909DE46" w14:textId="703F0CBF" w:rsidR="004619D1" w:rsidRPr="00DD475E" w:rsidRDefault="004619D1">
      <w:pPr>
        <w:pStyle w:val="Odstavecseseznamem"/>
        <w:numPr>
          <w:ilvl w:val="0"/>
          <w:numId w:val="87"/>
        </w:numPr>
        <w:spacing w:before="0" w:after="0"/>
      </w:pPr>
      <w:r w:rsidRPr="00DD475E">
        <w:t>Uspořádání krajiny a sídla je definováno fenoménem modelace údolí řeky Bystřice. Území je součástí národní geoparku Krajina břidlice. Rozhodující část krajiny je chráněna v rámci soustavy Natura 2000 a</w:t>
      </w:r>
      <w:r>
        <w:t> </w:t>
      </w:r>
      <w:r w:rsidRPr="00DD475E">
        <w:t>územím zvláštní ochrany přírody.</w:t>
      </w:r>
      <w:r w:rsidRPr="00DD475E">
        <w:rPr>
          <w:highlight w:val="yellow"/>
        </w:rPr>
        <w:t xml:space="preserve"> </w:t>
      </w:r>
    </w:p>
    <w:p w14:paraId="7AA0DEEB" w14:textId="77777777" w:rsidR="004619D1" w:rsidRPr="00DD475E" w:rsidRDefault="004619D1">
      <w:pPr>
        <w:pStyle w:val="Odstavecseseznamem"/>
        <w:numPr>
          <w:ilvl w:val="0"/>
          <w:numId w:val="87"/>
        </w:numPr>
        <w:spacing w:before="0" w:after="0"/>
      </w:pPr>
      <w:r w:rsidRPr="008F119B">
        <w:t xml:space="preserve">Vymezený území systém ekologické stability s navazující kostrou interakčních prvků vytváří základ ekologické stability v území. Trasy ÚSES vycházejí z přirozených migračních vazeb v území a podchycují stávající </w:t>
      </w:r>
      <w:r>
        <w:t xml:space="preserve">hodnotné </w:t>
      </w:r>
      <w:r w:rsidRPr="008F119B">
        <w:t xml:space="preserve">segmenty </w:t>
      </w:r>
      <w:r w:rsidRPr="00DD475E">
        <w:t>krajiny jako vodoteče s břehovými porosty, lesy, meze aj. Součástí ÚSES je v řešeném území maloplošné zvláště chráněné PR Hrubovodské sutě a je zde úzká vazba na prvky soustavy Natura 2000 (EVL Údolí Bystřice, EVL Libavá). Vymezení</w:t>
      </w:r>
      <w:r w:rsidRPr="008F119B">
        <w:t xml:space="preserve"> respektuje hlavní </w:t>
      </w:r>
      <w:r w:rsidRPr="00DD475E">
        <w:t>hierarchickou strukturu ÚSES a to nadregionální – regionální – lokální (místní) – interakční prvky.</w:t>
      </w:r>
    </w:p>
    <w:p w14:paraId="0894E61E" w14:textId="5D2CD3DA" w:rsidR="004619D1" w:rsidRPr="00DD475E" w:rsidRDefault="004619D1">
      <w:pPr>
        <w:pStyle w:val="Odstavecseseznamem"/>
        <w:numPr>
          <w:ilvl w:val="0"/>
          <w:numId w:val="87"/>
        </w:numPr>
        <w:spacing w:before="0" w:after="0"/>
      </w:pPr>
      <w:r w:rsidRPr="00DD475E">
        <w:t>Udržitelný rozvoj krajiny s koordinací zájmů hospodářských a ekologických je v základní struktuře podchycen vymezením ploch s rozdílným způsobem využití, a to v plochách přírodních všeobecných, v plochách smíšených krajinných všeobecných a plochách vodních a vodohospodářských všeobecných. Navržená koncepce podchycuje stávající cenné segmenty krajiny a navrhuje jejich doplnění do požadované struktury odrážející typ a charakter krajiny (vrstevnicové křivky a údolnice v pahorkatinách). Navržená krajinná zeleň zvyšuje migrační prostupnost krajiny, má výrazný protierozní efekt, podporuje zadržení vody v krajině a neposlední řadě podtrhuje krajinný ráz území.</w:t>
      </w:r>
    </w:p>
    <w:p w14:paraId="0A097CEA" w14:textId="783A6BFD" w:rsidR="004619D1" w:rsidRDefault="004619D1" w:rsidP="004619D1">
      <w:pPr>
        <w:pStyle w:val="Nadpis5"/>
      </w:pPr>
      <w:r>
        <w:t>Územní systém ekologické stability</w:t>
      </w:r>
    </w:p>
    <w:p w14:paraId="1734E23E" w14:textId="77777777" w:rsidR="005F2363" w:rsidRPr="002D373F" w:rsidRDefault="004619D1">
      <w:pPr>
        <w:pStyle w:val="Odstavecseseznamem"/>
        <w:numPr>
          <w:ilvl w:val="0"/>
          <w:numId w:val="88"/>
        </w:numPr>
        <w:ind w:left="709"/>
      </w:pPr>
      <w:r w:rsidRPr="005D72C9">
        <w:t>Základním podkladem pro vymezení nadregionáln</w:t>
      </w:r>
      <w:r w:rsidRPr="00D54DC1">
        <w:t xml:space="preserve">ího a regionálního ÚSES byly </w:t>
      </w:r>
      <w:hyperlink r:id="rId27" w:history="1">
        <w:r w:rsidRPr="002D373F">
          <w:rPr>
            <w:rStyle w:val="Hypertextovodkaz"/>
            <w:color w:val="auto"/>
            <w:u w:val="none"/>
          </w:rPr>
          <w:t>Zásady územního rozvoje Olomouckého kraje – úplné znění po Aktualizaci č. 5</w:t>
        </w:r>
      </w:hyperlink>
      <w:r w:rsidRPr="002D373F">
        <w:t xml:space="preserve"> a Změny č. 7, jako celkový koncepční materiál byl použit Plán ÚSES pro SO ORP Olomouc (Atregia, 2022) a ÚSES vymezený v ÚAP. Rozhodující část nadregionálního, regionálního a lokálního ÚSES je funkční.</w:t>
      </w:r>
      <w:r w:rsidR="00F302B7" w:rsidRPr="002D373F">
        <w:t xml:space="preserve"> </w:t>
      </w:r>
    </w:p>
    <w:p w14:paraId="3D1E538E" w14:textId="3B71C8E6" w:rsidR="00F302B7" w:rsidRPr="002D373F" w:rsidRDefault="004619D1" w:rsidP="002D373F">
      <w:pPr>
        <w:pStyle w:val="Odstavecseseznamem"/>
        <w:ind w:left="709"/>
      </w:pPr>
      <w:r w:rsidRPr="002D373F">
        <w:t>V rámci návrhu byla dodržována návaznost ÚSES na sousedící obce.</w:t>
      </w:r>
    </w:p>
    <w:p w14:paraId="1621CED8" w14:textId="5F46E078" w:rsidR="00F302B7" w:rsidRPr="002D373F" w:rsidRDefault="004619D1">
      <w:pPr>
        <w:pStyle w:val="Odstavecseseznamem"/>
        <w:numPr>
          <w:ilvl w:val="0"/>
          <w:numId w:val="88"/>
        </w:numPr>
        <w:ind w:left="709"/>
      </w:pPr>
      <w:r w:rsidRPr="002D373F">
        <w:t>Postup vymezování vycházel z logiky uspořádání ÚSES dle jeho hierarchické úrovně. Bázi ekologické stability a významnou osu v území vytváří řeka Bystřice s navazujícími břehovými porosty a lesnatými svahy. Řeka Bystřice vytváří vodní větev regionálního ÚSES, která je místy doplněna větví svahovou. Významnou hodnotou území jsou lesní porosty s místy odpovídající druhovou a prostorovou skladbou. V lesních porostech je trasována osa nadregionálního biokoridoru K91 a regionálního biokoridoru RBK 1516. Na síť nadregionálního a regionálního ÚSES navazuje po migračně významných trasách lokální (místní) ÚSES a následně systém interakčních prvků.</w:t>
      </w:r>
    </w:p>
    <w:p w14:paraId="114DE336" w14:textId="14081BDE" w:rsidR="00F302B7" w:rsidRPr="002D373F" w:rsidRDefault="004619D1">
      <w:pPr>
        <w:pStyle w:val="Odstavecseseznamem"/>
        <w:numPr>
          <w:ilvl w:val="0"/>
          <w:numId w:val="88"/>
        </w:numPr>
        <w:ind w:left="709"/>
      </w:pPr>
      <w:r w:rsidRPr="002D373F">
        <w:t>Trasy ÚSES vymezené v zastavěném území jsou charakteru urbánního ÚSES. To se projevuje lokálním zúžením biokoridorů a případné překročení jejich maximální délky (nebo jejich segmentů), dále zmenšením biocenter pod minimální výměru nebo jejich ne zcela optimální, ale kompromisní řešení (protáhlý tvar biocenter, otvory zastavěného území v biocentrech, zahrnutí pozměněných pozemků aj.). Jistá újma urbánního ÚSES je kompenzována v navazujících plochách (zvětšení navazujících biocenter, posílení dalších struktur zeleně apod.).</w:t>
      </w:r>
      <w:r w:rsidR="00F302B7" w:rsidRPr="002D373F">
        <w:t xml:space="preserve"> </w:t>
      </w:r>
      <w:r w:rsidRPr="002D373F">
        <w:t>Při vymezování byly zhodnoceny trasy sítí technické a vedení dopravní infrastruktury se snahou minimalizovat jejich souběh. Jednotlivé prvky ÚSES byly v maximální míře přizpůsobeny parcelaci dle KN.</w:t>
      </w:r>
    </w:p>
    <w:p w14:paraId="64D06A62" w14:textId="402973D7" w:rsidR="004619D1" w:rsidRDefault="004619D1">
      <w:pPr>
        <w:pStyle w:val="Odstavecseseznamem"/>
        <w:numPr>
          <w:ilvl w:val="0"/>
          <w:numId w:val="88"/>
        </w:numPr>
        <w:ind w:left="709"/>
      </w:pPr>
      <w:r w:rsidRPr="002D373F">
        <w:t>Prvky ÚSES spolu s IP vytváří v zemědělské a urbánní krajině multifunkční strukturu, kde kromě jejich ekologické funkce (vytvářející životní prostor a možnost migrace pro převážnou část bioty) vytváří významnou funkci klimatickou, zadržení vody v krajině, protierozní (proti vodní i větrné erozi), izolační funkci (tlumení hluku, prašnosti, tlumení negativních vizuálních impaktů apod.) a podporu, vytváření krajinného rázu místa. Realizací prvků ÚSES a interakčních prvků dochází ke zvýšení prostupnosti pro biotu</w:t>
      </w:r>
      <w:r w:rsidRPr="005D72C9">
        <w:t xml:space="preserve"> i návštěvníky krajiny.</w:t>
      </w:r>
    </w:p>
    <w:p w14:paraId="1EC70AD3" w14:textId="71EC6107" w:rsidR="002D373F" w:rsidRDefault="002D373F" w:rsidP="002D373F">
      <w:pPr>
        <w:pStyle w:val="Nadpis6"/>
      </w:pPr>
      <w:r w:rsidRPr="00FF5FBE">
        <w:t>Nadregionální územní systém ekologické stability</w:t>
      </w:r>
    </w:p>
    <w:p w14:paraId="502E4C6F" w14:textId="77777777" w:rsidR="002D373F" w:rsidRDefault="002D373F">
      <w:pPr>
        <w:pStyle w:val="Odstavecseseznamem"/>
        <w:numPr>
          <w:ilvl w:val="0"/>
          <w:numId w:val="89"/>
        </w:numPr>
        <w:spacing w:before="0" w:after="0"/>
      </w:pPr>
      <w:r>
        <w:t>Nadregionální ÚSES je v řešeném území zastoupen osou nadregionálního biokoridoru K 91, která reprezentuje mezofilní bučinné společenstva. Trasa NRBK K 91 je vymezena v centrální části území</w:t>
      </w:r>
      <w:r w:rsidRPr="002534BE">
        <w:t xml:space="preserve"> </w:t>
      </w:r>
      <w:r>
        <w:t>v západovýchodním směru.</w:t>
      </w:r>
    </w:p>
    <w:p w14:paraId="1B372EA5" w14:textId="77777777" w:rsidR="002D373F" w:rsidRDefault="002D373F">
      <w:pPr>
        <w:pStyle w:val="Odstavecseseznamem"/>
        <w:numPr>
          <w:ilvl w:val="0"/>
          <w:numId w:val="89"/>
        </w:numPr>
        <w:spacing w:before="0" w:after="0"/>
      </w:pPr>
      <w:r>
        <w:t>Trasa biokoridoru zahrnuje lesnaté svahy vrchu Vrábl (500 m n. m.) a lesnaté svahy západně a východně nad údolím Bystřice. V prostoru údolí řeky Bystřice kříží trasa biokoridoru v kolmém směru úzkou nivu řeky s navazujícím urbanizovaným prostředím.</w:t>
      </w:r>
    </w:p>
    <w:p w14:paraId="2F052E22" w14:textId="77777777" w:rsidR="002D373F" w:rsidRDefault="002D373F">
      <w:pPr>
        <w:pStyle w:val="Odstavecseseznamem"/>
        <w:numPr>
          <w:ilvl w:val="0"/>
          <w:numId w:val="89"/>
        </w:numPr>
        <w:spacing w:before="0" w:after="0"/>
      </w:pPr>
      <w:r>
        <w:lastRenderedPageBreak/>
        <w:t>K 91 je vymezen jako složený biokoridor, do jehož osy jsou vložena biocentra. Jedná se o regionální biocentrum RBC Vrábl a lokální biocentra LBC Rozdíly, LBC Pod Drápalovou samotou a LBC Černý les.</w:t>
      </w:r>
    </w:p>
    <w:p w14:paraId="74C79F0C" w14:textId="77777777" w:rsidR="002D373F" w:rsidRPr="00907909" w:rsidRDefault="002D373F">
      <w:pPr>
        <w:pStyle w:val="Odstavecseseznamem"/>
        <w:numPr>
          <w:ilvl w:val="0"/>
          <w:numId w:val="89"/>
        </w:numPr>
        <w:spacing w:before="0" w:after="0"/>
      </w:pPr>
      <w:r>
        <w:t xml:space="preserve">Trasa biokoridoru je funkčního charakteru, v údolí řeky Bystřice dochází k méně významnému působení bariér železniční trati, místní komunikace (ul. Dukelských hrdinů) a samotné řeky Bystřice. U </w:t>
      </w:r>
      <w:r w:rsidRPr="00907909">
        <w:t>současných jehličnatých porostů je v rámci obnovy nezbytné zajistit přeměnu na porosty listnaté.</w:t>
      </w:r>
    </w:p>
    <w:p w14:paraId="292D8141" w14:textId="77777777" w:rsidR="002D373F" w:rsidRPr="00907909" w:rsidRDefault="002D373F">
      <w:pPr>
        <w:pStyle w:val="Odstavecseseznamem"/>
        <w:numPr>
          <w:ilvl w:val="0"/>
          <w:numId w:val="89"/>
        </w:numPr>
        <w:spacing w:before="0" w:after="0"/>
      </w:pPr>
      <w:r w:rsidRPr="00907909">
        <w:t>Jednotlivé prvky nadregionálního ÚSES jsou plošně vymezeny, jsou funkčního charakteru a je pro ně stanoveno cílové společenstvo. Cílové společenstvo vychází z charakteru NRBK v širších souvislostech</w:t>
      </w:r>
      <w:r>
        <w:t>.</w:t>
      </w:r>
    </w:p>
    <w:p w14:paraId="40ADE1A2" w14:textId="6FFAD089" w:rsidR="002D373F" w:rsidRDefault="002D373F" w:rsidP="002D373F">
      <w:pPr>
        <w:pStyle w:val="Nadpis6"/>
      </w:pPr>
      <w:r w:rsidRPr="00907909">
        <w:t>Regionální územní systém ekologické stability</w:t>
      </w:r>
    </w:p>
    <w:p w14:paraId="6EBBC3AD" w14:textId="640C16A2" w:rsidR="00C26C96" w:rsidRDefault="00C26C96">
      <w:pPr>
        <w:pStyle w:val="Odstavecseseznamem"/>
        <w:numPr>
          <w:ilvl w:val="0"/>
          <w:numId w:val="90"/>
        </w:numPr>
        <w:spacing w:before="0" w:after="0"/>
      </w:pPr>
      <w:r>
        <w:t>Regionální ÚSES zahrnuje v řešeném území dvě hlavní větve: vodní/nivní větev (doplněná o svahovou) trasovanou údolím řeky Bystřice a větev mezofilní bučinnou trasovanou v lesních porostech – křížící údolí Bystřice v kolmém směru (RBK 1516).</w:t>
      </w:r>
    </w:p>
    <w:p w14:paraId="344EC134" w14:textId="7CAB5514" w:rsidR="00C26C96" w:rsidRDefault="00C26C96">
      <w:pPr>
        <w:pStyle w:val="Odstavecseseznamem"/>
        <w:numPr>
          <w:ilvl w:val="0"/>
          <w:numId w:val="90"/>
        </w:numPr>
        <w:spacing w:before="0" w:after="0"/>
      </w:pPr>
      <w:r w:rsidRPr="009F7DE5">
        <w:t>Plochy regionálních biocenter RBC Hrubá Voda, RBC Vrábl (součástí K 91), RBC Hlubočská niva a vymezená část RBC Zlaté doly jsou vždy v </w:t>
      </w:r>
      <w:r>
        <w:t>různé</w:t>
      </w:r>
      <w:r w:rsidRPr="009F7DE5">
        <w:t xml:space="preserve"> míře v kontaktu s nivou řeky Bystřice. </w:t>
      </w:r>
      <w:r>
        <w:t xml:space="preserve">RBC Hlubočská niva a RBC Zlaté doly jsou především nivního charakteru. RBC </w:t>
      </w:r>
      <w:r w:rsidRPr="009F7DE5">
        <w:t>Hrubá Voda</w:t>
      </w:r>
      <w:r>
        <w:t xml:space="preserve"> a</w:t>
      </w:r>
      <w:r w:rsidRPr="009F7DE5">
        <w:t xml:space="preserve"> RBC Vrábl </w:t>
      </w:r>
      <w:r>
        <w:t>zahrnují část nivy, ale především lesnaté svahy údolí řeky Bystřice a jsou převážně mezofilně bučinného charakteru.</w:t>
      </w:r>
    </w:p>
    <w:p w14:paraId="4C56BD62" w14:textId="77777777" w:rsidR="00C26C96" w:rsidRPr="009F7DE5" w:rsidRDefault="00C26C96">
      <w:pPr>
        <w:pStyle w:val="Odstavecseseznamem"/>
        <w:numPr>
          <w:ilvl w:val="0"/>
          <w:numId w:val="90"/>
        </w:numPr>
        <w:spacing w:before="0" w:after="0"/>
      </w:pPr>
      <w:r w:rsidRPr="009F7DE5">
        <w:t>Plochy regionáln</w:t>
      </w:r>
      <w:r>
        <w:t xml:space="preserve">ích biocenter jsou dlouhodobě stabilizovány a jsou funkční. RBC Hrubá voda zahrnuje přírodní rezervaci </w:t>
      </w:r>
      <w:r w:rsidRPr="006C7EA9">
        <w:rPr>
          <w:i/>
        </w:rPr>
        <w:t>PR Hrubovodské sutě</w:t>
      </w:r>
      <w:r>
        <w:t xml:space="preserve"> vymezenou n</w:t>
      </w:r>
      <w:r w:rsidRPr="008A0CDA">
        <w:t>a prudkých svazích údolí Bystřice. T</w:t>
      </w:r>
      <w:r>
        <w:t xml:space="preserve">voří ji jedlobukové suťové lesy </w:t>
      </w:r>
      <w:r w:rsidRPr="008A0CDA">
        <w:t>typické pro oblast Nízkého Jeseníku</w:t>
      </w:r>
      <w:r>
        <w:t>.</w:t>
      </w:r>
    </w:p>
    <w:p w14:paraId="36AC3C1B" w14:textId="77777777" w:rsidR="00C26C96" w:rsidRDefault="00C26C96">
      <w:pPr>
        <w:pStyle w:val="Odstavecseseznamem"/>
        <w:numPr>
          <w:ilvl w:val="0"/>
          <w:numId w:val="90"/>
        </w:numPr>
        <w:spacing w:before="0" w:after="0"/>
      </w:pPr>
      <w:r w:rsidRPr="00904405">
        <w:t>Regionální biocentra jsou regionální</w:t>
      </w:r>
      <w:r>
        <w:t>mi</w:t>
      </w:r>
      <w:r w:rsidRPr="00904405">
        <w:t xml:space="preserve"> biokoridor</w:t>
      </w:r>
      <w:r>
        <w:t>y</w:t>
      </w:r>
      <w:r w:rsidRPr="00904405">
        <w:t xml:space="preserve"> propojena po regionálně významných trasách, zároveň je síť regionálního ÚSES napojena na ÚSES nadregionální</w:t>
      </w:r>
      <w:r>
        <w:t xml:space="preserve"> úrovně</w:t>
      </w:r>
      <w:r w:rsidRPr="00904405">
        <w:t>.</w:t>
      </w:r>
    </w:p>
    <w:p w14:paraId="088ABA0B" w14:textId="77777777" w:rsidR="00C26C96" w:rsidRDefault="00C26C96">
      <w:pPr>
        <w:pStyle w:val="Odstavecseseznamem"/>
        <w:numPr>
          <w:ilvl w:val="0"/>
          <w:numId w:val="90"/>
        </w:numPr>
        <w:spacing w:before="0" w:after="0"/>
      </w:pPr>
      <w:r>
        <w:t xml:space="preserve">V řešeném území jsou trasovány regionální biokoridory: RBK 931 členěný na vodní/nivní a mezofilně bučinný svahový, RBK 1516, </w:t>
      </w:r>
      <w:r w:rsidRPr="006C7EA9">
        <w:t>RBK 1518 členěný na vodní/nivní a mezofilně bučinný svahový a RBK 1519.</w:t>
      </w:r>
    </w:p>
    <w:p w14:paraId="4D0FF07E" w14:textId="17C4F350" w:rsidR="00C26C96" w:rsidRPr="006C7EA9" w:rsidRDefault="00C26C96">
      <w:pPr>
        <w:pStyle w:val="Odstavecseseznamem"/>
        <w:numPr>
          <w:ilvl w:val="0"/>
          <w:numId w:val="90"/>
        </w:numPr>
        <w:spacing w:before="0" w:after="0"/>
      </w:pPr>
      <w:r>
        <w:t>Trasy regionálních biokoridorů jako vymezovány jako složené biokoridory, kdy do jejich trasy jsou vkládána lokální biocentra. Z důvodu trasování regionálních biokoridorů RBK 1518v a 1519 při řece Bystřici ve vysoce urbanizovaném území, dochází k předkročení maximální délky i minimální šíře jednotlivých segmentů RBK. Zároveň jsou často pozměněna stanoviště s omezenou možností nápravy. Z výše uvedených skutečností je nutné pohlížet na trasu RBK 1518v a 1519 jako na ÚSES urbánního charakteru. Vložením svahových lokálních biocenter do vodních/nivních tras regionálních biokoridorů by bylo pouze naplňování formální stránky vymezení bez reálného zvýšení funkčnosti systému.</w:t>
      </w:r>
    </w:p>
    <w:p w14:paraId="7789E9F6" w14:textId="77777777" w:rsidR="00C26C96" w:rsidRPr="00B9153F" w:rsidRDefault="00C26C96">
      <w:pPr>
        <w:pStyle w:val="Odstavecseseznamem"/>
        <w:numPr>
          <w:ilvl w:val="0"/>
          <w:numId w:val="90"/>
        </w:numPr>
        <w:spacing w:before="0" w:after="0"/>
      </w:pPr>
      <w:r w:rsidRPr="00B9153F">
        <w:t>Jednotlivé prvky regionálního ÚSES jsou plošně vymezeny, členěny na funkční a částečně funkční a je pro ně stanoveno cílové společenstvo.</w:t>
      </w:r>
    </w:p>
    <w:p w14:paraId="3C72C6E3" w14:textId="33D6E279" w:rsidR="002D373F" w:rsidRDefault="00C26C96" w:rsidP="00C26C96">
      <w:pPr>
        <w:pStyle w:val="Nadpis6"/>
      </w:pPr>
      <w:r w:rsidRPr="00A04C3E">
        <w:t xml:space="preserve">Lokální </w:t>
      </w:r>
      <w:r w:rsidRPr="00353662">
        <w:t>územní systém ekologické stability</w:t>
      </w:r>
    </w:p>
    <w:p w14:paraId="242FAD35" w14:textId="77777777" w:rsidR="00C26C96" w:rsidRPr="00CF4855" w:rsidRDefault="00C26C96">
      <w:pPr>
        <w:pStyle w:val="Odstavecseseznamem"/>
        <w:numPr>
          <w:ilvl w:val="0"/>
          <w:numId w:val="91"/>
        </w:numPr>
        <w:spacing w:before="0" w:after="0"/>
      </w:pPr>
      <w:r w:rsidRPr="00CF4855">
        <w:t>Stávající lokální ÚSES je stabilizován, vychází především z husté sítě nadmístního ÚSES v území, který doplňuje v lokálně významných lokalitách a trasách.</w:t>
      </w:r>
    </w:p>
    <w:p w14:paraId="5414934F" w14:textId="77777777" w:rsidR="00C26C96" w:rsidRDefault="00C26C96">
      <w:pPr>
        <w:pStyle w:val="Odstavecseseznamem"/>
        <w:numPr>
          <w:ilvl w:val="0"/>
          <w:numId w:val="91"/>
        </w:numPr>
        <w:spacing w:before="0" w:after="0"/>
      </w:pPr>
      <w:r w:rsidRPr="00CF4855">
        <w:t>Lokální ÚSES v zájmovém území je převážně mezofilního lesního charakteru. Vybrané biokoridory trasované v údolích při menších vodotečí jsou hygrofilního (podmáčeného, nivního - mokřadního) charakteru. Jedná se například o LBK 102 – LBC U slaměného mostu – LBK Zdiměřský potok, LBK Hlubočský potok, LBK Trnava a část LBK 2.</w:t>
      </w:r>
    </w:p>
    <w:p w14:paraId="34641B5C" w14:textId="77777777" w:rsidR="00C26C96" w:rsidRDefault="00C26C96">
      <w:pPr>
        <w:pStyle w:val="Odstavecseseznamem"/>
        <w:numPr>
          <w:ilvl w:val="0"/>
          <w:numId w:val="91"/>
        </w:numPr>
        <w:spacing w:before="0" w:after="0"/>
      </w:pPr>
      <w:r w:rsidRPr="00817D92">
        <w:t xml:space="preserve">Části </w:t>
      </w:r>
      <w:r>
        <w:t xml:space="preserve">lokálního </w:t>
      </w:r>
      <w:r w:rsidRPr="00817D92">
        <w:t xml:space="preserve">ÚSES trasovaných na PUPFL lze charakterizovat jako </w:t>
      </w:r>
      <w:r>
        <w:t>funkční</w:t>
      </w:r>
      <w:r w:rsidRPr="00817D92">
        <w:t>, při obnově porostů je třeba dodržovat přirozenou druhovou skladbu sadebního materiálu. V případě vhodného a kvalitního mateřského porostu je vhodné využít přirozenou obnovu porostu</w:t>
      </w:r>
      <w:r>
        <w:t>.</w:t>
      </w:r>
    </w:p>
    <w:p w14:paraId="7F7A7435" w14:textId="77777777" w:rsidR="00C26C96" w:rsidRPr="00B9153F" w:rsidRDefault="00C26C96">
      <w:pPr>
        <w:pStyle w:val="Odstavecseseznamem"/>
        <w:numPr>
          <w:ilvl w:val="0"/>
          <w:numId w:val="91"/>
        </w:numPr>
        <w:spacing w:before="0" w:after="0"/>
      </w:pPr>
      <w:r w:rsidRPr="00B9153F">
        <w:t xml:space="preserve">Jednotlivé prvky </w:t>
      </w:r>
      <w:r>
        <w:t>lokálního</w:t>
      </w:r>
      <w:r w:rsidRPr="00B9153F">
        <w:t xml:space="preserve"> ÚSES jsou plošně vymezeny, členěny na funkční a částečně funkční a je pro ně stanoveno cílové společenstvo.</w:t>
      </w:r>
    </w:p>
    <w:p w14:paraId="5DF6CBA4" w14:textId="30359033" w:rsidR="002D373F" w:rsidRDefault="00BE26E4" w:rsidP="00BE26E4">
      <w:pPr>
        <w:pStyle w:val="Nadpis6"/>
      </w:pPr>
      <w:r w:rsidRPr="00B74955">
        <w:t>Interakční prvky</w:t>
      </w:r>
    </w:p>
    <w:p w14:paraId="7B93DA00" w14:textId="77777777" w:rsidR="00BE26E4" w:rsidRPr="00B74955" w:rsidRDefault="00BE26E4">
      <w:pPr>
        <w:pStyle w:val="Odstavecseseznamem"/>
        <w:numPr>
          <w:ilvl w:val="0"/>
          <w:numId w:val="93"/>
        </w:numPr>
        <w:spacing w:before="0" w:after="0"/>
      </w:pPr>
      <w:r w:rsidRPr="00B74955">
        <w:t xml:space="preserve">Potřeba návrhu interakčních prvků (krajinné zeleně) vychází lokálně nižší ekologické stability zemědělsky </w:t>
      </w:r>
      <w:r>
        <w:t>využívaných pozemků</w:t>
      </w:r>
      <w:r w:rsidRPr="00B74955">
        <w:t>; návrh interakčních prvků zvyšuje ekologickou stabilitu území a pozitivně působí na mikroklima v území.</w:t>
      </w:r>
      <w:r>
        <w:t xml:space="preserve"> </w:t>
      </w:r>
      <w:r w:rsidRPr="00B74955">
        <w:t xml:space="preserve">Zemědělsky využívaná krajina je </w:t>
      </w:r>
      <w:r>
        <w:t>více</w:t>
      </w:r>
      <w:r w:rsidRPr="00B74955">
        <w:t xml:space="preserve"> ohrožena vodní i větrnou erozí, z toho důvodu jsou navrženy liniové prvky snižující erozní ohrožení pozemků a zároveň zadržující vodu v krajině s pozitivní přeměnou vody povrchové na podzemní, navrženy jsou prvky vrstevnicové i údolnicové.</w:t>
      </w:r>
    </w:p>
    <w:p w14:paraId="721F247D" w14:textId="77777777" w:rsidR="00BE26E4" w:rsidRPr="00CD7C3F" w:rsidRDefault="00BE26E4">
      <w:pPr>
        <w:pStyle w:val="Odstavecseseznamem"/>
        <w:numPr>
          <w:ilvl w:val="0"/>
          <w:numId w:val="93"/>
        </w:numPr>
        <w:spacing w:before="0" w:after="0"/>
      </w:pPr>
      <w:r w:rsidRPr="00CD7C3F">
        <w:t>Interakční prvky jsou navrženy jako systém (kostra) krajinné zeleně bezprostředně nebo zprostředkovaně propojena s prvky ÚSES všech hierarchických úrovní. Navržené interakční prvky propojují volnou krajinu se zastavěným územím se strukturou sídelní zeleně a umožňují tak oboustrannou komunikaci, zároveň zvyšují prostupnost volné krajiny pro obyvatele a podporují každodenní rekreaci občanů</w:t>
      </w:r>
    </w:p>
    <w:p w14:paraId="2FC7BE3B" w14:textId="77777777" w:rsidR="00BE26E4" w:rsidRPr="0027272B" w:rsidRDefault="00BE26E4">
      <w:pPr>
        <w:pStyle w:val="Odstavecseseznamem"/>
        <w:numPr>
          <w:ilvl w:val="0"/>
          <w:numId w:val="93"/>
        </w:numPr>
        <w:spacing w:before="0" w:after="0"/>
      </w:pPr>
      <w:r w:rsidRPr="0027272B">
        <w:t>Cílové typy navržených prvků jsou: doprovodná liniová zeleň vodotečí nebo komunikací vč. polních cest, protierozní prvky, prvky s převažující ekologickou funkcí. Návrh systému interakčních prvků dává předpoklad obnovy základních struktur v území.</w:t>
      </w:r>
    </w:p>
    <w:p w14:paraId="1CD9A9CA" w14:textId="77777777" w:rsidR="00BE26E4" w:rsidRPr="0027272B" w:rsidRDefault="00BE26E4">
      <w:pPr>
        <w:pStyle w:val="Odstavecseseznamem"/>
        <w:numPr>
          <w:ilvl w:val="0"/>
          <w:numId w:val="93"/>
        </w:numPr>
        <w:spacing w:before="0" w:after="0"/>
      </w:pPr>
      <w:r w:rsidRPr="0027272B">
        <w:t>Jednotlivé interakční prvky je nutné v podrobnější dokumentaci řešit zejména s ohledem:</w:t>
      </w:r>
    </w:p>
    <w:p w14:paraId="65536161" w14:textId="5026DC6C" w:rsidR="00BE26E4" w:rsidRDefault="00BE26E4">
      <w:pPr>
        <w:pStyle w:val="Odstavecseseznamem"/>
        <w:numPr>
          <w:ilvl w:val="0"/>
          <w:numId w:val="92"/>
        </w:numPr>
        <w:spacing w:before="0" w:after="0"/>
        <w:ind w:left="851" w:hanging="142"/>
      </w:pPr>
      <w:r w:rsidRPr="0027272B">
        <w:t>majetkoprávní vztahy v prostoru realizace prvků</w:t>
      </w:r>
      <w:r>
        <w:t>;</w:t>
      </w:r>
    </w:p>
    <w:p w14:paraId="4ACBAC84" w14:textId="7DE2F871" w:rsidR="00BE26E4" w:rsidRPr="0027272B" w:rsidRDefault="00BE26E4">
      <w:pPr>
        <w:pStyle w:val="Odstavecseseznamem"/>
        <w:numPr>
          <w:ilvl w:val="0"/>
          <w:numId w:val="92"/>
        </w:numPr>
        <w:spacing w:before="0" w:after="0"/>
        <w:ind w:left="851" w:hanging="142"/>
      </w:pPr>
      <w:r>
        <w:t>limity vycházející ze stávající dopravní a technické infrastruktury;</w:t>
      </w:r>
    </w:p>
    <w:p w14:paraId="02A61B79" w14:textId="07621139" w:rsidR="00BE26E4" w:rsidRPr="0027272B" w:rsidRDefault="00BE26E4">
      <w:pPr>
        <w:pStyle w:val="Odstavecseseznamem"/>
        <w:numPr>
          <w:ilvl w:val="0"/>
          <w:numId w:val="92"/>
        </w:numPr>
        <w:spacing w:before="0" w:after="0"/>
        <w:ind w:left="851" w:hanging="142"/>
      </w:pPr>
      <w:r w:rsidRPr="0027272B">
        <w:lastRenderedPageBreak/>
        <w:t>upřesnění vedení protierozních prvků s ohledem na podrobnější zaměření terénu</w:t>
      </w:r>
      <w:r>
        <w:t>.</w:t>
      </w:r>
    </w:p>
    <w:p w14:paraId="41C206C7" w14:textId="502E105C" w:rsidR="00BE26E4" w:rsidRDefault="00BE26E4" w:rsidP="00EE6299">
      <w:pPr>
        <w:pStyle w:val="Nadpis5"/>
      </w:pPr>
      <w:r>
        <w:t xml:space="preserve">Ochrana </w:t>
      </w:r>
      <w:r w:rsidR="00A33FCC">
        <w:t>přírody</w:t>
      </w:r>
    </w:p>
    <w:p w14:paraId="6DC10C15" w14:textId="4CEB361A" w:rsidR="00462EEC" w:rsidRDefault="009947D0">
      <w:pPr>
        <w:pStyle w:val="Odstavecseseznamem"/>
        <w:numPr>
          <w:ilvl w:val="0"/>
          <w:numId w:val="97"/>
        </w:numPr>
        <w:ind w:left="709"/>
      </w:pPr>
      <w:r>
        <w:t xml:space="preserve">Celé správní území obce je součástí </w:t>
      </w:r>
      <w:r w:rsidRPr="00683D15">
        <w:rPr>
          <w:b/>
          <w:bCs/>
        </w:rPr>
        <w:t>Přírodního parku Údolí Bystřice</w:t>
      </w:r>
      <w:r>
        <w:t>, režim využitelnosti ploch je dán vyhláškou o jeho zřízení. Územní plán zajišťuje zachování krajinného rázu daného území, potenciál přírodních hodnot tvoří zejména údolní niva řeky Bystřice s přilehlými svahy a údolími přítoků Bystřice, přírodě blízkými lesními porosty a mokřadními loukami a prameništi.</w:t>
      </w:r>
    </w:p>
    <w:p w14:paraId="31566FAE" w14:textId="51560098" w:rsidR="00FD15BB" w:rsidRPr="00C76CCC" w:rsidRDefault="00FD15BB" w:rsidP="00FD15BB">
      <w:pPr>
        <w:pStyle w:val="Odstavecseseznamem"/>
        <w:ind w:left="709"/>
        <w:rPr>
          <w:u w:val="single"/>
        </w:rPr>
      </w:pPr>
      <w:r w:rsidRPr="00C76CCC">
        <w:rPr>
          <w:u w:val="single"/>
        </w:rPr>
        <w:t>Hlavním předmětem ochrany j</w:t>
      </w:r>
      <w:r w:rsidR="00C76CCC" w:rsidRPr="00C76CCC">
        <w:rPr>
          <w:u w:val="single"/>
        </w:rPr>
        <w:t>sou</w:t>
      </w:r>
      <w:r w:rsidRPr="00C76CCC">
        <w:rPr>
          <w:u w:val="single"/>
        </w:rPr>
        <w:t>:</w:t>
      </w:r>
    </w:p>
    <w:p w14:paraId="380DFD02" w14:textId="77777777" w:rsidR="00FD15BB" w:rsidRDefault="00FD15BB">
      <w:pPr>
        <w:pStyle w:val="Odstavecseseznamem"/>
        <w:numPr>
          <w:ilvl w:val="0"/>
          <w:numId w:val="18"/>
        </w:numPr>
        <w:ind w:left="1134"/>
      </w:pPr>
      <w:r>
        <w:t>l</w:t>
      </w:r>
      <w:r w:rsidRPr="00FD15BB">
        <w:t xml:space="preserve">esy svazu Tilio-Acerion na svazích, sutích a v roklích; </w:t>
      </w:r>
    </w:p>
    <w:p w14:paraId="792763D0" w14:textId="77777777" w:rsidR="00FD15BB" w:rsidRDefault="00FD15BB">
      <w:pPr>
        <w:pStyle w:val="Odstavecseseznamem"/>
        <w:numPr>
          <w:ilvl w:val="0"/>
          <w:numId w:val="18"/>
        </w:numPr>
        <w:ind w:left="1134"/>
      </w:pPr>
      <w:r w:rsidRPr="00FD15BB">
        <w:t xml:space="preserve">lokalita přástevníka kostivalového; </w:t>
      </w:r>
    </w:p>
    <w:p w14:paraId="1B397854" w14:textId="77777777" w:rsidR="00FD15BB" w:rsidRDefault="00FD15BB">
      <w:pPr>
        <w:pStyle w:val="Odstavecseseznamem"/>
        <w:numPr>
          <w:ilvl w:val="0"/>
          <w:numId w:val="18"/>
        </w:numPr>
        <w:ind w:left="1134"/>
      </w:pPr>
      <w:r w:rsidRPr="00FD15BB">
        <w:t xml:space="preserve">chasmofytická vegetace silikátových skalnatých svahů; </w:t>
      </w:r>
    </w:p>
    <w:p w14:paraId="46908E5C" w14:textId="772D2D8D" w:rsidR="00FD15BB" w:rsidRDefault="00FD15BB">
      <w:pPr>
        <w:pStyle w:val="Odstavecseseznamem"/>
        <w:numPr>
          <w:ilvl w:val="0"/>
          <w:numId w:val="18"/>
        </w:numPr>
        <w:ind w:left="1134"/>
      </w:pPr>
      <w:r w:rsidRPr="00FD15BB">
        <w:t>bučiny asociace Luzulo-Fagetum a Asperulo-Fagetum</w:t>
      </w:r>
      <w:r>
        <w:t>.</w:t>
      </w:r>
    </w:p>
    <w:p w14:paraId="2EBA105D" w14:textId="5A7F3428" w:rsidR="00FD15BB" w:rsidRDefault="00FD15BB">
      <w:pPr>
        <w:pStyle w:val="Odstavecseseznamem"/>
        <w:numPr>
          <w:ilvl w:val="0"/>
          <w:numId w:val="97"/>
        </w:numPr>
        <w:ind w:left="709"/>
      </w:pPr>
      <w:r>
        <w:t xml:space="preserve">Ve správním území obce se nachází přírodní rezervace </w:t>
      </w:r>
      <w:r w:rsidRPr="00C76CCC">
        <w:rPr>
          <w:b/>
          <w:bCs/>
        </w:rPr>
        <w:t>Hrubovodské sutě</w:t>
      </w:r>
      <w:r w:rsidR="00C76CCC">
        <w:t xml:space="preserve"> (Hrubá Voda).</w:t>
      </w:r>
    </w:p>
    <w:p w14:paraId="75649D3E" w14:textId="0E679C0D" w:rsidR="00C76CCC" w:rsidRPr="00C76CCC" w:rsidRDefault="00C76CCC" w:rsidP="00C76CCC">
      <w:pPr>
        <w:pStyle w:val="Odstavecseseznamem"/>
        <w:ind w:left="709"/>
        <w:rPr>
          <w:u w:val="single"/>
        </w:rPr>
      </w:pPr>
      <w:r w:rsidRPr="00C76CCC">
        <w:rPr>
          <w:u w:val="single"/>
        </w:rPr>
        <w:t>Hlavním předmětem ochrany jsou:</w:t>
      </w:r>
    </w:p>
    <w:p w14:paraId="7FA3818D" w14:textId="305CDBAF" w:rsidR="00C76CCC" w:rsidRDefault="00C76CCC" w:rsidP="00C76CCC">
      <w:pPr>
        <w:pStyle w:val="Odstavecseseznamem"/>
        <w:ind w:left="709"/>
      </w:pPr>
      <w:r w:rsidRPr="00C76CCC">
        <w:t>Geomorfologicky členité území s výskytem přirozených a přírodě blízkých lesních ekosystémů 4. a 5. lesního vegetačního stupně, typických pro lesní oblast Nízký Jeseník. Jde zejména o společenstva bučin, jedlobučin a suťových lesů se zastoupením charakteristických i ohrožených a regionálně ustupujících druhů planě rostoucích rostlin a volně žijících živočichů.</w:t>
      </w:r>
    </w:p>
    <w:p w14:paraId="542949CE" w14:textId="2B79C7EB" w:rsidR="00FD15BB" w:rsidRPr="00462EEC" w:rsidRDefault="00FD15BB">
      <w:pPr>
        <w:pStyle w:val="Odstavecseseznamem"/>
        <w:numPr>
          <w:ilvl w:val="0"/>
          <w:numId w:val="97"/>
        </w:numPr>
        <w:ind w:left="709"/>
      </w:pPr>
      <w:r>
        <w:t>Ve správním území obce nejsou evidovány významné krajinné prvky mimo ty, které vyplývají z</w:t>
      </w:r>
      <w:r w:rsidR="00B2620F">
        <w:t xml:space="preserve"> platné </w:t>
      </w:r>
      <w:r>
        <w:t>legislativy.</w:t>
      </w:r>
    </w:p>
    <w:p w14:paraId="69234B57" w14:textId="78AE699D" w:rsidR="00BE26E4" w:rsidRDefault="00BE26E4" w:rsidP="00EE6299">
      <w:pPr>
        <w:pStyle w:val="Nadpis5"/>
      </w:pPr>
      <w:r>
        <w:t>NATURA 2000</w:t>
      </w:r>
    </w:p>
    <w:p w14:paraId="546E0EC5" w14:textId="768556AD" w:rsidR="00462EEC" w:rsidRDefault="00215CA7">
      <w:pPr>
        <w:pStyle w:val="Odstavecseseznamem"/>
        <w:numPr>
          <w:ilvl w:val="0"/>
          <w:numId w:val="98"/>
        </w:numPr>
        <w:ind w:left="709"/>
      </w:pPr>
      <w:r>
        <w:t>Ve správním území obce se nachází následující evropsky významné lokality:</w:t>
      </w:r>
    </w:p>
    <w:p w14:paraId="545CA691" w14:textId="5FA60EFA" w:rsidR="00215CA7" w:rsidRDefault="00215CA7">
      <w:pPr>
        <w:pStyle w:val="Odstavecseseznamem"/>
        <w:numPr>
          <w:ilvl w:val="0"/>
          <w:numId w:val="18"/>
        </w:numPr>
        <w:ind w:left="709"/>
      </w:pPr>
      <w:r w:rsidRPr="00D038D1">
        <w:rPr>
          <w:b/>
          <w:bCs/>
        </w:rPr>
        <w:t>EVL Údolí Bystřice</w:t>
      </w:r>
      <w:r>
        <w:t xml:space="preserve"> – kód NATURA </w:t>
      </w:r>
      <w:r w:rsidRPr="00215CA7">
        <w:t>CZ0714772</w:t>
      </w:r>
    </w:p>
    <w:p w14:paraId="1BAD48E9" w14:textId="11BF0BDA" w:rsidR="00194EC3" w:rsidRPr="00BB4BC8" w:rsidRDefault="00BB4BC8" w:rsidP="00194EC3">
      <w:pPr>
        <w:pStyle w:val="Odstavecseseznamem"/>
        <w:ind w:left="709"/>
        <w:rPr>
          <w:u w:val="single"/>
        </w:rPr>
      </w:pPr>
      <w:r w:rsidRPr="00BB4BC8">
        <w:rPr>
          <w:u w:val="single"/>
        </w:rPr>
        <w:t>P</w:t>
      </w:r>
      <w:r w:rsidR="00194EC3" w:rsidRPr="00BB4BC8">
        <w:rPr>
          <w:u w:val="single"/>
        </w:rPr>
        <w:t>ředmět ochrany:</w:t>
      </w:r>
    </w:p>
    <w:p w14:paraId="6C148C54" w14:textId="583D471C" w:rsidR="00194EC3" w:rsidRDefault="00194EC3" w:rsidP="00194EC3">
      <w:pPr>
        <w:pStyle w:val="Odstavecseseznamem"/>
        <w:ind w:left="709"/>
      </w:pPr>
      <w:r w:rsidRPr="00194EC3">
        <w:t>chasmofytická vegetace silikátových skalnatých svahů (8220); bučiny asociace Luzulo-Fagetum (9110); bučiny asociace Asperulo-Fagetum (9130); lesy svazu Tilio-Acerion na svazích, sutích a v roklích (9180); přástevník kostivalový (Callimorpha quadripunctaria)</w:t>
      </w:r>
    </w:p>
    <w:p w14:paraId="6303A478" w14:textId="77777777" w:rsidR="00194EC3" w:rsidRDefault="00215CA7">
      <w:pPr>
        <w:pStyle w:val="Odstavecseseznamem"/>
        <w:numPr>
          <w:ilvl w:val="0"/>
          <w:numId w:val="18"/>
        </w:numPr>
        <w:ind w:left="709"/>
      </w:pPr>
      <w:r w:rsidRPr="00D038D1">
        <w:rPr>
          <w:b/>
          <w:bCs/>
        </w:rPr>
        <w:t>EVL Libavá</w:t>
      </w:r>
      <w:r>
        <w:t xml:space="preserve"> - kód NATURA </w:t>
      </w:r>
      <w:r w:rsidRPr="00215CA7">
        <w:t>CZ0714133</w:t>
      </w:r>
    </w:p>
    <w:p w14:paraId="7B5F9D44" w14:textId="77777777" w:rsidR="00BB4BC8" w:rsidRPr="00BB4BC8" w:rsidRDefault="00BB4BC8" w:rsidP="00194EC3">
      <w:pPr>
        <w:pStyle w:val="Odstavecseseznamem"/>
        <w:ind w:left="709"/>
        <w:rPr>
          <w:u w:val="single"/>
        </w:rPr>
      </w:pPr>
      <w:r w:rsidRPr="00BB4BC8">
        <w:rPr>
          <w:u w:val="single"/>
        </w:rPr>
        <w:t>Předmět ochrany:</w:t>
      </w:r>
    </w:p>
    <w:p w14:paraId="57DADF93" w14:textId="568304E5" w:rsidR="00194EC3" w:rsidRDefault="00194EC3" w:rsidP="00194EC3">
      <w:pPr>
        <w:pStyle w:val="Odstavecseseznamem"/>
        <w:ind w:left="709"/>
      </w:pPr>
      <w:r w:rsidRPr="00194EC3">
        <w:t>oligotrofní až mezotrofní stojaté vody nížinného až subalpínského stupně kontinentální a alpínské oblasti a horských poloh a jiných oblastí, s vegetací tříd Littorelletea uniflorae nebo Isoëto-Nanojuncetea (3130); přirozené eutrofní vodní nádrže s vegetací typu Magnopotamion nebo Hydrocharition (3150); kontinentální opadavé křoviny (40A0); druhově bohaté smilkové louky na silikátových podložích v horských oblastech (a v kontinentální Evropě v podhorských oblastech) (6230); bezkolencové louky na vápnitých, rašelinných nebo hlinito-jílovitých půdách (Molinion caeruleae) (6410); vlhkomilná vysokobylinná lemová společenstva nížin a horského až alpínského stupně (6430); extenzivní sečené louky nížin až podhůří (Arrhenatherion, Brachypodio-Centaureion nemoralis) (6510); přechodová rašeliniště a třasoviště (7140); středoevropské silikátové sutě (8150); chasmofytická vegetace silikátových skalnatých svahů (8220); bučiny asociace Luzulo-Fagetum (9110); bučiny asociace Asperulo-Fagetum (9130); dubohabřiny asociace Galio-Carpinetum (9170); lesy svazu Tilio-Acerion na svazích, sutích a v roklích (9180); smíšené jasanovo-olšové lužní lesy temperátní a boreální Evropy (Alno-Padion, Alnion incanae, Salicion albae) (91E0); střevlík hrbolatý (Carabus variolosus); vranka obecná (Cottus gobio)</w:t>
      </w:r>
      <w:r>
        <w:t>;</w:t>
      </w:r>
    </w:p>
    <w:p w14:paraId="6642D316" w14:textId="2BDEF1EA" w:rsidR="00713452" w:rsidRDefault="00713452">
      <w:pPr>
        <w:pStyle w:val="Odstavecseseznamem"/>
        <w:numPr>
          <w:ilvl w:val="0"/>
          <w:numId w:val="18"/>
        </w:numPr>
        <w:ind w:left="709"/>
      </w:pPr>
      <w:r w:rsidRPr="00713452">
        <w:rPr>
          <w:b/>
          <w:bCs/>
        </w:rPr>
        <w:t xml:space="preserve">ptačí oblast Libavá </w:t>
      </w:r>
      <w:r w:rsidRPr="00713452">
        <w:t>– kód CZ 0711019</w:t>
      </w:r>
    </w:p>
    <w:p w14:paraId="7D7872AF" w14:textId="223D050C" w:rsidR="00713452" w:rsidRPr="00713452" w:rsidRDefault="00BB4BC8" w:rsidP="00713452">
      <w:pPr>
        <w:pStyle w:val="Odstavecseseznamem"/>
        <w:ind w:left="709"/>
      </w:pPr>
      <w:r w:rsidRPr="00BB4BC8">
        <w:rPr>
          <w:u w:val="single"/>
        </w:rPr>
        <w:t>Předmět ochrany:</w:t>
      </w:r>
      <w:r w:rsidR="00713452" w:rsidRPr="00713452">
        <w:t xml:space="preserve"> Chřástal polní</w:t>
      </w:r>
      <w:r w:rsidR="00713452">
        <w:t xml:space="preserve">, </w:t>
      </w:r>
      <w:r w:rsidR="00713452" w:rsidRPr="00713452">
        <w:t>Jeřábek lesní</w:t>
      </w:r>
      <w:r w:rsidR="00713452">
        <w:t xml:space="preserve">, </w:t>
      </w:r>
      <w:r w:rsidR="00713452" w:rsidRPr="00713452">
        <w:t>Sýc rousný</w:t>
      </w:r>
      <w:r w:rsidR="00713452">
        <w:t xml:space="preserve">, </w:t>
      </w:r>
      <w:r w:rsidR="00713452" w:rsidRPr="00713452">
        <w:t>Lelek lesní</w:t>
      </w:r>
      <w:r w:rsidR="00713452">
        <w:t xml:space="preserve">, </w:t>
      </w:r>
      <w:r w:rsidR="00713452" w:rsidRPr="00713452">
        <w:t>Ťuhýk obecný</w:t>
      </w:r>
    </w:p>
    <w:p w14:paraId="07A74172" w14:textId="77777777" w:rsidR="00194EC3" w:rsidRDefault="00215CA7">
      <w:pPr>
        <w:pStyle w:val="Odstavecseseznamem"/>
        <w:numPr>
          <w:ilvl w:val="0"/>
          <w:numId w:val="18"/>
        </w:numPr>
        <w:ind w:left="709"/>
      </w:pPr>
      <w:r w:rsidRPr="00D038D1">
        <w:rPr>
          <w:b/>
          <w:bCs/>
        </w:rPr>
        <w:t>EVL Velká Střelná – štoly</w:t>
      </w:r>
      <w:r>
        <w:t xml:space="preserve"> – kód NATURA </w:t>
      </w:r>
      <w:r w:rsidRPr="00215CA7">
        <w:t>CZ0713526</w:t>
      </w:r>
    </w:p>
    <w:p w14:paraId="268A648A" w14:textId="446E3F2B" w:rsidR="00215CA7" w:rsidRDefault="00BB4BC8" w:rsidP="00194EC3">
      <w:pPr>
        <w:pStyle w:val="Odstavecseseznamem"/>
        <w:ind w:left="709"/>
      </w:pPr>
      <w:r w:rsidRPr="00BB4BC8">
        <w:rPr>
          <w:u w:val="single"/>
        </w:rPr>
        <w:t>Předmět ochrany:</w:t>
      </w:r>
      <w:r w:rsidR="00215CA7">
        <w:t xml:space="preserve"> </w:t>
      </w:r>
      <w:r w:rsidR="00215CA7" w:rsidRPr="00215CA7">
        <w:tab/>
        <w:t>netopýr brvitý (Myotis emarginatus); netopýr velký (Myotis myotis)</w:t>
      </w:r>
      <w:r w:rsidR="00215CA7">
        <w:t>.</w:t>
      </w:r>
    </w:p>
    <w:p w14:paraId="708C1875" w14:textId="5094624A" w:rsidR="00215CA7" w:rsidRPr="00462EEC" w:rsidRDefault="00215CA7" w:rsidP="00215CA7">
      <w:pPr>
        <w:pStyle w:val="Odstavecseseznamem"/>
        <w:ind w:left="709"/>
      </w:pPr>
      <w:r>
        <w:t>Výše uvedené EVL jsou územním plánem respektovány a chráněny.</w:t>
      </w:r>
    </w:p>
    <w:p w14:paraId="3BD81491" w14:textId="48458CCD" w:rsidR="00BE26E4" w:rsidRDefault="00BE26E4" w:rsidP="00EE6299">
      <w:pPr>
        <w:pStyle w:val="Nadpis5"/>
      </w:pPr>
      <w:r>
        <w:t>PUPFL</w:t>
      </w:r>
    </w:p>
    <w:p w14:paraId="5EEF73ED" w14:textId="21FFAF3F" w:rsidR="00462EEC" w:rsidRPr="00462EEC" w:rsidRDefault="00FF508D">
      <w:pPr>
        <w:pStyle w:val="Odstavecseseznamem"/>
        <w:numPr>
          <w:ilvl w:val="0"/>
          <w:numId w:val="99"/>
        </w:numPr>
        <w:ind w:left="709"/>
      </w:pPr>
      <w:r>
        <w:t>Lesní plochy jsou stabilizovány a chráněny plochami přírodními a krajinnými. Pozemky určené k plenění funkce lesa jsou základní součástí struktury hodnotné a chráněné krajiny obce.</w:t>
      </w:r>
    </w:p>
    <w:p w14:paraId="7C30E900" w14:textId="5A260195" w:rsidR="00BE26E4" w:rsidRDefault="00BE26E4" w:rsidP="00EE6299">
      <w:pPr>
        <w:pStyle w:val="Nadpis5"/>
      </w:pPr>
      <w:r>
        <w:t>Dobývání nerostů</w:t>
      </w:r>
    </w:p>
    <w:p w14:paraId="22796ED8" w14:textId="61D85E8D" w:rsidR="00462EEC" w:rsidRDefault="00E67BA3">
      <w:pPr>
        <w:pStyle w:val="Odstavecseseznamem"/>
        <w:numPr>
          <w:ilvl w:val="0"/>
          <w:numId w:val="100"/>
        </w:numPr>
        <w:ind w:left="709"/>
      </w:pPr>
      <w:r>
        <w:t xml:space="preserve">Ve správním území obce se nachází výhradní ložisko č. </w:t>
      </w:r>
      <w:r w:rsidRPr="00E67BA3">
        <w:t>3032100</w:t>
      </w:r>
      <w:r>
        <w:t xml:space="preserve"> Hrubá Voda stavebního kamene (droba – břidlice), kde probíhá současná povrchová těžba společností </w:t>
      </w:r>
      <w:r w:rsidRPr="00E67BA3">
        <w:t>ZAPA beton a.s.</w:t>
      </w:r>
      <w:r>
        <w:t xml:space="preserve"> Areál těžby je stabilizován plochou těžby všeobecné (GU).</w:t>
      </w:r>
    </w:p>
    <w:p w14:paraId="240C2FE9" w14:textId="2C8A7887" w:rsidR="00577743" w:rsidRDefault="00577743">
      <w:pPr>
        <w:pStyle w:val="Odstavecseseznamem"/>
        <w:numPr>
          <w:ilvl w:val="0"/>
          <w:numId w:val="100"/>
        </w:numPr>
        <w:ind w:left="709"/>
      </w:pPr>
      <w:r>
        <w:t>Ve správním území obce se nachází následující limity dobývání nerostů:</w:t>
      </w:r>
    </w:p>
    <w:p w14:paraId="29ABE322" w14:textId="5219175A" w:rsidR="0051030F" w:rsidRDefault="0051030F">
      <w:pPr>
        <w:pStyle w:val="Odstavecseseznamem"/>
        <w:numPr>
          <w:ilvl w:val="0"/>
          <w:numId w:val="18"/>
        </w:numPr>
        <w:ind w:left="1134"/>
      </w:pPr>
      <w:r>
        <w:t xml:space="preserve">DPT Hrubá Voda – č. </w:t>
      </w:r>
      <w:r w:rsidRPr="0051030F">
        <w:t>70426</w:t>
      </w:r>
      <w:r>
        <w:t>, droba;</w:t>
      </w:r>
    </w:p>
    <w:p w14:paraId="16CF3611" w14:textId="42C5C4FF" w:rsidR="00577743" w:rsidRDefault="00577743">
      <w:pPr>
        <w:pStyle w:val="Odstavecseseznamem"/>
        <w:numPr>
          <w:ilvl w:val="0"/>
          <w:numId w:val="18"/>
        </w:numPr>
        <w:ind w:left="1134"/>
      </w:pPr>
      <w:r>
        <w:t xml:space="preserve">DPT Hrubá Voda I. – č. </w:t>
      </w:r>
      <w:r w:rsidRPr="00577743">
        <w:t>71058</w:t>
      </w:r>
      <w:r>
        <w:t>, kámen – droba</w:t>
      </w:r>
      <w:r w:rsidR="0051030F">
        <w:t>;</w:t>
      </w:r>
    </w:p>
    <w:p w14:paraId="64F7DAC0" w14:textId="02540FFD" w:rsidR="0051030F" w:rsidRDefault="0051030F">
      <w:pPr>
        <w:pStyle w:val="Odstavecseseznamem"/>
        <w:numPr>
          <w:ilvl w:val="0"/>
          <w:numId w:val="18"/>
        </w:numPr>
        <w:ind w:left="1134"/>
      </w:pPr>
      <w:r>
        <w:t xml:space="preserve">B – výhradní ložisko Hrubá Voda – č. </w:t>
      </w:r>
      <w:r w:rsidRPr="0051030F">
        <w:t>3032100</w:t>
      </w:r>
      <w:r>
        <w:t>, stavební kámen, droba – břidlice;</w:t>
      </w:r>
    </w:p>
    <w:p w14:paraId="5DEB1B36" w14:textId="394E0CF6" w:rsidR="0051030F" w:rsidRDefault="0051030F">
      <w:pPr>
        <w:pStyle w:val="Odstavecseseznamem"/>
        <w:numPr>
          <w:ilvl w:val="0"/>
          <w:numId w:val="18"/>
        </w:numPr>
        <w:ind w:left="1134"/>
      </w:pPr>
      <w:r>
        <w:lastRenderedPageBreak/>
        <w:t xml:space="preserve">B – výhradní ložisko Hrubá Voda – č. </w:t>
      </w:r>
      <w:r w:rsidRPr="0051030F">
        <w:t>3234400</w:t>
      </w:r>
      <w:r>
        <w:t>, k</w:t>
      </w:r>
      <w:r w:rsidRPr="0051030F">
        <w:t>ámen pro hrubou a ušlechtilou kamenickou výrobu</w:t>
      </w:r>
      <w:r>
        <w:t>;</w:t>
      </w:r>
    </w:p>
    <w:p w14:paraId="13BCF932" w14:textId="0CF24B6D" w:rsidR="0051030F" w:rsidRDefault="0051030F">
      <w:pPr>
        <w:pStyle w:val="Odstavecseseznamem"/>
        <w:numPr>
          <w:ilvl w:val="0"/>
          <w:numId w:val="18"/>
        </w:numPr>
        <w:ind w:left="1134"/>
      </w:pPr>
      <w:r>
        <w:t>P – předpokládané ložisko vyhrazeného nerostu</w:t>
      </w:r>
      <w:r w:rsidR="00DD5FAC">
        <w:t xml:space="preserve"> Hrubá Voda</w:t>
      </w:r>
      <w:r>
        <w:t xml:space="preserve"> – č. </w:t>
      </w:r>
      <w:r w:rsidRPr="0051030F">
        <w:t>9326800</w:t>
      </w:r>
      <w:r>
        <w:t>, k</w:t>
      </w:r>
      <w:r w:rsidRPr="0051030F">
        <w:t>ámen pro hrubou a ušlechtilou kamenickou výrobu</w:t>
      </w:r>
      <w:r>
        <w:t xml:space="preserve"> – jílovitá břidlice; </w:t>
      </w:r>
    </w:p>
    <w:p w14:paraId="21F19531" w14:textId="2A8E569B" w:rsidR="0051030F" w:rsidRDefault="0051030F">
      <w:pPr>
        <w:pStyle w:val="Odstavecseseznamem"/>
        <w:numPr>
          <w:ilvl w:val="0"/>
          <w:numId w:val="18"/>
        </w:numPr>
        <w:ind w:left="1134"/>
      </w:pPr>
      <w:r>
        <w:t xml:space="preserve">CHLÚ Hrubá Voda – č. </w:t>
      </w:r>
      <w:r w:rsidRPr="0051030F">
        <w:t>03210001</w:t>
      </w:r>
      <w:r>
        <w:t>, stavební kámen;</w:t>
      </w:r>
    </w:p>
    <w:p w14:paraId="3C6159F5" w14:textId="319D45C9" w:rsidR="0051030F" w:rsidRDefault="0051030F">
      <w:pPr>
        <w:pStyle w:val="Odstavecseseznamem"/>
        <w:numPr>
          <w:ilvl w:val="0"/>
          <w:numId w:val="18"/>
        </w:numPr>
        <w:ind w:left="1134"/>
      </w:pPr>
      <w:r>
        <w:t xml:space="preserve">CHLÚ Hrubá Voda I. – č. </w:t>
      </w:r>
      <w:r w:rsidRPr="0051030F">
        <w:t>03210000</w:t>
      </w:r>
      <w:r>
        <w:t>, stavební kámen;</w:t>
      </w:r>
    </w:p>
    <w:p w14:paraId="528E2547" w14:textId="4996CD48" w:rsidR="0051030F" w:rsidRDefault="0051030F">
      <w:pPr>
        <w:pStyle w:val="Odstavecseseznamem"/>
        <w:numPr>
          <w:ilvl w:val="0"/>
          <w:numId w:val="18"/>
        </w:numPr>
        <w:ind w:left="1134"/>
      </w:pPr>
      <w:r>
        <w:t xml:space="preserve">CHLÚ </w:t>
      </w:r>
      <w:r w:rsidRPr="0051030F">
        <w:t xml:space="preserve">Hrubá Voda II. </w:t>
      </w:r>
      <w:r>
        <w:t>–</w:t>
      </w:r>
      <w:r w:rsidRPr="0051030F">
        <w:t xml:space="preserve"> Nepřívaz</w:t>
      </w:r>
      <w:r>
        <w:t xml:space="preserve"> – č. </w:t>
      </w:r>
      <w:r w:rsidRPr="0051030F">
        <w:t>23440000</w:t>
      </w:r>
      <w:r>
        <w:t>, k</w:t>
      </w:r>
      <w:r w:rsidRPr="0051030F">
        <w:t>ámen pro hrubou a ušlechtilou kamenickou výrobu</w:t>
      </w:r>
      <w:r>
        <w:t>.</w:t>
      </w:r>
    </w:p>
    <w:p w14:paraId="5EBF5203" w14:textId="01A8EDA5" w:rsidR="00577743" w:rsidRPr="00462EEC" w:rsidRDefault="00722AC2" w:rsidP="00577743">
      <w:pPr>
        <w:pStyle w:val="Odstavecseseznamem"/>
        <w:ind w:left="709"/>
      </w:pPr>
      <w:r>
        <w:t>Uvedené dobývací prostory, výhradní ložiska a chráněná ložisková území jsou územním plánem respektována.</w:t>
      </w:r>
    </w:p>
    <w:p w14:paraId="46F5C9D9" w14:textId="172EB67E" w:rsidR="00BE26E4" w:rsidRDefault="00BE26E4" w:rsidP="00EE6299">
      <w:pPr>
        <w:pStyle w:val="Nadpis5"/>
      </w:pPr>
      <w:r>
        <w:t>Ohrožení životního prostředí</w:t>
      </w:r>
    </w:p>
    <w:p w14:paraId="2516EA7E" w14:textId="17D51518" w:rsidR="00335C82" w:rsidRDefault="00335C82">
      <w:pPr>
        <w:pStyle w:val="Odstavecseseznamem"/>
        <w:numPr>
          <w:ilvl w:val="0"/>
          <w:numId w:val="101"/>
        </w:numPr>
        <w:ind w:left="709"/>
      </w:pPr>
      <w:r>
        <w:t>Hluk v území má původ převážné v dopravě. Zdrojem hluku je převážně železniční trať č. 310 a silnice</w:t>
      </w:r>
      <w:r w:rsidR="00942C13">
        <w:t xml:space="preserve"> III/44317</w:t>
      </w:r>
      <w:r>
        <w:t>.</w:t>
      </w:r>
      <w:r w:rsidR="00942C13">
        <w:t xml:space="preserve"> </w:t>
      </w:r>
      <w:r>
        <w:t>Mezní denní hodnota hluku pro stavby měřená ve venkovním chráněném prostoru staveb mimo staveb lůžkových částí zdravotnických zařízení a lázní činí 60 dB. Hodnota hlukového limitu pro noc je 50 dB.</w:t>
      </w:r>
    </w:p>
    <w:p w14:paraId="1088E123" w14:textId="7C26E0A7" w:rsidR="00942C13" w:rsidRDefault="00942C13">
      <w:pPr>
        <w:pStyle w:val="Odstavecseseznamem"/>
        <w:numPr>
          <w:ilvl w:val="0"/>
          <w:numId w:val="101"/>
        </w:numPr>
        <w:ind w:left="709"/>
      </w:pPr>
      <w:r>
        <w:t xml:space="preserve">V plochách smíšených výrobních je stanovena podmínka </w:t>
      </w:r>
      <w:r w:rsidRPr="00FF5FBE">
        <w:t>dodržení hygienických limitů hluku na</w:t>
      </w:r>
      <w:r>
        <w:t> </w:t>
      </w:r>
      <w:r w:rsidRPr="00FF5FBE">
        <w:t xml:space="preserve">hranicích pozemků </w:t>
      </w:r>
      <w:r>
        <w:t>užívaných</w:t>
      </w:r>
      <w:r w:rsidRPr="00FF5FBE">
        <w:t xml:space="preserve"> pro výrobu</w:t>
      </w:r>
      <w:r>
        <w:t xml:space="preserve"> z důvodu umístění stabilizovaných ploch smíšených výrobních v zastaveném území obce v přímé návaznosti na smíšené obytné plochy. Při překračování hlukových limitů za hranice pozemků pro výrobu by mohlo docházet k nežádoucímu snižování kvality a pohody bydlení.</w:t>
      </w:r>
    </w:p>
    <w:p w14:paraId="23A3A2CA" w14:textId="4F21A068" w:rsidR="00BE26E4" w:rsidRDefault="00BE26E4" w:rsidP="00EE6299">
      <w:pPr>
        <w:pStyle w:val="Nadpis5"/>
      </w:pPr>
      <w:r>
        <w:t>Prostupnost krajiny</w:t>
      </w:r>
    </w:p>
    <w:p w14:paraId="30F5C88F" w14:textId="77777777" w:rsidR="00BE26E4" w:rsidRPr="0027272B" w:rsidRDefault="00BE26E4">
      <w:pPr>
        <w:pStyle w:val="Odstavecseseznamem"/>
        <w:numPr>
          <w:ilvl w:val="0"/>
          <w:numId w:val="94"/>
        </w:numPr>
        <w:spacing w:before="0" w:after="0"/>
      </w:pPr>
      <w:r w:rsidRPr="0027272B">
        <w:t>Prostupnost krajiny je zajištěna prostřednictvím stávajícího systému místních a účelových komunikací a nově vymezenými plochami veřejných prostranství, popř. prostřednictvím veřejné dopravní infrastruktury vymezené v plochách s rozdílným způsobem využití.</w:t>
      </w:r>
    </w:p>
    <w:p w14:paraId="601BDF01" w14:textId="77777777" w:rsidR="00BE26E4" w:rsidRPr="0027272B" w:rsidRDefault="00BE26E4">
      <w:pPr>
        <w:pStyle w:val="Odstavecseseznamem"/>
        <w:numPr>
          <w:ilvl w:val="0"/>
          <w:numId w:val="94"/>
        </w:numPr>
        <w:spacing w:before="0" w:after="0"/>
      </w:pPr>
      <w:r w:rsidRPr="0027272B">
        <w:t>Prostupnost krajiny pro pěší a cyklisty je zakládána a podporována návrhem krajinné zeleně (interakčních prvků). Zejména se jedná o interakční prvky při stávajících a původních polních a lesních cestách a podél vodotečí v krajině. Jsou stanoveny podmínky pro rozvoj každodenní rekreace obyvatel.</w:t>
      </w:r>
    </w:p>
    <w:p w14:paraId="28470707" w14:textId="77777777" w:rsidR="00BE26E4" w:rsidRPr="0027272B" w:rsidRDefault="00BE26E4">
      <w:pPr>
        <w:pStyle w:val="Odstavecseseznamem"/>
        <w:numPr>
          <w:ilvl w:val="0"/>
          <w:numId w:val="94"/>
        </w:numPr>
        <w:spacing w:before="0" w:after="0"/>
      </w:pPr>
      <w:r w:rsidRPr="0027272B">
        <w:t>Prostupnost krajiny pro biotu je zajišťována vymezeným skeletem ÚSES s významnou podporou navazujících interakčních prvků.</w:t>
      </w:r>
    </w:p>
    <w:p w14:paraId="040BDAD2" w14:textId="429BA8FD" w:rsidR="00BE26E4" w:rsidRDefault="00BE26E4" w:rsidP="00EE6299">
      <w:pPr>
        <w:pStyle w:val="Nadpis5"/>
      </w:pPr>
      <w:r>
        <w:t>Protierozní opatření</w:t>
      </w:r>
    </w:p>
    <w:p w14:paraId="09166386" w14:textId="77777777" w:rsidR="00BE26E4" w:rsidRPr="0027272B" w:rsidRDefault="00BE26E4">
      <w:pPr>
        <w:pStyle w:val="Odstavecseseznamem"/>
        <w:numPr>
          <w:ilvl w:val="0"/>
          <w:numId w:val="95"/>
        </w:numPr>
        <w:spacing w:before="0" w:after="0"/>
      </w:pPr>
      <w:r w:rsidRPr="0027272B">
        <w:t>K vymezení stávajících a návrhu nových interakčních prvků je přistoupeno v části Posluchov a Hlubočky v částech s vyšší mírou zemědělského využití.</w:t>
      </w:r>
    </w:p>
    <w:p w14:paraId="3AF4CEE4" w14:textId="77777777" w:rsidR="00BE26E4" w:rsidRPr="0027272B" w:rsidRDefault="00BE26E4" w:rsidP="009B3B9E">
      <w:pPr>
        <w:pStyle w:val="Odstavecseseznamem"/>
        <w:spacing w:before="0" w:after="0"/>
      </w:pPr>
      <w:r w:rsidRPr="0027272B">
        <w:t>Opatření proti vodní a větrné erozi půdy jsou řešena zejména návrhem interakčních prvků a prvků ÚSES v zemědělské krajině. Prvky jsou cíleně navrhovány způsobem zpomalujícím odtok vody z krajiny (vrstevnicové a údolnicové prvky). Navržená kostra prvků ÚSES a interakčních prvků má pozitivní efekt proti větrné erozi.</w:t>
      </w:r>
    </w:p>
    <w:p w14:paraId="12A36F41" w14:textId="277F729D" w:rsidR="00BE26E4" w:rsidRDefault="00BE26E4" w:rsidP="00EE6299">
      <w:pPr>
        <w:pStyle w:val="Nadpis5"/>
      </w:pPr>
      <w:r>
        <w:t>Systém sídelní zeleně</w:t>
      </w:r>
    </w:p>
    <w:p w14:paraId="00CC7F82" w14:textId="6C52F303" w:rsidR="00BE26E4" w:rsidRDefault="00BE26E4">
      <w:pPr>
        <w:pStyle w:val="Odstavecseseznamem"/>
        <w:numPr>
          <w:ilvl w:val="0"/>
          <w:numId w:val="96"/>
        </w:numPr>
        <w:ind w:left="709"/>
      </w:pPr>
      <w:r>
        <w:t>Systém sídelní zeleně je tvořen zejména vegetačními a parkově upravenými plochami ve veřejných prostranství a nivními vegetačními plochami Bystřice a jejích přítoků. Systém veřejných prostranství je řešen tak, aby zajišťoval prostupnost a spojitost systému sídelní zeleně a jeho plynulou návaznost na strukturu krajinné zeleně</w:t>
      </w:r>
      <w:r w:rsidR="00A70057">
        <w:t xml:space="preserve"> (remízy, meze, plochy lesních a nelesních porostů).</w:t>
      </w:r>
    </w:p>
    <w:p w14:paraId="42A5B3F2" w14:textId="69F51D1C" w:rsidR="006101ED" w:rsidRDefault="006101ED">
      <w:pPr>
        <w:spacing w:before="0" w:after="0"/>
        <w:ind w:left="0"/>
        <w:jc w:val="left"/>
      </w:pPr>
      <w:r>
        <w:br w:type="page"/>
      </w:r>
    </w:p>
    <w:p w14:paraId="62B5BE3A" w14:textId="2C039791" w:rsidR="002360C0" w:rsidRDefault="002360C0" w:rsidP="002360C0">
      <w:pPr>
        <w:pStyle w:val="Nadpis2"/>
      </w:pPr>
      <w:bookmarkStart w:id="109" w:name="_Toc232612634"/>
      <w:r w:rsidRPr="00040C21">
        <w:lastRenderedPageBreak/>
        <w:t xml:space="preserve">Zdůvodnění </w:t>
      </w:r>
      <w:r>
        <w:t>v</w:t>
      </w:r>
      <w:r w:rsidRPr="00EE5EC9">
        <w:t>ymezení veřejně prospěšných staveb, veřejně prospěšných opatření, staveb a opatření k zajišťování obrany a</w:t>
      </w:r>
      <w:r>
        <w:t> </w:t>
      </w:r>
      <w:r w:rsidRPr="00EE5EC9">
        <w:t>bezpečnosti státu a ploch pro asanaci</w:t>
      </w:r>
      <w:bookmarkEnd w:id="109"/>
    </w:p>
    <w:p w14:paraId="76D82DEA" w14:textId="25C1EBA5" w:rsidR="002360C0" w:rsidRDefault="002360C0" w:rsidP="002360C0">
      <w:pPr>
        <w:pStyle w:val="Nadpis3"/>
        <w:rPr>
          <w:rFonts w:eastAsia="HiddenHorzOCR"/>
        </w:rPr>
      </w:pPr>
      <w:bookmarkStart w:id="110" w:name="_Toc206164332"/>
      <w:bookmarkStart w:id="111" w:name="_Toc232612635"/>
      <w:r w:rsidRPr="00FF5FBE">
        <w:rPr>
          <w:rFonts w:eastAsia="HiddenHorzOCR"/>
        </w:rPr>
        <w:t>Veřejně prospěšné stavby s možností vyvlastnění</w:t>
      </w:r>
      <w:bookmarkEnd w:id="110"/>
      <w:bookmarkEnd w:id="111"/>
    </w:p>
    <w:p w14:paraId="54FBADE4" w14:textId="77777777" w:rsidR="002360C0" w:rsidRPr="00040C21" w:rsidRDefault="002360C0">
      <w:pPr>
        <w:pStyle w:val="Odstavecseseznamem"/>
        <w:numPr>
          <w:ilvl w:val="0"/>
          <w:numId w:val="71"/>
        </w:numPr>
        <w:ind w:left="709"/>
      </w:pPr>
      <w:r w:rsidRPr="00040C21">
        <w:t>Veřejně prospěšné stavby, pro které lze práva k pozemkům nebo stavbám vyvlastnit, byly vymezeny v souladu s § 11 a 170 zákona č. 283/2021 Sb., v</w:t>
      </w:r>
      <w:r>
        <w:t> </w:t>
      </w:r>
      <w:r w:rsidRPr="00040C21">
        <w:t>platném znění:</w:t>
      </w:r>
    </w:p>
    <w:p w14:paraId="564AD8F2" w14:textId="77777777" w:rsidR="002360C0" w:rsidRDefault="002360C0" w:rsidP="002360C0">
      <w:r w:rsidRPr="00040C21">
        <w:t>veřejně prospěšnou stavbou se v tomto zákoně rozumí stavba nebo zařízení pro veřejnou infrastrukturu určená k rozvoji nebo ochraně území obce, kraje nebo státu vymezená v územně plánovací dokumentaci a stavby a zařízení s</w:t>
      </w:r>
      <w:r>
        <w:t> </w:t>
      </w:r>
      <w:r w:rsidRPr="00040C21">
        <w:t>ní související nebo podmiňující její realizaci.</w:t>
      </w:r>
    </w:p>
    <w:p w14:paraId="1071A2F2" w14:textId="77777777" w:rsidR="002360C0" w:rsidRPr="00040C21" w:rsidRDefault="002360C0" w:rsidP="002360C0">
      <w:r>
        <w:t>Veřejná prospěšnost vymezených VPS vyplývá z potřeby zajištění koridorů nebo ploch pro realizaci klíčových a nezbytných staveb veřejné infrastruktury obce.</w:t>
      </w:r>
    </w:p>
    <w:p w14:paraId="3A3F2C44" w14:textId="7284C805" w:rsidR="002360C0" w:rsidRDefault="002360C0" w:rsidP="002360C0">
      <w:r w:rsidRPr="00040C21">
        <w:t>Vymezení bylo provedeno zejména z následujících důvodů:</w:t>
      </w:r>
    </w:p>
    <w:tbl>
      <w:tblPr>
        <w:tblStyle w:val="Mkatabulky"/>
        <w:tblW w:w="7796" w:type="dxa"/>
        <w:tblInd w:w="709" w:type="dxa"/>
        <w:tblBorders>
          <w:top w:val="dashSmallGap" w:sz="4" w:space="0" w:color="000000"/>
          <w:left w:val="none" w:sz="0" w:space="0" w:color="auto"/>
          <w:bottom w:val="dashSmallGap" w:sz="4" w:space="0" w:color="000000"/>
          <w:right w:val="none" w:sz="0" w:space="0" w:color="auto"/>
          <w:insideH w:val="dashSmallGap" w:sz="4" w:space="0" w:color="000000"/>
          <w:insideV w:val="none" w:sz="0" w:space="0" w:color="auto"/>
        </w:tblBorders>
        <w:tblLook w:val="04A0" w:firstRow="1" w:lastRow="0" w:firstColumn="1" w:lastColumn="0" w:noHBand="0" w:noVBand="1"/>
      </w:tblPr>
      <w:tblGrid>
        <w:gridCol w:w="1144"/>
        <w:gridCol w:w="1444"/>
        <w:gridCol w:w="5208"/>
      </w:tblGrid>
      <w:tr w:rsidR="00103DB8" w:rsidRPr="00AD64FC" w14:paraId="2DB7FCFF" w14:textId="77777777" w:rsidTr="006613CE">
        <w:trPr>
          <w:tblHeader/>
        </w:trPr>
        <w:tc>
          <w:tcPr>
            <w:tcW w:w="1144" w:type="dxa"/>
          </w:tcPr>
          <w:p w14:paraId="6638A030" w14:textId="77777777" w:rsidR="00103DB8" w:rsidRPr="00AD64FC" w:rsidRDefault="00103DB8" w:rsidP="00DE2337">
            <w:pPr>
              <w:pStyle w:val="tabulky"/>
              <w:jc w:val="left"/>
              <w:rPr>
                <w:b/>
                <w:bCs/>
              </w:rPr>
            </w:pPr>
            <w:r w:rsidRPr="00AD64FC">
              <w:rPr>
                <w:b/>
                <w:bCs/>
              </w:rPr>
              <w:t>ozn. VPS</w:t>
            </w:r>
          </w:p>
        </w:tc>
        <w:tc>
          <w:tcPr>
            <w:tcW w:w="1444" w:type="dxa"/>
          </w:tcPr>
          <w:p w14:paraId="2566492D" w14:textId="77777777" w:rsidR="00103DB8" w:rsidRPr="00AD64FC" w:rsidRDefault="00103DB8" w:rsidP="00DE2337">
            <w:pPr>
              <w:pStyle w:val="tabulky"/>
              <w:jc w:val="left"/>
              <w:rPr>
                <w:b/>
                <w:bCs/>
              </w:rPr>
            </w:pPr>
            <w:r w:rsidRPr="00AD64FC">
              <w:rPr>
                <w:b/>
                <w:bCs/>
              </w:rPr>
              <w:t>plocha změny/koridor pro umístění VPS</w:t>
            </w:r>
          </w:p>
        </w:tc>
        <w:tc>
          <w:tcPr>
            <w:tcW w:w="5208" w:type="dxa"/>
          </w:tcPr>
          <w:p w14:paraId="601200DD" w14:textId="5A3896E0" w:rsidR="00103DB8" w:rsidRPr="00AD64FC" w:rsidRDefault="001D1E04" w:rsidP="00DE2337">
            <w:pPr>
              <w:pStyle w:val="tabulky"/>
              <w:jc w:val="left"/>
              <w:rPr>
                <w:b/>
                <w:bCs/>
              </w:rPr>
            </w:pPr>
            <w:r>
              <w:rPr>
                <w:b/>
                <w:bCs/>
              </w:rPr>
              <w:t>zdůvodnění vymezení</w:t>
            </w:r>
          </w:p>
        </w:tc>
      </w:tr>
      <w:tr w:rsidR="00103DB8" w:rsidRPr="00AD64FC" w14:paraId="0E144332" w14:textId="77777777" w:rsidTr="006613CE">
        <w:trPr>
          <w:trHeight w:val="356"/>
        </w:trPr>
        <w:tc>
          <w:tcPr>
            <w:tcW w:w="7796" w:type="dxa"/>
            <w:gridSpan w:val="3"/>
          </w:tcPr>
          <w:p w14:paraId="761E93AD" w14:textId="7F27FBA2" w:rsidR="00103DB8" w:rsidRPr="00AD64FC" w:rsidRDefault="00103DB8" w:rsidP="00DE2337">
            <w:pPr>
              <w:pStyle w:val="tabulky"/>
              <w:jc w:val="left"/>
              <w:rPr>
                <w:b/>
                <w:bCs/>
              </w:rPr>
            </w:pPr>
            <w:r w:rsidRPr="00AD64FC">
              <w:rPr>
                <w:b/>
                <w:bCs/>
              </w:rPr>
              <w:t>VPS dopravní infrastruktury</w:t>
            </w:r>
          </w:p>
        </w:tc>
      </w:tr>
      <w:tr w:rsidR="00103DB8" w:rsidRPr="00973B88" w14:paraId="40197EC5" w14:textId="77777777" w:rsidTr="006613CE">
        <w:tc>
          <w:tcPr>
            <w:tcW w:w="1144" w:type="dxa"/>
          </w:tcPr>
          <w:p w14:paraId="3A6285A5" w14:textId="66645855" w:rsidR="00103DB8" w:rsidRPr="00B16794" w:rsidRDefault="00103DB8" w:rsidP="00DE2337">
            <w:pPr>
              <w:pStyle w:val="tabulky"/>
              <w:jc w:val="left"/>
            </w:pPr>
            <w:r>
              <w:t>VD.1</w:t>
            </w:r>
          </w:p>
        </w:tc>
        <w:tc>
          <w:tcPr>
            <w:tcW w:w="1444" w:type="dxa"/>
          </w:tcPr>
          <w:p w14:paraId="70ADD26C" w14:textId="5D24008E" w:rsidR="00103DB8" w:rsidRPr="00973B88" w:rsidRDefault="00103DB8" w:rsidP="00DE2337">
            <w:pPr>
              <w:pStyle w:val="tabulky"/>
              <w:jc w:val="left"/>
            </w:pPr>
            <w:r>
              <w:t>T.03-1</w:t>
            </w:r>
          </w:p>
        </w:tc>
        <w:tc>
          <w:tcPr>
            <w:tcW w:w="5208" w:type="dxa"/>
          </w:tcPr>
          <w:p w14:paraId="576E5E03" w14:textId="65B815EB" w:rsidR="00103DB8" w:rsidRPr="00973B88" w:rsidRDefault="00103DB8" w:rsidP="00DE2337">
            <w:pPr>
              <w:pStyle w:val="tabulky"/>
              <w:jc w:val="left"/>
            </w:pPr>
            <w:r w:rsidRPr="00040C21">
              <w:t xml:space="preserve">Veřejně prospěšná stavba </w:t>
            </w:r>
            <w:r>
              <w:t>je</w:t>
            </w:r>
            <w:r w:rsidRPr="00040C21">
              <w:t xml:space="preserve"> vymezena </w:t>
            </w:r>
            <w:r>
              <w:t>z důvodu zajištění plochy pro</w:t>
            </w:r>
            <w:r w:rsidR="005E61EF">
              <w:t> </w:t>
            </w:r>
            <w:r>
              <w:t xml:space="preserve">realizaci místní komunikace </w:t>
            </w:r>
            <w:r w:rsidR="009B49BD">
              <w:t xml:space="preserve">K Posluchovu </w:t>
            </w:r>
            <w:r>
              <w:t>pro obsluhu plochy T.03-1 včetně sítí technické infrastruktury.</w:t>
            </w:r>
          </w:p>
        </w:tc>
      </w:tr>
      <w:tr w:rsidR="009B49BD" w:rsidRPr="00973B88" w14:paraId="5EFCD5F2" w14:textId="77777777" w:rsidTr="006613CE">
        <w:tc>
          <w:tcPr>
            <w:tcW w:w="1144" w:type="dxa"/>
            <w:vAlign w:val="center"/>
          </w:tcPr>
          <w:p w14:paraId="4E99CDB2" w14:textId="4FDA8C0A" w:rsidR="009B49BD" w:rsidRDefault="009B49BD" w:rsidP="009B49BD">
            <w:pPr>
              <w:pStyle w:val="tabulky"/>
              <w:jc w:val="left"/>
            </w:pPr>
            <w:r>
              <w:t>VD.2</w:t>
            </w:r>
          </w:p>
        </w:tc>
        <w:tc>
          <w:tcPr>
            <w:tcW w:w="1444" w:type="dxa"/>
            <w:vAlign w:val="center"/>
          </w:tcPr>
          <w:p w14:paraId="7D7515AE" w14:textId="3843D959" w:rsidR="009B49BD" w:rsidRDefault="0084370D" w:rsidP="009B49BD">
            <w:pPr>
              <w:pStyle w:val="tabulky"/>
              <w:jc w:val="left"/>
            </w:pPr>
            <w:r>
              <w:t>Z.08-1</w:t>
            </w:r>
          </w:p>
        </w:tc>
        <w:tc>
          <w:tcPr>
            <w:tcW w:w="5208" w:type="dxa"/>
            <w:vAlign w:val="center"/>
          </w:tcPr>
          <w:p w14:paraId="0FCDA342" w14:textId="08D39670" w:rsidR="009B49BD" w:rsidRPr="00040C21" w:rsidRDefault="0084370D" w:rsidP="009B49BD">
            <w:pPr>
              <w:pStyle w:val="tabulky"/>
              <w:jc w:val="left"/>
            </w:pPr>
            <w:r w:rsidRPr="00040C21">
              <w:t xml:space="preserve">Veřejně prospěšná stavba </w:t>
            </w:r>
            <w:r>
              <w:t>je</w:t>
            </w:r>
            <w:r w:rsidRPr="00040C21">
              <w:t xml:space="preserve"> vymezena </w:t>
            </w:r>
            <w:r>
              <w:t>z důvodu zajištění plochy pro realizaci místní komunikace Mírová pro obsluhu plochy Z.08-1 včetně sítí technické infrastruktury.</w:t>
            </w:r>
          </w:p>
        </w:tc>
      </w:tr>
      <w:tr w:rsidR="009B49BD" w:rsidRPr="00973B88" w14:paraId="31EC9B96" w14:textId="77777777" w:rsidTr="006613CE">
        <w:tc>
          <w:tcPr>
            <w:tcW w:w="1144" w:type="dxa"/>
            <w:vAlign w:val="center"/>
          </w:tcPr>
          <w:p w14:paraId="37E43F4C" w14:textId="205BC6C0" w:rsidR="009B49BD" w:rsidRDefault="009B49BD" w:rsidP="009B49BD">
            <w:pPr>
              <w:pStyle w:val="tabulky"/>
              <w:jc w:val="left"/>
            </w:pPr>
            <w:r>
              <w:t>VD.3</w:t>
            </w:r>
          </w:p>
        </w:tc>
        <w:tc>
          <w:tcPr>
            <w:tcW w:w="1444" w:type="dxa"/>
            <w:vAlign w:val="center"/>
          </w:tcPr>
          <w:p w14:paraId="4A5D15E2" w14:textId="710E7281" w:rsidR="009B49BD" w:rsidRDefault="0084370D" w:rsidP="009B49BD">
            <w:pPr>
              <w:pStyle w:val="tabulky"/>
              <w:jc w:val="left"/>
            </w:pPr>
            <w:r>
              <w:t>-</w:t>
            </w:r>
          </w:p>
        </w:tc>
        <w:tc>
          <w:tcPr>
            <w:tcW w:w="5208" w:type="dxa"/>
            <w:vAlign w:val="center"/>
          </w:tcPr>
          <w:p w14:paraId="701D5FAE" w14:textId="7CC99C6E" w:rsidR="009B49BD" w:rsidRPr="00040C21" w:rsidRDefault="0084370D" w:rsidP="009B49BD">
            <w:pPr>
              <w:pStyle w:val="tabulky"/>
              <w:jc w:val="left"/>
            </w:pPr>
            <w:r w:rsidRPr="00040C21">
              <w:t xml:space="preserve">Veřejně prospěšná stavba </w:t>
            </w:r>
            <w:r>
              <w:t>je</w:t>
            </w:r>
            <w:r w:rsidRPr="00040C21">
              <w:t xml:space="preserve"> vymezena </w:t>
            </w:r>
            <w:r>
              <w:t>z důvodu zajištění plochy pro realizaci rekonstrukce části místní komunikace Československé</w:t>
            </w:r>
            <w:r w:rsidR="00F15119">
              <w:t xml:space="preserve"> armády</w:t>
            </w:r>
            <w:r>
              <w:t xml:space="preserve"> včetně sítí technické infrastruktury.</w:t>
            </w:r>
          </w:p>
        </w:tc>
      </w:tr>
      <w:tr w:rsidR="009B49BD" w:rsidRPr="00973B88" w14:paraId="7F888C8E" w14:textId="77777777" w:rsidTr="006613CE">
        <w:tc>
          <w:tcPr>
            <w:tcW w:w="1144" w:type="dxa"/>
            <w:vAlign w:val="center"/>
          </w:tcPr>
          <w:p w14:paraId="355EF181" w14:textId="4E16C5B1" w:rsidR="009B49BD" w:rsidRDefault="009B49BD" w:rsidP="009B49BD">
            <w:pPr>
              <w:pStyle w:val="tabulky"/>
              <w:jc w:val="left"/>
            </w:pPr>
            <w:r>
              <w:t>VD.4</w:t>
            </w:r>
          </w:p>
        </w:tc>
        <w:tc>
          <w:tcPr>
            <w:tcW w:w="1444" w:type="dxa"/>
            <w:vAlign w:val="center"/>
          </w:tcPr>
          <w:p w14:paraId="1663B809" w14:textId="6704ECD3" w:rsidR="009B49BD" w:rsidRDefault="005A6B06" w:rsidP="009B49BD">
            <w:pPr>
              <w:pStyle w:val="tabulky"/>
              <w:jc w:val="left"/>
            </w:pPr>
            <w:r>
              <w:t>T.09-1</w:t>
            </w:r>
          </w:p>
        </w:tc>
        <w:tc>
          <w:tcPr>
            <w:tcW w:w="5208" w:type="dxa"/>
            <w:vAlign w:val="center"/>
          </w:tcPr>
          <w:p w14:paraId="0A97E067" w14:textId="1B57C3EB" w:rsidR="009B49BD" w:rsidRPr="00040C21" w:rsidRDefault="00BC7FA2" w:rsidP="009B49BD">
            <w:pPr>
              <w:pStyle w:val="tabulky"/>
              <w:jc w:val="left"/>
            </w:pPr>
            <w:r w:rsidRPr="00040C21">
              <w:t xml:space="preserve">Veřejně prospěšná stavba </w:t>
            </w:r>
            <w:r>
              <w:t>je</w:t>
            </w:r>
            <w:r w:rsidRPr="00040C21">
              <w:t xml:space="preserve"> vymezena </w:t>
            </w:r>
            <w:r>
              <w:t>z důvodu zajištění plochy pro realizaci místní komunikace pro obsluhu plochy T.09-1 včetně sítí technické infrastruktury.</w:t>
            </w:r>
          </w:p>
        </w:tc>
      </w:tr>
      <w:tr w:rsidR="009B49BD" w:rsidRPr="00973B88" w14:paraId="7D0B155B" w14:textId="77777777" w:rsidTr="006613CE">
        <w:tc>
          <w:tcPr>
            <w:tcW w:w="1144" w:type="dxa"/>
            <w:vAlign w:val="center"/>
          </w:tcPr>
          <w:p w14:paraId="47E702F4" w14:textId="7F9D3828" w:rsidR="009B49BD" w:rsidRDefault="009B49BD" w:rsidP="009B49BD">
            <w:pPr>
              <w:pStyle w:val="tabulky"/>
              <w:jc w:val="left"/>
            </w:pPr>
            <w:r>
              <w:t>VD.5</w:t>
            </w:r>
          </w:p>
        </w:tc>
        <w:tc>
          <w:tcPr>
            <w:tcW w:w="1444" w:type="dxa"/>
            <w:vAlign w:val="center"/>
          </w:tcPr>
          <w:p w14:paraId="04692ED3" w14:textId="438F067B" w:rsidR="009B49BD" w:rsidRDefault="005A6B06" w:rsidP="009B49BD">
            <w:pPr>
              <w:pStyle w:val="tabulky"/>
              <w:jc w:val="left"/>
            </w:pPr>
            <w:r>
              <w:t>Z.02-1</w:t>
            </w:r>
          </w:p>
        </w:tc>
        <w:tc>
          <w:tcPr>
            <w:tcW w:w="5208" w:type="dxa"/>
            <w:vAlign w:val="center"/>
          </w:tcPr>
          <w:p w14:paraId="52360282" w14:textId="57E5989D" w:rsidR="009B49BD" w:rsidRPr="00040C21" w:rsidRDefault="00BC7FA2" w:rsidP="009B49BD">
            <w:pPr>
              <w:pStyle w:val="tabulky"/>
              <w:jc w:val="left"/>
            </w:pPr>
            <w:r w:rsidRPr="00040C21">
              <w:t xml:space="preserve">Veřejně prospěšná stavba </w:t>
            </w:r>
            <w:r>
              <w:t>je</w:t>
            </w:r>
            <w:r w:rsidRPr="00040C21">
              <w:t xml:space="preserve"> vymezena </w:t>
            </w:r>
            <w:r>
              <w:t>z důvodu zajištění plochy pro realizaci místní komunikace pro obsluhu plochy Z.02-1 včetně sítí technické infrastruktury.</w:t>
            </w:r>
          </w:p>
        </w:tc>
      </w:tr>
      <w:tr w:rsidR="009B49BD" w:rsidRPr="00973B88" w14:paraId="45942AEE" w14:textId="77777777" w:rsidTr="006613CE">
        <w:tc>
          <w:tcPr>
            <w:tcW w:w="1144" w:type="dxa"/>
            <w:vAlign w:val="center"/>
          </w:tcPr>
          <w:p w14:paraId="314E2FA9" w14:textId="745D4365" w:rsidR="009B49BD" w:rsidRDefault="009B49BD" w:rsidP="009B49BD">
            <w:pPr>
              <w:pStyle w:val="tabulky"/>
              <w:jc w:val="left"/>
            </w:pPr>
            <w:r>
              <w:t>VD.10</w:t>
            </w:r>
          </w:p>
        </w:tc>
        <w:tc>
          <w:tcPr>
            <w:tcW w:w="1444" w:type="dxa"/>
            <w:vAlign w:val="center"/>
          </w:tcPr>
          <w:p w14:paraId="1F87349F" w14:textId="60F86D28" w:rsidR="009B49BD" w:rsidRDefault="005A6B06" w:rsidP="009B49BD">
            <w:pPr>
              <w:pStyle w:val="tabulky"/>
              <w:jc w:val="left"/>
            </w:pPr>
            <w:r>
              <w:t>-</w:t>
            </w:r>
          </w:p>
        </w:tc>
        <w:tc>
          <w:tcPr>
            <w:tcW w:w="5208" w:type="dxa"/>
            <w:vAlign w:val="center"/>
          </w:tcPr>
          <w:p w14:paraId="20FA8384" w14:textId="5CE62C24" w:rsidR="009B49BD" w:rsidRPr="00040C21" w:rsidRDefault="005A6B06" w:rsidP="009B49BD">
            <w:pPr>
              <w:pStyle w:val="tabulky"/>
              <w:jc w:val="left"/>
            </w:pPr>
            <w:r w:rsidRPr="00040C21">
              <w:t xml:space="preserve">Veřejně prospěšná stavba </w:t>
            </w:r>
            <w:r>
              <w:t>je</w:t>
            </w:r>
            <w:r w:rsidRPr="00040C21">
              <w:t xml:space="preserve"> vymezena </w:t>
            </w:r>
            <w:r>
              <w:t xml:space="preserve">z důvodu zajištění plochy pro realizaci chodníku podél silnice </w:t>
            </w:r>
            <w:r w:rsidRPr="00FF5FBE">
              <w:t>III/44317</w:t>
            </w:r>
            <w:r>
              <w:t xml:space="preserve"> (Olomoucká v úseku mezi biotopem a Velkobystřickou trasou.</w:t>
            </w:r>
          </w:p>
        </w:tc>
      </w:tr>
      <w:tr w:rsidR="00493D27" w:rsidRPr="00AD64FC" w14:paraId="0E0EE050" w14:textId="77777777" w:rsidTr="006613CE">
        <w:trPr>
          <w:trHeight w:val="356"/>
        </w:trPr>
        <w:tc>
          <w:tcPr>
            <w:tcW w:w="7796" w:type="dxa"/>
            <w:gridSpan w:val="3"/>
          </w:tcPr>
          <w:p w14:paraId="2A2950D6" w14:textId="4D39B5F9" w:rsidR="00493D27" w:rsidRPr="00AD64FC" w:rsidRDefault="00493D27" w:rsidP="00DE2337">
            <w:pPr>
              <w:pStyle w:val="tabulky"/>
              <w:jc w:val="left"/>
              <w:rPr>
                <w:b/>
                <w:bCs/>
              </w:rPr>
            </w:pPr>
            <w:r w:rsidRPr="00AD64FC">
              <w:rPr>
                <w:b/>
                <w:bCs/>
              </w:rPr>
              <w:t>VPS technické infrastruktury</w:t>
            </w:r>
          </w:p>
        </w:tc>
      </w:tr>
      <w:tr w:rsidR="009B49BD" w:rsidRPr="00973B88" w14:paraId="1FF316D8" w14:textId="77777777" w:rsidTr="006613CE">
        <w:tc>
          <w:tcPr>
            <w:tcW w:w="1144" w:type="dxa"/>
            <w:vAlign w:val="center"/>
          </w:tcPr>
          <w:p w14:paraId="6721B424" w14:textId="49282BEE" w:rsidR="009B49BD" w:rsidRDefault="0084370D" w:rsidP="009B49BD">
            <w:pPr>
              <w:pStyle w:val="tabulky"/>
              <w:jc w:val="left"/>
            </w:pPr>
            <w:r>
              <w:t>VT.1</w:t>
            </w:r>
          </w:p>
        </w:tc>
        <w:tc>
          <w:tcPr>
            <w:tcW w:w="1444" w:type="dxa"/>
            <w:vAlign w:val="center"/>
          </w:tcPr>
          <w:p w14:paraId="1308C8FC" w14:textId="587F07D4" w:rsidR="009B49BD" w:rsidRDefault="00221679" w:rsidP="009B49BD">
            <w:pPr>
              <w:pStyle w:val="tabulky"/>
              <w:jc w:val="left"/>
            </w:pPr>
            <w:r>
              <w:t>Z.10-10</w:t>
            </w:r>
          </w:p>
        </w:tc>
        <w:tc>
          <w:tcPr>
            <w:tcW w:w="5208" w:type="dxa"/>
            <w:vAlign w:val="center"/>
          </w:tcPr>
          <w:p w14:paraId="53132158" w14:textId="6D50A8B6" w:rsidR="009B49BD" w:rsidRPr="00040C21" w:rsidRDefault="00221679" w:rsidP="009B49BD">
            <w:pPr>
              <w:pStyle w:val="tabulky"/>
              <w:jc w:val="left"/>
            </w:pPr>
            <w:r w:rsidRPr="00040C21">
              <w:t xml:space="preserve">Veřejně prospěšná stavba </w:t>
            </w:r>
            <w:r>
              <w:t>je</w:t>
            </w:r>
            <w:r w:rsidRPr="00040C21">
              <w:t xml:space="preserve"> vymezena </w:t>
            </w:r>
            <w:r>
              <w:t>z důvodu zajištění plochy</w:t>
            </w:r>
            <w:r w:rsidRPr="00FF5FBE">
              <w:t xml:space="preserve"> pro ČOV </w:t>
            </w:r>
            <w:r>
              <w:t>Hrubá Voda, rekreační areál včetně souvisejícího vybavení a napojení na</w:t>
            </w:r>
            <w:r w:rsidR="00A94E6F">
              <w:t> </w:t>
            </w:r>
            <w:r>
              <w:t>komunikace.</w:t>
            </w:r>
          </w:p>
        </w:tc>
      </w:tr>
      <w:tr w:rsidR="00545072" w:rsidRPr="00973B88" w14:paraId="6619ABB6" w14:textId="77777777" w:rsidTr="006613CE">
        <w:tc>
          <w:tcPr>
            <w:tcW w:w="1144" w:type="dxa"/>
            <w:vAlign w:val="center"/>
          </w:tcPr>
          <w:p w14:paraId="0A28DF53" w14:textId="53B24E6D" w:rsidR="00545072" w:rsidRDefault="0084370D" w:rsidP="009B49BD">
            <w:pPr>
              <w:pStyle w:val="tabulky"/>
              <w:jc w:val="left"/>
            </w:pPr>
            <w:r>
              <w:t>VT.2</w:t>
            </w:r>
          </w:p>
        </w:tc>
        <w:tc>
          <w:tcPr>
            <w:tcW w:w="1444" w:type="dxa"/>
            <w:vAlign w:val="center"/>
          </w:tcPr>
          <w:p w14:paraId="5D0C17F1" w14:textId="01B80739" w:rsidR="00545072" w:rsidRDefault="00221679" w:rsidP="009B49BD">
            <w:pPr>
              <w:pStyle w:val="tabulky"/>
              <w:jc w:val="left"/>
            </w:pPr>
            <w:r>
              <w:t>Z.09-11</w:t>
            </w:r>
          </w:p>
        </w:tc>
        <w:tc>
          <w:tcPr>
            <w:tcW w:w="5208" w:type="dxa"/>
            <w:vAlign w:val="center"/>
          </w:tcPr>
          <w:p w14:paraId="33FF5982" w14:textId="0EBA34C3" w:rsidR="00545072" w:rsidRPr="00040C21" w:rsidRDefault="00221679" w:rsidP="009B49BD">
            <w:pPr>
              <w:pStyle w:val="tabulky"/>
              <w:jc w:val="left"/>
            </w:pPr>
            <w:r w:rsidRPr="00040C21">
              <w:t xml:space="preserve">Veřejně prospěšná stavba </w:t>
            </w:r>
            <w:r>
              <w:t>je</w:t>
            </w:r>
            <w:r w:rsidRPr="00040C21">
              <w:t xml:space="preserve"> vymezena </w:t>
            </w:r>
            <w:r>
              <w:t>z důvodu zajištění plochy</w:t>
            </w:r>
            <w:r w:rsidRPr="00FF5FBE">
              <w:t xml:space="preserve"> pro ČOV Hrubá Voda</w:t>
            </w:r>
            <w:r w:rsidR="00481D57">
              <w:t xml:space="preserve"> včetně souvisejícího vybavení a napojení na komunikace.</w:t>
            </w:r>
          </w:p>
        </w:tc>
      </w:tr>
      <w:tr w:rsidR="00545072" w:rsidRPr="00973B88" w14:paraId="51C867DF" w14:textId="77777777" w:rsidTr="006613CE">
        <w:tc>
          <w:tcPr>
            <w:tcW w:w="1144" w:type="dxa"/>
            <w:vAlign w:val="center"/>
          </w:tcPr>
          <w:p w14:paraId="7CD95009" w14:textId="2D18AB9E" w:rsidR="00545072" w:rsidRDefault="0084370D" w:rsidP="009B49BD">
            <w:pPr>
              <w:pStyle w:val="tabulky"/>
              <w:jc w:val="left"/>
            </w:pPr>
            <w:r>
              <w:t>VT.3</w:t>
            </w:r>
          </w:p>
        </w:tc>
        <w:tc>
          <w:tcPr>
            <w:tcW w:w="1444" w:type="dxa"/>
            <w:vAlign w:val="center"/>
          </w:tcPr>
          <w:p w14:paraId="37E06547" w14:textId="60C0F7D3" w:rsidR="00545072" w:rsidRDefault="00221679" w:rsidP="009B49BD">
            <w:pPr>
              <w:pStyle w:val="tabulky"/>
              <w:jc w:val="left"/>
            </w:pPr>
            <w:r>
              <w:t>Z.04-10</w:t>
            </w:r>
          </w:p>
        </w:tc>
        <w:tc>
          <w:tcPr>
            <w:tcW w:w="5208" w:type="dxa"/>
            <w:vAlign w:val="center"/>
          </w:tcPr>
          <w:p w14:paraId="369A1FF2" w14:textId="09D263FE" w:rsidR="00545072" w:rsidRPr="00040C21" w:rsidRDefault="00221679" w:rsidP="009B49BD">
            <w:pPr>
              <w:pStyle w:val="tabulky"/>
              <w:jc w:val="left"/>
            </w:pPr>
            <w:r w:rsidRPr="00040C21">
              <w:t xml:space="preserve">Veřejně prospěšná stavba </w:t>
            </w:r>
            <w:r>
              <w:t>je</w:t>
            </w:r>
            <w:r w:rsidRPr="00040C21">
              <w:t xml:space="preserve"> vymezena </w:t>
            </w:r>
            <w:r>
              <w:t>z důvodu zajištění plochy</w:t>
            </w:r>
            <w:r w:rsidRPr="00FF5FBE">
              <w:t xml:space="preserve"> pro ČOV Posluchov</w:t>
            </w:r>
            <w:r w:rsidR="00481D57">
              <w:t xml:space="preserve"> včetně souvisejícího vybavení a napojení na komunikace.</w:t>
            </w:r>
          </w:p>
        </w:tc>
      </w:tr>
      <w:tr w:rsidR="00545072" w:rsidRPr="00973B88" w14:paraId="52A81E9B" w14:textId="77777777" w:rsidTr="006613CE">
        <w:tc>
          <w:tcPr>
            <w:tcW w:w="1144" w:type="dxa"/>
            <w:vAlign w:val="center"/>
          </w:tcPr>
          <w:p w14:paraId="7C8D5FAA" w14:textId="7F167568" w:rsidR="00545072" w:rsidRDefault="0084370D" w:rsidP="009B49BD">
            <w:pPr>
              <w:pStyle w:val="tabulky"/>
              <w:jc w:val="left"/>
            </w:pPr>
            <w:r>
              <w:t>VT.4</w:t>
            </w:r>
          </w:p>
        </w:tc>
        <w:tc>
          <w:tcPr>
            <w:tcW w:w="1444" w:type="dxa"/>
            <w:vAlign w:val="center"/>
          </w:tcPr>
          <w:p w14:paraId="569BF59E" w14:textId="669B08D4" w:rsidR="00545072" w:rsidRDefault="00221679" w:rsidP="009B49BD">
            <w:pPr>
              <w:pStyle w:val="tabulky"/>
              <w:jc w:val="left"/>
            </w:pPr>
            <w:r>
              <w:t>T.01-10</w:t>
            </w:r>
          </w:p>
        </w:tc>
        <w:tc>
          <w:tcPr>
            <w:tcW w:w="5208" w:type="dxa"/>
            <w:vAlign w:val="center"/>
          </w:tcPr>
          <w:p w14:paraId="382A87CA" w14:textId="08125887" w:rsidR="00545072" w:rsidRPr="00040C21" w:rsidRDefault="00221679" w:rsidP="009B49BD">
            <w:pPr>
              <w:pStyle w:val="tabulky"/>
              <w:jc w:val="left"/>
            </w:pPr>
            <w:r w:rsidRPr="00040C21">
              <w:t xml:space="preserve">Veřejně prospěšná stavba </w:t>
            </w:r>
            <w:r>
              <w:t>je</w:t>
            </w:r>
            <w:r w:rsidRPr="00040C21">
              <w:t xml:space="preserve"> vymezena </w:t>
            </w:r>
            <w:r>
              <w:t>z důvodu zajištění plochy</w:t>
            </w:r>
            <w:r w:rsidRPr="00FF5FBE">
              <w:t xml:space="preserve"> pro</w:t>
            </w:r>
            <w:r w:rsidR="00E70A9B">
              <w:t> </w:t>
            </w:r>
            <w:r>
              <w:t>zkapacitnění</w:t>
            </w:r>
            <w:r w:rsidRPr="00FF5FBE">
              <w:t xml:space="preserve"> ČOV Hlubočky</w:t>
            </w:r>
            <w:r w:rsidR="00481D57">
              <w:t xml:space="preserve"> včetně souvisejícího vybavení a napojení na</w:t>
            </w:r>
            <w:r w:rsidR="00E70A9B">
              <w:t> </w:t>
            </w:r>
            <w:r w:rsidR="00481D57">
              <w:t>komunikace.</w:t>
            </w:r>
          </w:p>
        </w:tc>
      </w:tr>
    </w:tbl>
    <w:p w14:paraId="1F941E08" w14:textId="0736195D" w:rsidR="000F3C50" w:rsidRDefault="000F3C50" w:rsidP="000F3C50">
      <w:bookmarkStart w:id="112" w:name="_Toc206164333"/>
    </w:p>
    <w:p w14:paraId="4177BCFB" w14:textId="77777777" w:rsidR="000F3C50" w:rsidRDefault="000F3C50">
      <w:pPr>
        <w:spacing w:before="0" w:after="0"/>
        <w:ind w:left="0"/>
        <w:jc w:val="left"/>
      </w:pPr>
      <w:r>
        <w:br w:type="page"/>
      </w:r>
    </w:p>
    <w:p w14:paraId="4013B68C" w14:textId="0F8FED6D" w:rsidR="002360C0" w:rsidRDefault="002360C0" w:rsidP="002360C0">
      <w:pPr>
        <w:pStyle w:val="Nadpis3"/>
        <w:rPr>
          <w:rFonts w:eastAsia="HiddenHorzOCR"/>
        </w:rPr>
      </w:pPr>
      <w:bookmarkStart w:id="113" w:name="_Toc232612636"/>
      <w:r w:rsidRPr="00FF5FBE">
        <w:rPr>
          <w:rFonts w:eastAsia="HiddenHorzOCR"/>
        </w:rPr>
        <w:lastRenderedPageBreak/>
        <w:t>Veřejně prospěšná opatření s možností vyvlastnění</w:t>
      </w:r>
      <w:bookmarkEnd w:id="112"/>
      <w:bookmarkEnd w:id="113"/>
    </w:p>
    <w:p w14:paraId="43187FFC" w14:textId="77777777" w:rsidR="00FF3527" w:rsidRPr="00040C21" w:rsidRDefault="00FF3527">
      <w:pPr>
        <w:pStyle w:val="Odstavecseseznamem"/>
        <w:numPr>
          <w:ilvl w:val="0"/>
          <w:numId w:val="72"/>
        </w:numPr>
        <w:ind w:left="709"/>
      </w:pPr>
      <w:r w:rsidRPr="00040C21">
        <w:t>Veřejně prospěšná opatření, pro které lze práva k pozemkům nebo stavbám vyvlastnit, byla vymezena v souladu s § 11 a 170 zákona č. 283/2021 Sb., v</w:t>
      </w:r>
      <w:r>
        <w:t> </w:t>
      </w:r>
      <w:r w:rsidRPr="00040C21">
        <w:t>platném znění:</w:t>
      </w:r>
    </w:p>
    <w:p w14:paraId="1DF2AFC1" w14:textId="77777777" w:rsidR="00FF3527" w:rsidRPr="00040C21" w:rsidRDefault="00FF3527" w:rsidP="00FF3527">
      <w:r w:rsidRPr="00040C21">
        <w:t>veřejně prospěšným opatřením se v tomto zákoně rozumí opatření nestavební povahy sloužící ke snižování nebezpečí v území, vytváření prvků územního systému ekologické stability a k rozvoji anebo k ochraně přírodního, kulturního a archeologického dědictví, vymezené v územně plánovací dokumentaci.</w:t>
      </w:r>
    </w:p>
    <w:p w14:paraId="024D445A" w14:textId="77777777" w:rsidR="00FF3527" w:rsidRDefault="00FF3527" w:rsidP="00FF3527">
      <w:r w:rsidRPr="00040C21">
        <w:t>Vymezení bylo provedeno zejména z následujících důvodů:</w:t>
      </w:r>
    </w:p>
    <w:tbl>
      <w:tblPr>
        <w:tblStyle w:val="Mkatabulky"/>
        <w:tblW w:w="7796" w:type="dxa"/>
        <w:tblInd w:w="709" w:type="dxa"/>
        <w:tblBorders>
          <w:top w:val="dashSmallGap" w:sz="4" w:space="0" w:color="000000"/>
          <w:left w:val="none" w:sz="0" w:space="0" w:color="auto"/>
          <w:bottom w:val="dashSmallGap" w:sz="4" w:space="0" w:color="000000"/>
          <w:right w:val="none" w:sz="0" w:space="0" w:color="auto"/>
          <w:insideH w:val="dashSmallGap" w:sz="4" w:space="0" w:color="000000"/>
          <w:insideV w:val="none" w:sz="0" w:space="0" w:color="auto"/>
        </w:tblBorders>
        <w:tblLook w:val="04A0" w:firstRow="1" w:lastRow="0" w:firstColumn="1" w:lastColumn="0" w:noHBand="0" w:noVBand="1"/>
      </w:tblPr>
      <w:tblGrid>
        <w:gridCol w:w="1151"/>
        <w:gridCol w:w="1510"/>
        <w:gridCol w:w="5135"/>
      </w:tblGrid>
      <w:tr w:rsidR="00FF3527" w:rsidRPr="00AD64FC" w14:paraId="7D6F37B8" w14:textId="77777777" w:rsidTr="00357868">
        <w:trPr>
          <w:tblHeader/>
        </w:trPr>
        <w:tc>
          <w:tcPr>
            <w:tcW w:w="1151" w:type="dxa"/>
          </w:tcPr>
          <w:p w14:paraId="6943DDE0" w14:textId="77777777" w:rsidR="00FF3527" w:rsidRPr="00AD64FC" w:rsidRDefault="00FF3527" w:rsidP="00DE2337">
            <w:pPr>
              <w:pStyle w:val="tabulky"/>
              <w:rPr>
                <w:b/>
                <w:bCs/>
              </w:rPr>
            </w:pPr>
            <w:r w:rsidRPr="00AD64FC">
              <w:rPr>
                <w:b/>
                <w:bCs/>
              </w:rPr>
              <w:t>ozn. VPO</w:t>
            </w:r>
          </w:p>
        </w:tc>
        <w:tc>
          <w:tcPr>
            <w:tcW w:w="1510" w:type="dxa"/>
          </w:tcPr>
          <w:p w14:paraId="6BA3C885" w14:textId="77777777" w:rsidR="00FF3527" w:rsidRPr="00AD64FC" w:rsidRDefault="00FF3527" w:rsidP="00DE2337">
            <w:pPr>
              <w:pStyle w:val="tabulky"/>
              <w:rPr>
                <w:b/>
                <w:bCs/>
              </w:rPr>
            </w:pPr>
            <w:r w:rsidRPr="00AD64FC">
              <w:rPr>
                <w:b/>
                <w:bCs/>
              </w:rPr>
              <w:t>plocha změny pro VPO</w:t>
            </w:r>
          </w:p>
        </w:tc>
        <w:tc>
          <w:tcPr>
            <w:tcW w:w="5135" w:type="dxa"/>
          </w:tcPr>
          <w:p w14:paraId="0550879D" w14:textId="0F791EC2" w:rsidR="00FF3527" w:rsidRPr="00AD64FC" w:rsidRDefault="001D1E04" w:rsidP="00DE2337">
            <w:pPr>
              <w:pStyle w:val="tabulky"/>
              <w:rPr>
                <w:b/>
                <w:bCs/>
              </w:rPr>
            </w:pPr>
            <w:r>
              <w:rPr>
                <w:b/>
                <w:bCs/>
              </w:rPr>
              <w:t>zdůvodnění vymezení</w:t>
            </w:r>
          </w:p>
        </w:tc>
      </w:tr>
      <w:tr w:rsidR="00FF3527" w:rsidRPr="00AD64FC" w14:paraId="21A4BC00" w14:textId="77777777" w:rsidTr="00357868">
        <w:trPr>
          <w:trHeight w:val="356"/>
        </w:trPr>
        <w:tc>
          <w:tcPr>
            <w:tcW w:w="7796" w:type="dxa"/>
            <w:gridSpan w:val="3"/>
          </w:tcPr>
          <w:p w14:paraId="2EB99C0F" w14:textId="77777777" w:rsidR="00FF3527" w:rsidRPr="00AD64FC" w:rsidRDefault="00FF3527" w:rsidP="00DE2337">
            <w:pPr>
              <w:pStyle w:val="tabulky"/>
              <w:rPr>
                <w:b/>
                <w:bCs/>
              </w:rPr>
            </w:pPr>
            <w:r w:rsidRPr="00AD64FC">
              <w:rPr>
                <w:b/>
                <w:bCs/>
              </w:rPr>
              <w:t>VPO pro vytváření prvků územního systému ekologické stability</w:t>
            </w:r>
          </w:p>
        </w:tc>
      </w:tr>
      <w:tr w:rsidR="00FF3527" w:rsidRPr="00973B88" w14:paraId="6B91D45B" w14:textId="77777777" w:rsidTr="00357868">
        <w:tc>
          <w:tcPr>
            <w:tcW w:w="1151" w:type="dxa"/>
          </w:tcPr>
          <w:p w14:paraId="47CD0997" w14:textId="3AEC2A2D" w:rsidR="00FF3527" w:rsidRPr="00B16794" w:rsidRDefault="00FF3527" w:rsidP="00DE2337">
            <w:pPr>
              <w:pStyle w:val="tabulky"/>
            </w:pPr>
            <w:r>
              <w:t>VU.1</w:t>
            </w:r>
          </w:p>
        </w:tc>
        <w:tc>
          <w:tcPr>
            <w:tcW w:w="1510" w:type="dxa"/>
          </w:tcPr>
          <w:p w14:paraId="1FF5CB89" w14:textId="14E7ECC5" w:rsidR="00FF3527" w:rsidRPr="00973B88" w:rsidRDefault="00B70B92" w:rsidP="00DE2337">
            <w:pPr>
              <w:pStyle w:val="tabulky"/>
            </w:pPr>
            <w:r>
              <w:t>RBK.1518v</w:t>
            </w:r>
          </w:p>
        </w:tc>
        <w:tc>
          <w:tcPr>
            <w:tcW w:w="5135" w:type="dxa"/>
            <w:vMerge w:val="restart"/>
          </w:tcPr>
          <w:p w14:paraId="338E0CE7" w14:textId="309736E2" w:rsidR="00FF3527" w:rsidRPr="00973B88" w:rsidRDefault="00FF3527" w:rsidP="00DE2337">
            <w:pPr>
              <w:pStyle w:val="tabulky"/>
            </w:pPr>
            <w:r w:rsidRPr="00040C21">
              <w:rPr>
                <w:rFonts w:eastAsia="HiddenHorzOCR"/>
              </w:rPr>
              <w:t xml:space="preserve">Veřejně prospěšné opatření </w:t>
            </w:r>
            <w:r w:rsidR="00FC7866">
              <w:rPr>
                <w:rFonts w:eastAsia="HiddenHorzOCR"/>
              </w:rPr>
              <w:t>je</w:t>
            </w:r>
            <w:r w:rsidRPr="00040C21">
              <w:rPr>
                <w:rFonts w:eastAsia="HiddenHorzOCR"/>
              </w:rPr>
              <w:t xml:space="preserve"> vymezeno z důvodu z</w:t>
            </w:r>
            <w:r>
              <w:rPr>
                <w:rFonts w:eastAsia="HiddenHorzOCR"/>
              </w:rPr>
              <w:t xml:space="preserve">výšení </w:t>
            </w:r>
            <w:r w:rsidRPr="00040C21">
              <w:rPr>
                <w:rFonts w:eastAsia="HiddenHorzOCR"/>
              </w:rPr>
              <w:t xml:space="preserve">ekologické stability krajiny. Jedná se o založení </w:t>
            </w:r>
            <w:r>
              <w:rPr>
                <w:rFonts w:eastAsia="HiddenHorzOCR"/>
              </w:rPr>
              <w:t xml:space="preserve">prvků </w:t>
            </w:r>
            <w:r w:rsidR="00241AE0">
              <w:rPr>
                <w:rFonts w:eastAsia="HiddenHorzOCR"/>
              </w:rPr>
              <w:t>regionálního</w:t>
            </w:r>
            <w:r>
              <w:rPr>
                <w:rFonts w:eastAsia="HiddenHorzOCR"/>
              </w:rPr>
              <w:t xml:space="preserve"> ÚSES </w:t>
            </w:r>
            <w:r w:rsidR="00241AE0">
              <w:rPr>
                <w:rFonts w:eastAsia="HiddenHorzOCR"/>
              </w:rPr>
              <w:t>v údolí Bystřice v souladu se ZÚR Olomouckého kraje</w:t>
            </w:r>
            <w:r>
              <w:rPr>
                <w:rFonts w:eastAsia="HiddenHorzOCR"/>
              </w:rPr>
              <w:t>.</w:t>
            </w:r>
          </w:p>
        </w:tc>
      </w:tr>
      <w:tr w:rsidR="0039716B" w:rsidRPr="00973B88" w14:paraId="6955BAE6" w14:textId="77777777" w:rsidTr="00357868">
        <w:tc>
          <w:tcPr>
            <w:tcW w:w="1151" w:type="dxa"/>
          </w:tcPr>
          <w:p w14:paraId="37500E51" w14:textId="259F2C62" w:rsidR="0039716B" w:rsidRDefault="0039716B" w:rsidP="0039716B">
            <w:pPr>
              <w:pStyle w:val="tabulky"/>
            </w:pPr>
            <w:r>
              <w:t>VU.2</w:t>
            </w:r>
          </w:p>
        </w:tc>
        <w:tc>
          <w:tcPr>
            <w:tcW w:w="1510" w:type="dxa"/>
          </w:tcPr>
          <w:p w14:paraId="1542088E" w14:textId="2AEAE73B" w:rsidR="0039716B" w:rsidRDefault="0039716B" w:rsidP="0039716B">
            <w:pPr>
              <w:pStyle w:val="tabulky"/>
            </w:pPr>
            <w:r w:rsidRPr="00CB1483">
              <w:t>RBK 1519</w:t>
            </w:r>
          </w:p>
        </w:tc>
        <w:tc>
          <w:tcPr>
            <w:tcW w:w="5135" w:type="dxa"/>
            <w:vMerge/>
          </w:tcPr>
          <w:p w14:paraId="214EDBDF" w14:textId="77777777" w:rsidR="0039716B" w:rsidRPr="00040C21" w:rsidRDefault="0039716B" w:rsidP="0039716B">
            <w:pPr>
              <w:pStyle w:val="tabulky"/>
              <w:rPr>
                <w:rFonts w:eastAsia="HiddenHorzOCR"/>
              </w:rPr>
            </w:pPr>
          </w:p>
        </w:tc>
      </w:tr>
      <w:tr w:rsidR="0039716B" w:rsidRPr="00973B88" w14:paraId="3A927217" w14:textId="77777777" w:rsidTr="00357868">
        <w:tc>
          <w:tcPr>
            <w:tcW w:w="1151" w:type="dxa"/>
          </w:tcPr>
          <w:p w14:paraId="51B67979" w14:textId="548EB7E0" w:rsidR="0039716B" w:rsidRDefault="0039716B" w:rsidP="0039716B">
            <w:pPr>
              <w:pStyle w:val="tabulky"/>
            </w:pPr>
            <w:r>
              <w:t>VU.3a-c</w:t>
            </w:r>
          </w:p>
        </w:tc>
        <w:tc>
          <w:tcPr>
            <w:tcW w:w="1510" w:type="dxa"/>
          </w:tcPr>
          <w:p w14:paraId="605EE93A" w14:textId="0230F7FA" w:rsidR="0039716B" w:rsidRPr="00FF5FBE" w:rsidRDefault="0039716B" w:rsidP="0039716B">
            <w:pPr>
              <w:pStyle w:val="tabulky"/>
            </w:pPr>
            <w:r w:rsidRPr="00FF5FBE">
              <w:t>LBK 44</w:t>
            </w:r>
          </w:p>
        </w:tc>
        <w:tc>
          <w:tcPr>
            <w:tcW w:w="5135" w:type="dxa"/>
          </w:tcPr>
          <w:p w14:paraId="342640D8" w14:textId="51C339E9" w:rsidR="0039716B" w:rsidRPr="00973B88" w:rsidRDefault="0039716B" w:rsidP="0039716B">
            <w:pPr>
              <w:pStyle w:val="tabulky"/>
            </w:pPr>
            <w:r w:rsidRPr="00040C21">
              <w:rPr>
                <w:rFonts w:eastAsia="HiddenHorzOCR"/>
              </w:rPr>
              <w:t xml:space="preserve">Veřejně prospěšné opatření </w:t>
            </w:r>
            <w:r w:rsidR="00FC7866">
              <w:rPr>
                <w:rFonts w:eastAsia="HiddenHorzOCR"/>
              </w:rPr>
              <w:t>je</w:t>
            </w:r>
            <w:r w:rsidRPr="00040C21">
              <w:rPr>
                <w:rFonts w:eastAsia="HiddenHorzOCR"/>
              </w:rPr>
              <w:t xml:space="preserve"> vymezeno z důvodu z</w:t>
            </w:r>
            <w:r>
              <w:rPr>
                <w:rFonts w:eastAsia="HiddenHorzOCR"/>
              </w:rPr>
              <w:t xml:space="preserve">výšení </w:t>
            </w:r>
            <w:r w:rsidRPr="00040C21">
              <w:rPr>
                <w:rFonts w:eastAsia="HiddenHorzOCR"/>
              </w:rPr>
              <w:t xml:space="preserve">ekologické stability krajiny. Jedná se o založení </w:t>
            </w:r>
            <w:r>
              <w:rPr>
                <w:rFonts w:eastAsia="HiddenHorzOCR"/>
              </w:rPr>
              <w:t xml:space="preserve">prvků lokálního ÚSES v údolí </w:t>
            </w:r>
            <w:r w:rsidR="00FA1082">
              <w:rPr>
                <w:rFonts w:eastAsia="HiddenHorzOCR"/>
              </w:rPr>
              <w:t>Zlatého dolu</w:t>
            </w:r>
            <w:r>
              <w:rPr>
                <w:rFonts w:eastAsia="HiddenHorzOCR"/>
              </w:rPr>
              <w:t>.</w:t>
            </w:r>
          </w:p>
        </w:tc>
      </w:tr>
      <w:tr w:rsidR="00531969" w:rsidRPr="00AD64FC" w14:paraId="3C97C82A" w14:textId="77777777" w:rsidTr="00357868">
        <w:trPr>
          <w:trHeight w:val="356"/>
        </w:trPr>
        <w:tc>
          <w:tcPr>
            <w:tcW w:w="7796" w:type="dxa"/>
            <w:gridSpan w:val="3"/>
          </w:tcPr>
          <w:p w14:paraId="39EC62D1" w14:textId="32E401CB" w:rsidR="00531969" w:rsidRPr="00AD64FC" w:rsidRDefault="00531969" w:rsidP="00DE2337">
            <w:pPr>
              <w:pStyle w:val="tabulky"/>
              <w:rPr>
                <w:b/>
                <w:bCs/>
              </w:rPr>
            </w:pPr>
            <w:r w:rsidRPr="00AD64FC">
              <w:rPr>
                <w:b/>
                <w:bCs/>
              </w:rPr>
              <w:t>VPO</w:t>
            </w:r>
            <w:r>
              <w:rPr>
                <w:b/>
                <w:bCs/>
              </w:rPr>
              <w:t xml:space="preserve"> </w:t>
            </w:r>
            <w:r w:rsidRPr="00531969">
              <w:rPr>
                <w:b/>
                <w:bCs/>
              </w:rPr>
              <w:t>sloužící ke snižování nebezpečí v území</w:t>
            </w:r>
          </w:p>
        </w:tc>
      </w:tr>
      <w:tr w:rsidR="00FC7866" w:rsidRPr="00973B88" w14:paraId="6E188A49" w14:textId="77777777" w:rsidTr="00357868">
        <w:tc>
          <w:tcPr>
            <w:tcW w:w="1151" w:type="dxa"/>
          </w:tcPr>
          <w:p w14:paraId="1B93CE34" w14:textId="69D5FE7B" w:rsidR="00FC7866" w:rsidRDefault="00FC7866" w:rsidP="0039716B">
            <w:pPr>
              <w:pStyle w:val="tabulky"/>
            </w:pPr>
            <w:r>
              <w:t>VN.1</w:t>
            </w:r>
          </w:p>
        </w:tc>
        <w:tc>
          <w:tcPr>
            <w:tcW w:w="1510" w:type="dxa"/>
          </w:tcPr>
          <w:p w14:paraId="105A51E6" w14:textId="754C6132" w:rsidR="00FC7866" w:rsidRPr="00FF5FBE" w:rsidRDefault="00FC7866" w:rsidP="0039716B">
            <w:pPr>
              <w:pStyle w:val="tabulky"/>
            </w:pPr>
            <w:r>
              <w:t>CNU.T02</w:t>
            </w:r>
          </w:p>
        </w:tc>
        <w:tc>
          <w:tcPr>
            <w:tcW w:w="5135" w:type="dxa"/>
            <w:vMerge w:val="restart"/>
          </w:tcPr>
          <w:p w14:paraId="74049016" w14:textId="73DA1C69" w:rsidR="00FC7866" w:rsidRPr="00040C21" w:rsidRDefault="00FC7866" w:rsidP="0039716B">
            <w:pPr>
              <w:pStyle w:val="tabulky"/>
              <w:rPr>
                <w:rFonts w:eastAsia="HiddenHorzOCR"/>
              </w:rPr>
            </w:pPr>
            <w:r w:rsidRPr="00040C21">
              <w:rPr>
                <w:rFonts w:eastAsia="HiddenHorzOCR"/>
              </w:rPr>
              <w:t xml:space="preserve">Veřejně prospěšné opatření </w:t>
            </w:r>
            <w:r>
              <w:rPr>
                <w:rFonts w:eastAsia="HiddenHorzOCR"/>
              </w:rPr>
              <w:t>je</w:t>
            </w:r>
            <w:r w:rsidRPr="00040C21">
              <w:rPr>
                <w:rFonts w:eastAsia="HiddenHorzOCR"/>
              </w:rPr>
              <w:t xml:space="preserve"> vymezeno</w:t>
            </w:r>
            <w:r>
              <w:rPr>
                <w:rFonts w:eastAsia="HiddenHorzOCR"/>
              </w:rPr>
              <w:t xml:space="preserve"> z důvodu zajištění protierozní a</w:t>
            </w:r>
            <w:r w:rsidR="00C81269">
              <w:rPr>
                <w:rFonts w:eastAsia="HiddenHorzOCR"/>
              </w:rPr>
              <w:t> </w:t>
            </w:r>
            <w:r>
              <w:rPr>
                <w:rFonts w:eastAsia="HiddenHorzOCR"/>
              </w:rPr>
              <w:t>protipovodňové ochrany krajiny (odnos ornice) i sídla (bleskové záplavy z přívalových srážek, škody způsobené sesuvy půdy atp.)</w:t>
            </w:r>
            <w:r w:rsidR="00721DC8">
              <w:rPr>
                <w:rFonts w:eastAsia="HiddenHorzOCR"/>
              </w:rPr>
              <w:t>.</w:t>
            </w:r>
          </w:p>
        </w:tc>
      </w:tr>
      <w:tr w:rsidR="00FC7866" w:rsidRPr="00973B88" w14:paraId="1B5DC2B9" w14:textId="77777777" w:rsidTr="00357868">
        <w:tc>
          <w:tcPr>
            <w:tcW w:w="1151" w:type="dxa"/>
          </w:tcPr>
          <w:p w14:paraId="629B83B6" w14:textId="391743FB" w:rsidR="00FC7866" w:rsidRDefault="00FC7866" w:rsidP="0039716B">
            <w:pPr>
              <w:pStyle w:val="tabulky"/>
            </w:pPr>
            <w:r>
              <w:t>VN.2</w:t>
            </w:r>
          </w:p>
        </w:tc>
        <w:tc>
          <w:tcPr>
            <w:tcW w:w="1510" w:type="dxa"/>
          </w:tcPr>
          <w:p w14:paraId="0318CB31" w14:textId="22913C2D" w:rsidR="00FC7866" w:rsidRPr="00FF5FBE" w:rsidRDefault="00FC7866" w:rsidP="0039716B">
            <w:pPr>
              <w:pStyle w:val="tabulky"/>
            </w:pPr>
            <w:r>
              <w:t>CNU.T01</w:t>
            </w:r>
          </w:p>
        </w:tc>
        <w:tc>
          <w:tcPr>
            <w:tcW w:w="5135" w:type="dxa"/>
            <w:vMerge/>
          </w:tcPr>
          <w:p w14:paraId="6937C3C1" w14:textId="77777777" w:rsidR="00FC7866" w:rsidRPr="00040C21" w:rsidRDefault="00FC7866" w:rsidP="0039716B">
            <w:pPr>
              <w:pStyle w:val="tabulky"/>
              <w:rPr>
                <w:rFonts w:eastAsia="HiddenHorzOCR"/>
              </w:rPr>
            </w:pPr>
          </w:p>
        </w:tc>
      </w:tr>
      <w:tr w:rsidR="00FC7866" w:rsidRPr="00AD64FC" w14:paraId="78D33467" w14:textId="77777777" w:rsidTr="00357868">
        <w:trPr>
          <w:trHeight w:val="356"/>
        </w:trPr>
        <w:tc>
          <w:tcPr>
            <w:tcW w:w="7796" w:type="dxa"/>
            <w:gridSpan w:val="3"/>
          </w:tcPr>
          <w:p w14:paraId="02365122" w14:textId="643B953D" w:rsidR="00FC7866" w:rsidRPr="00AD64FC" w:rsidRDefault="00FC7866" w:rsidP="00DE2337">
            <w:pPr>
              <w:pStyle w:val="tabulky"/>
              <w:rPr>
                <w:b/>
                <w:bCs/>
              </w:rPr>
            </w:pPr>
            <w:r w:rsidRPr="00AD64FC">
              <w:rPr>
                <w:b/>
                <w:bCs/>
              </w:rPr>
              <w:t>VPO</w:t>
            </w:r>
            <w:r>
              <w:rPr>
                <w:b/>
                <w:bCs/>
              </w:rPr>
              <w:t xml:space="preserve"> liniové zelené infrastruktury</w:t>
            </w:r>
          </w:p>
        </w:tc>
      </w:tr>
      <w:tr w:rsidR="00FC7866" w:rsidRPr="00973B88" w14:paraId="5A8058EE" w14:textId="77777777" w:rsidTr="00357868">
        <w:tc>
          <w:tcPr>
            <w:tcW w:w="1151" w:type="dxa"/>
          </w:tcPr>
          <w:p w14:paraId="440BFA00" w14:textId="77777777" w:rsidR="00FC7866" w:rsidRDefault="00FC7866" w:rsidP="00DE2337">
            <w:pPr>
              <w:pStyle w:val="tabulky"/>
            </w:pPr>
            <w:r w:rsidRPr="004E5AC0">
              <w:rPr>
                <w:b/>
              </w:rPr>
              <w:t>VZ.21</w:t>
            </w:r>
          </w:p>
        </w:tc>
        <w:tc>
          <w:tcPr>
            <w:tcW w:w="1510" w:type="dxa"/>
          </w:tcPr>
          <w:p w14:paraId="1A82A83F" w14:textId="77777777" w:rsidR="00FC7866" w:rsidRPr="00FF5FBE" w:rsidRDefault="00FC7866" w:rsidP="00DE2337">
            <w:pPr>
              <w:pStyle w:val="tabulky"/>
            </w:pPr>
            <w:r>
              <w:t>IP.1</w:t>
            </w:r>
          </w:p>
        </w:tc>
        <w:tc>
          <w:tcPr>
            <w:tcW w:w="5135" w:type="dxa"/>
            <w:vMerge w:val="restart"/>
          </w:tcPr>
          <w:p w14:paraId="217D2EFD" w14:textId="26E65C16" w:rsidR="00FC7866" w:rsidRPr="00040C21" w:rsidRDefault="00FC7866" w:rsidP="00DE2337">
            <w:pPr>
              <w:pStyle w:val="tabulky"/>
              <w:rPr>
                <w:rFonts w:eastAsia="HiddenHorzOCR"/>
              </w:rPr>
            </w:pPr>
            <w:r w:rsidRPr="00040C21">
              <w:rPr>
                <w:rFonts w:eastAsia="HiddenHorzOCR"/>
              </w:rPr>
              <w:t xml:space="preserve">Veřejně prospěšné opatření </w:t>
            </w:r>
            <w:r>
              <w:rPr>
                <w:rFonts w:eastAsia="HiddenHorzOCR"/>
              </w:rPr>
              <w:t>je</w:t>
            </w:r>
            <w:r w:rsidRPr="00040C21">
              <w:rPr>
                <w:rFonts w:eastAsia="HiddenHorzOCR"/>
              </w:rPr>
              <w:t xml:space="preserve"> vymezeno</w:t>
            </w:r>
            <w:r w:rsidR="00C81269">
              <w:rPr>
                <w:rFonts w:eastAsia="HiddenHorzOCR"/>
              </w:rPr>
              <w:t xml:space="preserve"> pro liniové interakční prvky je vymezeno pro posílení systému zelené infrastruktury, odolnosti a</w:t>
            </w:r>
            <w:r w:rsidR="00F9618C">
              <w:rPr>
                <w:rFonts w:eastAsia="HiddenHorzOCR"/>
              </w:rPr>
              <w:t> </w:t>
            </w:r>
            <w:r w:rsidR="00C81269">
              <w:rPr>
                <w:rFonts w:eastAsia="HiddenHorzOCR"/>
              </w:rPr>
              <w:t>ekologické stability krajiny. Interakční prvky jsou vymezeny pro doplnění struktury krajiny, např. meze, remízy, nebo stromořadí, a tvoří komplementární a</w:t>
            </w:r>
            <w:r w:rsidR="00357868">
              <w:rPr>
                <w:rFonts w:eastAsia="HiddenHorzOCR"/>
              </w:rPr>
              <w:t> </w:t>
            </w:r>
            <w:r w:rsidR="00C81269">
              <w:rPr>
                <w:rFonts w:eastAsia="HiddenHorzOCR"/>
              </w:rPr>
              <w:t>podpůrné prvky ÚSES.</w:t>
            </w:r>
            <w:r w:rsidR="00384D0D">
              <w:rPr>
                <w:rFonts w:eastAsia="HiddenHorzOCR"/>
              </w:rPr>
              <w:t xml:space="preserve"> Předpokládá se realizace interakčních prvků v šířce cca 4 m (remíz, stromořadí, retenční příkop, účelová komunikace podél interakčního prvku).</w:t>
            </w:r>
          </w:p>
        </w:tc>
      </w:tr>
      <w:tr w:rsidR="00FC7866" w:rsidRPr="00973B88" w14:paraId="750378D3" w14:textId="77777777" w:rsidTr="00357868">
        <w:tc>
          <w:tcPr>
            <w:tcW w:w="1151" w:type="dxa"/>
          </w:tcPr>
          <w:p w14:paraId="08E08512" w14:textId="16AB2114" w:rsidR="00FC7866" w:rsidRDefault="00FC7866" w:rsidP="00DE2337">
            <w:pPr>
              <w:pStyle w:val="tabulky"/>
            </w:pPr>
            <w:r w:rsidRPr="004E5AC0">
              <w:rPr>
                <w:b/>
              </w:rPr>
              <w:t>VZ.2</w:t>
            </w:r>
            <w:r>
              <w:rPr>
                <w:b/>
              </w:rPr>
              <w:t>2</w:t>
            </w:r>
          </w:p>
        </w:tc>
        <w:tc>
          <w:tcPr>
            <w:tcW w:w="1510" w:type="dxa"/>
          </w:tcPr>
          <w:p w14:paraId="285DB884" w14:textId="0CA396F6" w:rsidR="00FC7866" w:rsidRPr="00FF5FBE" w:rsidRDefault="00FC7866" w:rsidP="00DE2337">
            <w:pPr>
              <w:pStyle w:val="tabulky"/>
            </w:pPr>
            <w:r>
              <w:t>IP.6</w:t>
            </w:r>
          </w:p>
        </w:tc>
        <w:tc>
          <w:tcPr>
            <w:tcW w:w="5135" w:type="dxa"/>
            <w:vMerge/>
          </w:tcPr>
          <w:p w14:paraId="2E7C638A" w14:textId="77777777" w:rsidR="00FC7866" w:rsidRPr="00040C21" w:rsidRDefault="00FC7866" w:rsidP="00DE2337">
            <w:pPr>
              <w:pStyle w:val="tabulky"/>
              <w:rPr>
                <w:rFonts w:eastAsia="HiddenHorzOCR"/>
              </w:rPr>
            </w:pPr>
          </w:p>
        </w:tc>
      </w:tr>
      <w:tr w:rsidR="00FC7866" w:rsidRPr="00973B88" w14:paraId="24602ABA" w14:textId="77777777" w:rsidTr="00357868">
        <w:tc>
          <w:tcPr>
            <w:tcW w:w="1151" w:type="dxa"/>
          </w:tcPr>
          <w:p w14:paraId="213F32BC" w14:textId="06846364" w:rsidR="00FC7866" w:rsidRDefault="00FC7866" w:rsidP="00DE2337">
            <w:pPr>
              <w:pStyle w:val="tabulky"/>
            </w:pPr>
            <w:r w:rsidRPr="004E5AC0">
              <w:rPr>
                <w:b/>
              </w:rPr>
              <w:t>VZ.2</w:t>
            </w:r>
            <w:r>
              <w:rPr>
                <w:b/>
              </w:rPr>
              <w:t>3</w:t>
            </w:r>
          </w:p>
        </w:tc>
        <w:tc>
          <w:tcPr>
            <w:tcW w:w="1510" w:type="dxa"/>
          </w:tcPr>
          <w:p w14:paraId="108A2859" w14:textId="7AE324A5" w:rsidR="00FC7866" w:rsidRPr="00FF5FBE" w:rsidRDefault="00FC7866" w:rsidP="00DE2337">
            <w:pPr>
              <w:pStyle w:val="tabulky"/>
            </w:pPr>
            <w:r>
              <w:t>IP.10</w:t>
            </w:r>
          </w:p>
        </w:tc>
        <w:tc>
          <w:tcPr>
            <w:tcW w:w="5135" w:type="dxa"/>
            <w:vMerge/>
          </w:tcPr>
          <w:p w14:paraId="1F3A8DD7" w14:textId="77777777" w:rsidR="00FC7866" w:rsidRPr="00040C21" w:rsidRDefault="00FC7866" w:rsidP="00DE2337">
            <w:pPr>
              <w:pStyle w:val="tabulky"/>
              <w:rPr>
                <w:rFonts w:eastAsia="HiddenHorzOCR"/>
              </w:rPr>
            </w:pPr>
          </w:p>
        </w:tc>
      </w:tr>
      <w:tr w:rsidR="00FC7866" w:rsidRPr="00973B88" w14:paraId="762F1B99" w14:textId="77777777" w:rsidTr="00357868">
        <w:tc>
          <w:tcPr>
            <w:tcW w:w="1151" w:type="dxa"/>
          </w:tcPr>
          <w:p w14:paraId="1853EF33" w14:textId="46995164" w:rsidR="00FC7866" w:rsidRDefault="00FC7866" w:rsidP="00DE2337">
            <w:pPr>
              <w:pStyle w:val="tabulky"/>
            </w:pPr>
            <w:r w:rsidRPr="004E5AC0">
              <w:rPr>
                <w:b/>
              </w:rPr>
              <w:t>VZ.2</w:t>
            </w:r>
            <w:r>
              <w:rPr>
                <w:b/>
              </w:rPr>
              <w:t>4</w:t>
            </w:r>
          </w:p>
        </w:tc>
        <w:tc>
          <w:tcPr>
            <w:tcW w:w="1510" w:type="dxa"/>
          </w:tcPr>
          <w:p w14:paraId="670C31E5" w14:textId="7701C081" w:rsidR="00FC7866" w:rsidRPr="00FF5FBE" w:rsidRDefault="00FC7866" w:rsidP="00DE2337">
            <w:pPr>
              <w:pStyle w:val="tabulky"/>
            </w:pPr>
            <w:r>
              <w:t>IP.12</w:t>
            </w:r>
          </w:p>
        </w:tc>
        <w:tc>
          <w:tcPr>
            <w:tcW w:w="5135" w:type="dxa"/>
            <w:vMerge/>
          </w:tcPr>
          <w:p w14:paraId="59E30B23" w14:textId="77777777" w:rsidR="00FC7866" w:rsidRPr="00040C21" w:rsidRDefault="00FC7866" w:rsidP="00DE2337">
            <w:pPr>
              <w:pStyle w:val="tabulky"/>
              <w:rPr>
                <w:rFonts w:eastAsia="HiddenHorzOCR"/>
              </w:rPr>
            </w:pPr>
          </w:p>
        </w:tc>
      </w:tr>
      <w:tr w:rsidR="00FC7866" w:rsidRPr="00973B88" w14:paraId="7DEE198D" w14:textId="77777777" w:rsidTr="00357868">
        <w:tc>
          <w:tcPr>
            <w:tcW w:w="1151" w:type="dxa"/>
          </w:tcPr>
          <w:p w14:paraId="0842AD47" w14:textId="223EB006" w:rsidR="00FC7866" w:rsidRDefault="00FC7866" w:rsidP="00DE2337">
            <w:pPr>
              <w:pStyle w:val="tabulky"/>
            </w:pPr>
            <w:r w:rsidRPr="004E5AC0">
              <w:rPr>
                <w:b/>
              </w:rPr>
              <w:t>VZ.2</w:t>
            </w:r>
            <w:r>
              <w:rPr>
                <w:b/>
              </w:rPr>
              <w:t>5</w:t>
            </w:r>
          </w:p>
        </w:tc>
        <w:tc>
          <w:tcPr>
            <w:tcW w:w="1510" w:type="dxa"/>
          </w:tcPr>
          <w:p w14:paraId="00FE3777" w14:textId="19430ABA" w:rsidR="00FC7866" w:rsidRPr="00FF5FBE" w:rsidRDefault="00FC7866" w:rsidP="00DE2337">
            <w:pPr>
              <w:pStyle w:val="tabulky"/>
            </w:pPr>
            <w:r>
              <w:t>IP.13</w:t>
            </w:r>
          </w:p>
        </w:tc>
        <w:tc>
          <w:tcPr>
            <w:tcW w:w="5135" w:type="dxa"/>
            <w:vMerge/>
          </w:tcPr>
          <w:p w14:paraId="33A28C53" w14:textId="77777777" w:rsidR="00FC7866" w:rsidRPr="00040C21" w:rsidRDefault="00FC7866" w:rsidP="00DE2337">
            <w:pPr>
              <w:pStyle w:val="tabulky"/>
              <w:rPr>
                <w:rFonts w:eastAsia="HiddenHorzOCR"/>
              </w:rPr>
            </w:pPr>
          </w:p>
        </w:tc>
      </w:tr>
      <w:tr w:rsidR="00FC7866" w:rsidRPr="00973B88" w14:paraId="74E429E1" w14:textId="77777777" w:rsidTr="00357868">
        <w:tc>
          <w:tcPr>
            <w:tcW w:w="1151" w:type="dxa"/>
          </w:tcPr>
          <w:p w14:paraId="325733EB" w14:textId="6F289860" w:rsidR="00FC7866" w:rsidRDefault="00FC7866" w:rsidP="00DE2337">
            <w:pPr>
              <w:pStyle w:val="tabulky"/>
            </w:pPr>
            <w:r w:rsidRPr="004E5AC0">
              <w:rPr>
                <w:b/>
              </w:rPr>
              <w:t>VZ.2</w:t>
            </w:r>
            <w:r>
              <w:rPr>
                <w:b/>
              </w:rPr>
              <w:t>6</w:t>
            </w:r>
          </w:p>
        </w:tc>
        <w:tc>
          <w:tcPr>
            <w:tcW w:w="1510" w:type="dxa"/>
          </w:tcPr>
          <w:p w14:paraId="566F79A3" w14:textId="3BFF50C5" w:rsidR="00FC7866" w:rsidRPr="00FF5FBE" w:rsidRDefault="00FC7866" w:rsidP="00DE2337">
            <w:pPr>
              <w:pStyle w:val="tabulky"/>
            </w:pPr>
            <w:r>
              <w:t>IP.15</w:t>
            </w:r>
          </w:p>
        </w:tc>
        <w:tc>
          <w:tcPr>
            <w:tcW w:w="5135" w:type="dxa"/>
            <w:vMerge/>
          </w:tcPr>
          <w:p w14:paraId="0D9A560F" w14:textId="77777777" w:rsidR="00FC7866" w:rsidRPr="00040C21" w:rsidRDefault="00FC7866" w:rsidP="00DE2337">
            <w:pPr>
              <w:pStyle w:val="tabulky"/>
              <w:rPr>
                <w:rFonts w:eastAsia="HiddenHorzOCR"/>
              </w:rPr>
            </w:pPr>
          </w:p>
        </w:tc>
      </w:tr>
      <w:tr w:rsidR="00FC7866" w:rsidRPr="00973B88" w14:paraId="3B63665F" w14:textId="77777777" w:rsidTr="00357868">
        <w:tc>
          <w:tcPr>
            <w:tcW w:w="1151" w:type="dxa"/>
          </w:tcPr>
          <w:p w14:paraId="702791EC" w14:textId="2AC0CC1E" w:rsidR="00FC7866" w:rsidRDefault="00FC7866" w:rsidP="00DE2337">
            <w:pPr>
              <w:pStyle w:val="tabulky"/>
            </w:pPr>
            <w:r w:rsidRPr="004E5AC0">
              <w:rPr>
                <w:b/>
              </w:rPr>
              <w:t>VZ.2</w:t>
            </w:r>
            <w:r>
              <w:rPr>
                <w:b/>
              </w:rPr>
              <w:t>7</w:t>
            </w:r>
          </w:p>
        </w:tc>
        <w:tc>
          <w:tcPr>
            <w:tcW w:w="1510" w:type="dxa"/>
          </w:tcPr>
          <w:p w14:paraId="39160E3C" w14:textId="4CCA6F2E" w:rsidR="00FC7866" w:rsidRPr="00FF5FBE" w:rsidRDefault="00FC7866" w:rsidP="00DE2337">
            <w:pPr>
              <w:pStyle w:val="tabulky"/>
            </w:pPr>
            <w:r>
              <w:t>IP.16</w:t>
            </w:r>
          </w:p>
        </w:tc>
        <w:tc>
          <w:tcPr>
            <w:tcW w:w="5135" w:type="dxa"/>
            <w:vMerge/>
          </w:tcPr>
          <w:p w14:paraId="1E2CE53F" w14:textId="77777777" w:rsidR="00FC7866" w:rsidRPr="00040C21" w:rsidRDefault="00FC7866" w:rsidP="00DE2337">
            <w:pPr>
              <w:pStyle w:val="tabulky"/>
              <w:rPr>
                <w:rFonts w:eastAsia="HiddenHorzOCR"/>
              </w:rPr>
            </w:pPr>
          </w:p>
        </w:tc>
      </w:tr>
      <w:tr w:rsidR="00FC7866" w:rsidRPr="00973B88" w14:paraId="31D68B3A" w14:textId="77777777" w:rsidTr="00357868">
        <w:tc>
          <w:tcPr>
            <w:tcW w:w="1151" w:type="dxa"/>
          </w:tcPr>
          <w:p w14:paraId="55BAAEFC" w14:textId="1BB993EB" w:rsidR="00FC7866" w:rsidRDefault="00FC7866" w:rsidP="0039716B">
            <w:pPr>
              <w:pStyle w:val="tabulky"/>
            </w:pPr>
            <w:r w:rsidRPr="004E5AC0">
              <w:rPr>
                <w:b/>
              </w:rPr>
              <w:t>VZ.2</w:t>
            </w:r>
            <w:r>
              <w:rPr>
                <w:b/>
              </w:rPr>
              <w:t>8</w:t>
            </w:r>
          </w:p>
        </w:tc>
        <w:tc>
          <w:tcPr>
            <w:tcW w:w="1510" w:type="dxa"/>
          </w:tcPr>
          <w:p w14:paraId="75D7D302" w14:textId="0D181AD8" w:rsidR="00FC7866" w:rsidRPr="00FF5FBE" w:rsidRDefault="00FC7866" w:rsidP="0039716B">
            <w:pPr>
              <w:pStyle w:val="tabulky"/>
            </w:pPr>
            <w:r>
              <w:t>IP.17</w:t>
            </w:r>
          </w:p>
        </w:tc>
        <w:tc>
          <w:tcPr>
            <w:tcW w:w="5135" w:type="dxa"/>
            <w:vMerge/>
          </w:tcPr>
          <w:p w14:paraId="73C6EF48" w14:textId="77777777" w:rsidR="00FC7866" w:rsidRPr="00040C21" w:rsidRDefault="00FC7866" w:rsidP="0039716B">
            <w:pPr>
              <w:pStyle w:val="tabulky"/>
              <w:rPr>
                <w:rFonts w:eastAsia="HiddenHorzOCR"/>
              </w:rPr>
            </w:pPr>
          </w:p>
        </w:tc>
      </w:tr>
    </w:tbl>
    <w:p w14:paraId="01D41210" w14:textId="737B5E62" w:rsidR="00FF3527" w:rsidRDefault="00FF4F92" w:rsidP="00FF4F92">
      <w:pPr>
        <w:pStyle w:val="Nadpis3"/>
        <w:rPr>
          <w:rFonts w:eastAsia="HiddenHorzOCR"/>
        </w:rPr>
      </w:pPr>
      <w:bookmarkStart w:id="114" w:name="_Toc206164334"/>
      <w:bookmarkStart w:id="115" w:name="_Toc232612637"/>
      <w:r w:rsidRPr="00FF5FBE">
        <w:rPr>
          <w:rFonts w:eastAsia="HiddenHorzOCR"/>
        </w:rPr>
        <w:t>Stavby a opatření k zajišťování obrany a bezpečnosti státu</w:t>
      </w:r>
      <w:bookmarkEnd w:id="114"/>
      <w:bookmarkEnd w:id="115"/>
    </w:p>
    <w:p w14:paraId="3CFCFB28" w14:textId="67E2D1D4" w:rsidR="00FF4F92" w:rsidRPr="00FF4F92" w:rsidRDefault="00FF4F92">
      <w:pPr>
        <w:pStyle w:val="Odstavecseseznamem"/>
        <w:numPr>
          <w:ilvl w:val="0"/>
          <w:numId w:val="73"/>
        </w:numPr>
        <w:ind w:left="709"/>
      </w:pPr>
      <w:r w:rsidRPr="00FF5FBE">
        <w:t>Územní plán nevymezuje stavby a opatření k zajišťování obrany a bezpečnosti státu</w:t>
      </w:r>
      <w:r>
        <w:t>.</w:t>
      </w:r>
    </w:p>
    <w:p w14:paraId="0497AF86" w14:textId="174072DE" w:rsidR="00FF4F92" w:rsidRDefault="00FF4F92" w:rsidP="00FF4F92">
      <w:pPr>
        <w:pStyle w:val="Nadpis3"/>
        <w:rPr>
          <w:rFonts w:eastAsia="HiddenHorzOCR"/>
        </w:rPr>
      </w:pPr>
      <w:bookmarkStart w:id="116" w:name="_Toc206164335"/>
      <w:bookmarkStart w:id="117" w:name="_Toc232612638"/>
      <w:r w:rsidRPr="00FF5FBE">
        <w:rPr>
          <w:rFonts w:eastAsia="HiddenHorzOCR"/>
        </w:rPr>
        <w:t>Plochy pro asanaci</w:t>
      </w:r>
      <w:bookmarkEnd w:id="116"/>
      <w:bookmarkEnd w:id="117"/>
    </w:p>
    <w:p w14:paraId="290476D3" w14:textId="50DEE0D6" w:rsidR="00FF4F92" w:rsidRDefault="00FF4F92">
      <w:pPr>
        <w:pStyle w:val="Odstavecseseznamem"/>
        <w:numPr>
          <w:ilvl w:val="0"/>
          <w:numId w:val="74"/>
        </w:numPr>
        <w:ind w:left="709"/>
      </w:pPr>
      <w:r w:rsidRPr="00FF5FBE">
        <w:t>Územní plán nevymezuje plochy pro asanaci</w:t>
      </w:r>
    </w:p>
    <w:p w14:paraId="19B01C2A" w14:textId="14354257" w:rsidR="001D2A30" w:rsidRDefault="001D2A30" w:rsidP="001D2A30">
      <w:pPr>
        <w:pStyle w:val="Nadpis2"/>
      </w:pPr>
      <w:bookmarkStart w:id="118" w:name="_Toc206164336"/>
      <w:bookmarkStart w:id="119" w:name="_Toc232612639"/>
      <w:r w:rsidRPr="00FF5FBE">
        <w:t>Vymezení ploch a koridorů, ve kterých je rozhodování o změnách v</w:t>
      </w:r>
      <w:r>
        <w:t> </w:t>
      </w:r>
      <w:r w:rsidRPr="00FF5FBE">
        <w:t>území podmíněno plánovací smlouvou</w:t>
      </w:r>
      <w:bookmarkEnd w:id="118"/>
      <w:bookmarkEnd w:id="119"/>
    </w:p>
    <w:p w14:paraId="1BDC7A7A" w14:textId="77777777" w:rsidR="001D2A30" w:rsidRDefault="001D2A30">
      <w:pPr>
        <w:pStyle w:val="Odstavecseseznamem"/>
        <w:numPr>
          <w:ilvl w:val="0"/>
          <w:numId w:val="75"/>
        </w:numPr>
        <w:contextualSpacing w:val="0"/>
      </w:pPr>
      <w:r w:rsidRPr="00FF5FBE">
        <w:t xml:space="preserve">Jsou vymezeny plochy a koridory, ve kterých je rozhodování o změnách v území podmíněno </w:t>
      </w:r>
      <w:r>
        <w:t>plánovací smlouvou</w:t>
      </w:r>
      <w:r w:rsidRPr="00FF5FBE">
        <w:t>:</w:t>
      </w:r>
    </w:p>
    <w:p w14:paraId="1E7CE809" w14:textId="77777777" w:rsidR="00331D09" w:rsidRPr="00331D09" w:rsidRDefault="00331D09">
      <w:pPr>
        <w:pStyle w:val="Odstavecseseznamem"/>
        <w:numPr>
          <w:ilvl w:val="0"/>
          <w:numId w:val="18"/>
        </w:numPr>
        <w:ind w:left="709"/>
        <w:rPr>
          <w:b/>
        </w:rPr>
      </w:pPr>
      <w:r w:rsidRPr="00331D09">
        <w:rPr>
          <w:b/>
        </w:rPr>
        <w:t>transformační plochy:</w:t>
      </w:r>
      <w:r w:rsidRPr="00331D09">
        <w:rPr>
          <w:bCs/>
        </w:rPr>
        <w:t xml:space="preserve"> T.02-1, T.02-3, T.03-1, T.09-1, T.09-3, T.10-1 a T.10-4.</w:t>
      </w:r>
    </w:p>
    <w:p w14:paraId="5BA3B6E0" w14:textId="1F325257" w:rsidR="00331D09" w:rsidRPr="00331D09" w:rsidRDefault="00331D09" w:rsidP="00331D09">
      <w:pPr>
        <w:pStyle w:val="Odstavecseseznamem"/>
        <w:ind w:left="709"/>
        <w:rPr>
          <w:bCs/>
        </w:rPr>
      </w:pPr>
      <w:r>
        <w:rPr>
          <w:bCs/>
        </w:rPr>
        <w:t>Podmínka uzavření plánovací smlouvy je vymezena z důvodu zajištění koordinace obsluhy území, vymezení dostatečné plochy pro místní komunikaci, vedení inženýrských sítí, prvky zelené infrastruktury a řešení parcelace pozemků pro výstavbu.</w:t>
      </w:r>
    </w:p>
    <w:p w14:paraId="3B16F9DD" w14:textId="77777777" w:rsidR="00331D09" w:rsidRDefault="00331D09">
      <w:pPr>
        <w:pStyle w:val="Odstavecseseznamem"/>
        <w:numPr>
          <w:ilvl w:val="0"/>
          <w:numId w:val="18"/>
        </w:numPr>
        <w:ind w:left="709"/>
        <w:rPr>
          <w:b/>
        </w:rPr>
      </w:pPr>
      <w:r w:rsidRPr="00331D09">
        <w:rPr>
          <w:b/>
        </w:rPr>
        <w:t xml:space="preserve">zastavitelné plochy: </w:t>
      </w:r>
    </w:p>
    <w:p w14:paraId="6EA71F7A" w14:textId="1A54D29F" w:rsidR="00331D09" w:rsidRPr="00331D09" w:rsidRDefault="00331D09">
      <w:pPr>
        <w:pStyle w:val="Odstavecseseznamem"/>
        <w:numPr>
          <w:ilvl w:val="0"/>
          <w:numId w:val="18"/>
        </w:numPr>
        <w:ind w:left="709"/>
        <w:rPr>
          <w:b/>
        </w:rPr>
      </w:pPr>
      <w:r w:rsidRPr="00331D09">
        <w:rPr>
          <w:bCs/>
        </w:rPr>
        <w:t>Z.02-1</w:t>
      </w:r>
      <w:r w:rsidR="00EF73C4">
        <w:rPr>
          <w:bCs/>
        </w:rPr>
        <w:t xml:space="preserve"> - </w:t>
      </w:r>
      <w:r w:rsidR="00F51D72">
        <w:rPr>
          <w:bCs/>
        </w:rPr>
        <w:t>p</w:t>
      </w:r>
      <w:r w:rsidR="00F51D72" w:rsidRPr="00331D09">
        <w:rPr>
          <w:bCs/>
        </w:rPr>
        <w:t xml:space="preserve">odmínka uzavření plánovací </w:t>
      </w:r>
      <w:r w:rsidR="00F51D72">
        <w:rPr>
          <w:bCs/>
        </w:rPr>
        <w:t>smlouvy je stanovena z důvodu zajištění koordinace postupu rozvoje lokality dle zpracované územní studie, včetně podrobných podmínek napojení systémů veřejné infrastruktury, občanského vybavení a veřejných prostranství a podmínek podrobného urbanistického a</w:t>
      </w:r>
      <w:r w:rsidR="009F2E7D">
        <w:rPr>
          <w:bCs/>
        </w:rPr>
        <w:t> </w:t>
      </w:r>
      <w:r w:rsidR="00F51D72">
        <w:rPr>
          <w:bCs/>
        </w:rPr>
        <w:t>architektonického řešení zástavby ve vztahu k harmonickému zapojení zástavby lokality do prostředí údolí Bystřice.</w:t>
      </w:r>
    </w:p>
    <w:p w14:paraId="6B0CF98C" w14:textId="7C5EF6CD" w:rsidR="00331D09" w:rsidRPr="00331D09" w:rsidRDefault="00331D09">
      <w:pPr>
        <w:pStyle w:val="Odstavecseseznamem"/>
        <w:numPr>
          <w:ilvl w:val="0"/>
          <w:numId w:val="18"/>
        </w:numPr>
        <w:ind w:left="709"/>
        <w:rPr>
          <w:b/>
        </w:rPr>
      </w:pPr>
      <w:r w:rsidRPr="00331D09">
        <w:rPr>
          <w:bCs/>
        </w:rPr>
        <w:t xml:space="preserve">Z.02-2 </w:t>
      </w:r>
      <w:r>
        <w:rPr>
          <w:bCs/>
        </w:rPr>
        <w:t>- p</w:t>
      </w:r>
      <w:r w:rsidRPr="00331D09">
        <w:rPr>
          <w:bCs/>
        </w:rPr>
        <w:t xml:space="preserve">odmínka uzavření plánovací </w:t>
      </w:r>
      <w:r>
        <w:rPr>
          <w:bCs/>
        </w:rPr>
        <w:t xml:space="preserve">smlouvy je stanovena z důvodu zajištění koordinace obsluhy území včetně napojení na MK Na Mezích, vymezení dostatečné plochy pro místní komunikaci, vedení inženýrských sítí, prvky zelené infrastruktury, řešení parcelace pozemků pro výstavbu a koordinace vazby na areál </w:t>
      </w:r>
      <w:r w:rsidR="00102711">
        <w:rPr>
          <w:bCs/>
        </w:rPr>
        <w:t>hřbitova</w:t>
      </w:r>
      <w:r>
        <w:rPr>
          <w:bCs/>
        </w:rPr>
        <w:t xml:space="preserve"> </w:t>
      </w:r>
      <w:r w:rsidR="00102711">
        <w:rPr>
          <w:bCs/>
        </w:rPr>
        <w:t>Hlubočky.</w:t>
      </w:r>
    </w:p>
    <w:p w14:paraId="1C41373D" w14:textId="124D8F0F" w:rsidR="00331D09" w:rsidRPr="00331D09" w:rsidRDefault="00331D09">
      <w:pPr>
        <w:pStyle w:val="Odstavecseseznamem"/>
        <w:numPr>
          <w:ilvl w:val="0"/>
          <w:numId w:val="18"/>
        </w:numPr>
        <w:ind w:left="709"/>
        <w:rPr>
          <w:bCs/>
        </w:rPr>
      </w:pPr>
      <w:r w:rsidRPr="00331D09">
        <w:rPr>
          <w:bCs/>
        </w:rPr>
        <w:t>Z.04-1</w:t>
      </w:r>
      <w:r>
        <w:rPr>
          <w:bCs/>
        </w:rPr>
        <w:t xml:space="preserve"> - p</w:t>
      </w:r>
      <w:r w:rsidRPr="00331D09">
        <w:rPr>
          <w:bCs/>
        </w:rPr>
        <w:t xml:space="preserve">odmínka uzavření plánovací </w:t>
      </w:r>
      <w:r>
        <w:rPr>
          <w:bCs/>
        </w:rPr>
        <w:t>smlouvy je stanovena z důvodu stanovení parcelace pozemků pro výstavbu s ohledem na limity vedení sítí technické infrastruktury (vodovod, VN včetně trafostanice)</w:t>
      </w:r>
      <w:r w:rsidR="008A4032">
        <w:rPr>
          <w:bCs/>
        </w:rPr>
        <w:t>.</w:t>
      </w:r>
    </w:p>
    <w:p w14:paraId="59977913" w14:textId="7FE840C9" w:rsidR="001D2A30" w:rsidRDefault="000E2A2D" w:rsidP="000E2A2D">
      <w:pPr>
        <w:pStyle w:val="Nadpis2"/>
      </w:pPr>
      <w:bookmarkStart w:id="120" w:name="_Toc206164337"/>
      <w:bookmarkStart w:id="121" w:name="_Toc232612640"/>
      <w:r w:rsidRPr="00FF5FBE">
        <w:lastRenderedPageBreak/>
        <w:t>Vymezení ploch a koridorů, ve kterých je rozhodování o změnách v</w:t>
      </w:r>
      <w:r>
        <w:t> </w:t>
      </w:r>
      <w:r w:rsidRPr="00FF5FBE">
        <w:t>území podmíněno zpracováním územní studie</w:t>
      </w:r>
      <w:bookmarkEnd w:id="120"/>
      <w:bookmarkEnd w:id="121"/>
    </w:p>
    <w:p w14:paraId="00168149" w14:textId="77777777" w:rsidR="000E2A2D" w:rsidRPr="00FF5FBE" w:rsidRDefault="000E2A2D">
      <w:pPr>
        <w:pStyle w:val="Odstavecseseznamem"/>
        <w:numPr>
          <w:ilvl w:val="0"/>
          <w:numId w:val="76"/>
        </w:numPr>
        <w:contextualSpacing w:val="0"/>
      </w:pPr>
      <w:r w:rsidRPr="00FF5FBE">
        <w:t>Jsou vymezeny plochy a koridory, ve kterých je rozhodování o změnách v území podmíněno zpracováním územní studie:</w:t>
      </w:r>
    </w:p>
    <w:p w14:paraId="7A6A83B0" w14:textId="77777777" w:rsidR="000E2A2D" w:rsidRPr="00487EC8" w:rsidRDefault="000E2A2D" w:rsidP="00487EC8">
      <w:pPr>
        <w:rPr>
          <w:b/>
          <w:bCs/>
        </w:rPr>
      </w:pPr>
      <w:r w:rsidRPr="00487EC8">
        <w:rPr>
          <w:b/>
          <w:bCs/>
        </w:rPr>
        <w:t>US.02-1 – Hlubočky</w:t>
      </w:r>
    </w:p>
    <w:p w14:paraId="5FAA40A8" w14:textId="7CF87A9C" w:rsidR="00487EC8" w:rsidRDefault="00F277ED" w:rsidP="00487EC8">
      <w:r>
        <w:t>dotčené návrhové plochy: T.02-1, Z.02-1</w:t>
      </w:r>
    </w:p>
    <w:p w14:paraId="61D73B4D" w14:textId="727783B8" w:rsidR="00F277ED" w:rsidRDefault="00F277ED" w:rsidP="00F277ED">
      <w:r w:rsidRPr="00DF00E7">
        <w:t xml:space="preserve">Plocha je vymezena z důvodu potřeby stanovení podrobnějších podmínek využití a prostorového uspořádání </w:t>
      </w:r>
      <w:r w:rsidRPr="004D4D3C">
        <w:t xml:space="preserve">lokality pro </w:t>
      </w:r>
      <w:r w:rsidR="00C81CA4">
        <w:t xml:space="preserve">bydlení a </w:t>
      </w:r>
      <w:r w:rsidRPr="004D4D3C">
        <w:t>občanské vybavení</w:t>
      </w:r>
      <w:r w:rsidR="00C81CA4">
        <w:t xml:space="preserve">, </w:t>
      </w:r>
      <w:r>
        <w:t xml:space="preserve">s cílem koordinace způsobu využití lokality </w:t>
      </w:r>
      <w:r w:rsidR="00C81CA4">
        <w:t>ve vazbě na řešení veřejných prostranství s napojením na Olomouckou a Nám. družby v místech koncepčních prvků veřejné prostupnosti, umístění občanského vybavení v ploše pro občanské vybavení a upřesnění charakteru zástavby v souladu s charakterem lokality a jejího harmonického zapojení do</w:t>
      </w:r>
      <w:r w:rsidR="00C81CA4">
        <w:rPr>
          <w:bCs/>
        </w:rPr>
        <w:t xml:space="preserve"> prostředí údolí Bystřice (pohledové vazby, panorama obce)</w:t>
      </w:r>
      <w:r w:rsidRPr="00A15ED9">
        <w:t>.</w:t>
      </w:r>
    </w:p>
    <w:p w14:paraId="743F5396" w14:textId="18036A60" w:rsidR="00F277ED" w:rsidRPr="00487EC8" w:rsidRDefault="00F277ED" w:rsidP="00F277ED">
      <w:r>
        <w:t xml:space="preserve">Podmínka územní studie je nezbytná z důvodu zajištění koordinace charakteru využití a uspořádání </w:t>
      </w:r>
      <w:r w:rsidR="008D5390">
        <w:t>nejvýznamnější a plošně nejrozsáhlejší rozvojové lokality obce v přímo vazbě na funkční jádro Hluboček</w:t>
      </w:r>
      <w:r>
        <w:t>.</w:t>
      </w:r>
    </w:p>
    <w:p w14:paraId="521D00BC" w14:textId="77777777" w:rsidR="00487EC8" w:rsidRPr="00487EC8" w:rsidRDefault="00487EC8" w:rsidP="00487EC8">
      <w:pPr>
        <w:rPr>
          <w:b/>
          <w:bCs/>
        </w:rPr>
      </w:pPr>
      <w:r w:rsidRPr="00487EC8">
        <w:rPr>
          <w:b/>
          <w:bCs/>
        </w:rPr>
        <w:t>US.09-1 – Dukla</w:t>
      </w:r>
    </w:p>
    <w:p w14:paraId="7770B8FC" w14:textId="701BFB9F" w:rsidR="0044095D" w:rsidRDefault="0044095D" w:rsidP="0044095D">
      <w:r>
        <w:t>dotčené návrhové plochy: T.09-1</w:t>
      </w:r>
    </w:p>
    <w:p w14:paraId="3FDC4381" w14:textId="5EC18A00" w:rsidR="000E2A2D" w:rsidRDefault="0044095D" w:rsidP="000E2A2D">
      <w:r w:rsidRPr="00DF00E7">
        <w:t xml:space="preserve">Plocha je vymezena z důvodu potřeby stanovení podrobnějších podmínek využití a prostorového uspořádání </w:t>
      </w:r>
      <w:r w:rsidRPr="004D4D3C">
        <w:t xml:space="preserve">lokality pro </w:t>
      </w:r>
      <w:r>
        <w:t xml:space="preserve">bydlení a </w:t>
      </w:r>
      <w:r w:rsidRPr="004D4D3C">
        <w:t>občanské vybavení</w:t>
      </w:r>
      <w:r>
        <w:t xml:space="preserve"> (parkovací dům), s cílem koordinace způsobu využití plochy s řešením propojení veřejných prostranství ulice Na Orátě a Luční, řešení vazby na navazující sportovní plochu a umístění parkovacího domu pro doplnění kapacit parkování lokality.</w:t>
      </w:r>
    </w:p>
    <w:p w14:paraId="2079DAEF" w14:textId="229C4C7F" w:rsidR="006861E3" w:rsidRDefault="006861E3" w:rsidP="000E2A2D">
      <w:r>
        <w:t xml:space="preserve">Podmínka územní studie je nezbytná z důvodu zajištění koordinace charakteru využití a uspořádání </w:t>
      </w:r>
      <w:r w:rsidR="00E33C72">
        <w:t>plochy ve vztahu k majetkoprávnímu uspořádání (pozemky obce, ČR, soukromých vlastníků) a s ohledem na význam návrhové plochy pro celek sídliště Na Orátě zejména z hlediska rozvoje veřejné infrastruktury</w:t>
      </w:r>
      <w:r>
        <w:t>.</w:t>
      </w:r>
    </w:p>
    <w:p w14:paraId="220E1ED7" w14:textId="12C1D3D5" w:rsidR="008D52C1" w:rsidRDefault="008D52C1" w:rsidP="008D52C1">
      <w:pPr>
        <w:pStyle w:val="Nadpis2"/>
      </w:pPr>
      <w:bookmarkStart w:id="122" w:name="_Toc213947242"/>
      <w:bookmarkStart w:id="123" w:name="_Toc214308164"/>
      <w:bookmarkStart w:id="124" w:name="_Toc232612641"/>
      <w:r>
        <w:t>Zdůvodnění v</w:t>
      </w:r>
      <w:r w:rsidRPr="000E46C1">
        <w:t>ymezení architektonicky významných staveb nebo urbanisticky významných celků</w:t>
      </w:r>
      <w:bookmarkEnd w:id="122"/>
      <w:bookmarkEnd w:id="123"/>
      <w:bookmarkEnd w:id="124"/>
    </w:p>
    <w:p w14:paraId="1D6B3C25" w14:textId="101118D8" w:rsidR="008D52C1" w:rsidRDefault="008D52C1">
      <w:pPr>
        <w:pStyle w:val="Odstavecseseznamem"/>
        <w:numPr>
          <w:ilvl w:val="0"/>
          <w:numId w:val="85"/>
        </w:numPr>
        <w:contextualSpacing w:val="0"/>
      </w:pPr>
      <w:r>
        <w:t>Územní plán z důvodu zaručení vyšší architektonické a urbanistické kvality a většího předpokládaného dopadu na strukturu obce vymezuje některé konkrétní stavby a veřejná prostranství, pro která může zpracovávat architektonickou část dokumentace pouze autorizovaný architekt ve smyslu § 17, písm. d) a § 18, písm. a) zákona č. 360/1992 Sb., o výkonu povolání autorizovaných architektů a o výkonu povoláni autorizovaných inženýrů a techniků činných ve výstavbě, ve znění pozdějších předpisů, a v souladu s Autorizačním řádem České komory architektů.</w:t>
      </w:r>
    </w:p>
    <w:p w14:paraId="66220BA7" w14:textId="50DDC7B4" w:rsidR="008D52C1" w:rsidRDefault="008D52C1">
      <w:pPr>
        <w:pStyle w:val="Odstavecseseznamem"/>
        <w:numPr>
          <w:ilvl w:val="0"/>
          <w:numId w:val="85"/>
        </w:numPr>
        <w:contextualSpacing w:val="0"/>
      </w:pPr>
      <w:r>
        <w:t>Stavby jsou vymezeny v souladu s cíli a úkoly územního plánování, které stanovují „chránit a rozvíjet kulturní a civilizační hodnoty území“ a dále „stanovovat urbanistické, architektonické a estetické požadavky na využívání a prostorové uspořádání území“.</w:t>
      </w:r>
    </w:p>
    <w:p w14:paraId="134CE8E6" w14:textId="57AB823F" w:rsidR="006F04D5" w:rsidRDefault="006F04D5" w:rsidP="006F04D5">
      <w:pPr>
        <w:pStyle w:val="Nadpis2"/>
      </w:pPr>
      <w:bookmarkStart w:id="125" w:name="_Toc213947243"/>
      <w:bookmarkStart w:id="126" w:name="_Toc214308165"/>
      <w:bookmarkStart w:id="127" w:name="_Toc232612642"/>
      <w:r>
        <w:t>Zdůvodnění s</w:t>
      </w:r>
      <w:r w:rsidRPr="000E46C1">
        <w:t>tanovení pořadí provádění změn v</w:t>
      </w:r>
      <w:r>
        <w:t> </w:t>
      </w:r>
      <w:r w:rsidRPr="000E46C1">
        <w:t>území</w:t>
      </w:r>
      <w:bookmarkEnd w:id="125"/>
      <w:bookmarkEnd w:id="126"/>
      <w:bookmarkEnd w:id="127"/>
    </w:p>
    <w:p w14:paraId="661CF817" w14:textId="53475F6E" w:rsidR="0050410A" w:rsidRDefault="0050410A">
      <w:pPr>
        <w:pStyle w:val="Odstavecseseznamem"/>
        <w:numPr>
          <w:ilvl w:val="0"/>
          <w:numId w:val="86"/>
        </w:numPr>
        <w:ind w:left="709"/>
      </w:pPr>
      <w:r>
        <w:t xml:space="preserve">Nejsou stanoveny obecné požadavky na pořadí změn v území. </w:t>
      </w:r>
    </w:p>
    <w:p w14:paraId="7B81C26E" w14:textId="746E37ED" w:rsidR="006F04D5" w:rsidRDefault="0050410A">
      <w:pPr>
        <w:pStyle w:val="Odstavecseseznamem"/>
        <w:numPr>
          <w:ilvl w:val="0"/>
          <w:numId w:val="86"/>
        </w:numPr>
        <w:ind w:left="709"/>
      </w:pPr>
      <w:r>
        <w:t>Podmíněnost využití území veřejnou infrastrukturou je stanovena z důvodu vazby rozvoje zástavby na zajištění veřejné infrastruktury s ohledem na požadavky PÚR a ZÚR v platném znění.</w:t>
      </w:r>
    </w:p>
    <w:p w14:paraId="66D33BFA" w14:textId="5447305B" w:rsidR="00B34016" w:rsidRDefault="00B34016" w:rsidP="00B34016">
      <w:pPr>
        <w:pStyle w:val="Nadpis2"/>
        <w:rPr>
          <w:rFonts w:eastAsia="HiddenHorzOCR"/>
        </w:rPr>
      </w:pPr>
      <w:bookmarkStart w:id="128" w:name="_Toc206164340"/>
      <w:bookmarkStart w:id="129" w:name="_Toc232612643"/>
      <w:r>
        <w:rPr>
          <w:rFonts w:eastAsia="HiddenHorzOCR"/>
        </w:rPr>
        <w:t>Zdůvodnění s</w:t>
      </w:r>
      <w:r w:rsidRPr="00FF5FBE">
        <w:rPr>
          <w:rFonts w:eastAsia="HiddenHorzOCR"/>
        </w:rPr>
        <w:t>tanovení požadavků na výstavbu odchylně od</w:t>
      </w:r>
      <w:r w:rsidR="0095078C">
        <w:rPr>
          <w:rFonts w:eastAsia="HiddenHorzOCR"/>
        </w:rPr>
        <w:t> </w:t>
      </w:r>
      <w:r w:rsidRPr="00FF5FBE">
        <w:rPr>
          <w:rFonts w:eastAsia="HiddenHorzOCR"/>
        </w:rPr>
        <w:t>prováděcího právního předpisu u části území obce, pro které územní plán obsahuje prvky regulačního plánu</w:t>
      </w:r>
      <w:bookmarkEnd w:id="128"/>
      <w:bookmarkEnd w:id="129"/>
    </w:p>
    <w:p w14:paraId="75FF3640" w14:textId="085B02B2" w:rsidR="00B34016" w:rsidRPr="00B34016" w:rsidRDefault="00B34016" w:rsidP="00B34016">
      <w:r>
        <w:t xml:space="preserve">Zdůvodnění stanovení </w:t>
      </w:r>
      <w:r w:rsidRPr="00B34016">
        <w:t>požadavků na výstavbu odchylně od prováděcího právního předpisu u části území obce, pro které územní plán obsahuje prvky regulačního plánu</w:t>
      </w:r>
      <w:r>
        <w:t xml:space="preserve"> je předmětem kap. XIII textové části odůvodnění.</w:t>
      </w:r>
    </w:p>
    <w:p w14:paraId="35004A5D" w14:textId="62A9273B" w:rsidR="006E551C" w:rsidRPr="00B11562" w:rsidRDefault="006E551C" w:rsidP="00B11562">
      <w:pPr>
        <w:spacing w:before="0" w:after="0"/>
        <w:ind w:left="0"/>
        <w:jc w:val="left"/>
        <w:rPr>
          <w:b/>
          <w:sz w:val="15"/>
          <w:szCs w:val="15"/>
        </w:rPr>
      </w:pPr>
      <w:r w:rsidRPr="00B11562">
        <w:rPr>
          <w:b/>
          <w:sz w:val="15"/>
          <w:szCs w:val="15"/>
        </w:rPr>
        <w:br w:type="page"/>
      </w:r>
    </w:p>
    <w:p w14:paraId="16B70DBC" w14:textId="42AC2CFB" w:rsidR="00467755" w:rsidRPr="00040C21" w:rsidRDefault="001418DC" w:rsidP="009E744E">
      <w:pPr>
        <w:pStyle w:val="Nadpis1"/>
      </w:pPr>
      <w:bookmarkStart w:id="130" w:name="_Toc232612644"/>
      <w:r>
        <w:lastRenderedPageBreak/>
        <w:t>V</w:t>
      </w:r>
      <w:r w:rsidRPr="00372D4C">
        <w:t>ýčet záležitostí nadmístního významu, které nejsou obsaženy v</w:t>
      </w:r>
      <w:r w:rsidR="00832B3E">
        <w:t> </w:t>
      </w:r>
      <w:r w:rsidRPr="00372D4C">
        <w:t>zásadách územního rozvoje, s odůvodněním potřeby jejich vymezení</w:t>
      </w:r>
      <w:r>
        <w:t>.</w:t>
      </w:r>
      <w:bookmarkEnd w:id="130"/>
    </w:p>
    <w:p w14:paraId="201A9B82" w14:textId="10F1F384" w:rsidR="002F7C79" w:rsidRDefault="002F7C79">
      <w:pPr>
        <w:pStyle w:val="Odstavecseseznamem"/>
        <w:numPr>
          <w:ilvl w:val="0"/>
          <w:numId w:val="77"/>
        </w:numPr>
        <w:ind w:left="709"/>
      </w:pPr>
      <w:r>
        <w:t xml:space="preserve">Územní plán Hlubočky nevymezuje záležitostí nadmístního významu, </w:t>
      </w:r>
      <w:r w:rsidRPr="00372D4C">
        <w:t>které nejsou obsaženy v</w:t>
      </w:r>
      <w:r>
        <w:t> </w:t>
      </w:r>
      <w:r w:rsidRPr="00372D4C">
        <w:t>zásadách územního rozvoje</w:t>
      </w:r>
      <w:r>
        <w:t xml:space="preserve">. </w:t>
      </w:r>
      <w:r w:rsidRPr="00040C21">
        <w:t xml:space="preserve">Veškeré záměry, které se dotýkají sousedních obcí a způsob jejich koordinace je popsán v kap. </w:t>
      </w:r>
      <w:r>
        <w:t>XI</w:t>
      </w:r>
      <w:r w:rsidRPr="00040C21">
        <w:t xml:space="preserve"> Vyhodnocení koordinace využívání území z hlediska širších vztahů v území.</w:t>
      </w:r>
    </w:p>
    <w:p w14:paraId="624FADF0" w14:textId="4CD9DEB9" w:rsidR="00467755" w:rsidRDefault="00467755" w:rsidP="00D7638E">
      <w:pPr>
        <w:pStyle w:val="Nadpis1"/>
      </w:pPr>
      <w:bookmarkStart w:id="131" w:name="_Toc232612645"/>
      <w:r w:rsidRPr="00040C21">
        <w:t>Vyhodnocení koordinace využívání území z hlediska širších vztahů v</w:t>
      </w:r>
      <w:r w:rsidR="00F67872">
        <w:t> </w:t>
      </w:r>
      <w:r w:rsidRPr="00040C21">
        <w:t>území</w:t>
      </w:r>
      <w:bookmarkEnd w:id="131"/>
    </w:p>
    <w:p w14:paraId="25D0B20C" w14:textId="77777777" w:rsidR="00467755" w:rsidRPr="00040C21" w:rsidRDefault="00467755" w:rsidP="00D7638E">
      <w:pPr>
        <w:pStyle w:val="Nadpis2"/>
      </w:pPr>
      <w:bookmarkStart w:id="132" w:name="_Toc232612646"/>
      <w:r w:rsidRPr="00040C21">
        <w:t>Vyhodnocení širších vztahů v území</w:t>
      </w:r>
      <w:bookmarkEnd w:id="132"/>
    </w:p>
    <w:p w14:paraId="2DD7A1B1" w14:textId="77777777" w:rsidR="00F67872" w:rsidRPr="00040C21" w:rsidRDefault="00F67872" w:rsidP="00F67872">
      <w:pPr>
        <w:pStyle w:val="Nadpis3"/>
      </w:pPr>
      <w:bookmarkStart w:id="133" w:name="_Toc213941408"/>
      <w:bookmarkStart w:id="134" w:name="_Toc213941676"/>
      <w:bookmarkStart w:id="135" w:name="_Toc232612647"/>
      <w:r w:rsidRPr="00040C21">
        <w:t>Situování řešeného území</w:t>
      </w:r>
      <w:bookmarkEnd w:id="133"/>
      <w:bookmarkEnd w:id="134"/>
      <w:bookmarkEnd w:id="135"/>
    </w:p>
    <w:p w14:paraId="4462C10B" w14:textId="1303E3B0" w:rsidR="00F67872" w:rsidRDefault="00852029">
      <w:pPr>
        <w:pStyle w:val="Odstavecseseznamem"/>
        <w:numPr>
          <w:ilvl w:val="0"/>
          <w:numId w:val="81"/>
        </w:numPr>
        <w:ind w:left="709"/>
      </w:pPr>
      <w:r>
        <w:t xml:space="preserve">Obec Hlubočky leží na rekreační a krajinné ose řeky Bystřice, tvořící významný rekreační prostor spádového území Olomouce. Správní území obce se rozkládá v k.ú. </w:t>
      </w:r>
      <w:r w:rsidRPr="00852029">
        <w:t>Hlubočky, Hrubá Voda a</w:t>
      </w:r>
      <w:r>
        <w:t xml:space="preserve"> </w:t>
      </w:r>
      <w:r w:rsidRPr="00852029">
        <w:t>Posluchov</w:t>
      </w:r>
      <w:r>
        <w:t xml:space="preserve"> a sousedí a územně navazuje na obce Statutární město Olomouc,</w:t>
      </w:r>
      <w:r w:rsidR="005530DE">
        <w:t xml:space="preserve"> </w:t>
      </w:r>
      <w:r>
        <w:t>Velká Bystřice</w:t>
      </w:r>
      <w:r w:rsidR="005530DE">
        <w:t>, Dolany, Mrsklesy, Jívová a Vojenský újezd Libavá.</w:t>
      </w:r>
    </w:p>
    <w:p w14:paraId="1B949040" w14:textId="77777777" w:rsidR="00F67872" w:rsidRPr="00040C21" w:rsidRDefault="00F67872" w:rsidP="00F67872">
      <w:pPr>
        <w:pStyle w:val="Nadpis3"/>
      </w:pPr>
      <w:bookmarkStart w:id="136" w:name="_Toc213941409"/>
      <w:bookmarkStart w:id="137" w:name="_Toc213941677"/>
      <w:bookmarkStart w:id="138" w:name="_Toc232612648"/>
      <w:r w:rsidRPr="00040C21">
        <w:t>Místo v sídelní struktuře</w:t>
      </w:r>
      <w:bookmarkEnd w:id="136"/>
      <w:bookmarkEnd w:id="137"/>
      <w:bookmarkEnd w:id="138"/>
    </w:p>
    <w:p w14:paraId="08C23145" w14:textId="568B3911" w:rsidR="00F67872" w:rsidRDefault="0031706E">
      <w:pPr>
        <w:pStyle w:val="Odstavecseseznamem"/>
        <w:numPr>
          <w:ilvl w:val="0"/>
          <w:numId w:val="82"/>
        </w:numPr>
        <w:ind w:left="709"/>
      </w:pPr>
      <w:r>
        <w:t>Osídlení prostoru obce je dlouhodobě stabilizováno zejména v údolí Bystřice a jejích přítoků. Výjimku tvoří zástavba posluchovského kopce včetně napojení na Posluchov.</w:t>
      </w:r>
    </w:p>
    <w:p w14:paraId="7F47966D" w14:textId="0221922B" w:rsidR="0031706E" w:rsidRDefault="0031706E" w:rsidP="00F67872">
      <w:r>
        <w:t>Struktura osídlení tvoří spojitou soustavu sídle Mariánské údolí, Hlubočky a Hrubá Voda, postupně propojovanou rozvojem zejména bydlení. Severní část správního území je limitována veřejnou infrastrukturou a je přirozeně vymezena pro rekreační funkce. Usedlosti v krajině jsou stabilizovány a</w:t>
      </w:r>
      <w:r w:rsidR="00832B3E">
        <w:t> </w:t>
      </w:r>
      <w:r>
        <w:t>rozvíjeny kvalitativně</w:t>
      </w:r>
      <w:r w:rsidR="00832B3E">
        <w:t xml:space="preserve"> bez nových nároků na veřejnou infrastruktur</w:t>
      </w:r>
      <w:r>
        <w:t>.</w:t>
      </w:r>
    </w:p>
    <w:p w14:paraId="1CE8D9B8" w14:textId="77777777" w:rsidR="00F67872" w:rsidRPr="00040C21" w:rsidRDefault="00F67872" w:rsidP="00F67872">
      <w:pPr>
        <w:pStyle w:val="Nadpis3"/>
      </w:pPr>
      <w:bookmarkStart w:id="139" w:name="_Toc213941410"/>
      <w:bookmarkStart w:id="140" w:name="_Toc213941678"/>
      <w:bookmarkStart w:id="141" w:name="_Toc232612649"/>
      <w:r w:rsidRPr="00040C21">
        <w:t>Komunikační vazby</w:t>
      </w:r>
      <w:bookmarkEnd w:id="139"/>
      <w:bookmarkEnd w:id="140"/>
      <w:bookmarkEnd w:id="141"/>
    </w:p>
    <w:p w14:paraId="4212C59F" w14:textId="29E27831" w:rsidR="0031706E" w:rsidRPr="0031706E" w:rsidRDefault="0031706E">
      <w:pPr>
        <w:pStyle w:val="Odstavecseseznamem"/>
        <w:numPr>
          <w:ilvl w:val="0"/>
          <w:numId w:val="83"/>
        </w:numPr>
        <w:ind w:left="709"/>
      </w:pPr>
      <w:r w:rsidRPr="0031706E">
        <w:t>Obec vykazuje přirozenou vazbu hlavně na sousední obec Velkou Bystřici, ta je dána vzájemnou polohou a</w:t>
      </w:r>
      <w:r w:rsidR="00832B3E">
        <w:t> </w:t>
      </w:r>
      <w:r w:rsidRPr="0031706E">
        <w:t>vzdáleností obcí, přímou dopravní dostupností jak po silnici, tak i po železnici. Vazba na okresní město</w:t>
      </w:r>
      <w:r>
        <w:t xml:space="preserve"> </w:t>
      </w:r>
      <w:r w:rsidRPr="0031706E">
        <w:t>Olomouc je dána výbornou dostupností po železnici a kryje potřeby správní administrativy, vyššího školství,</w:t>
      </w:r>
      <w:r>
        <w:t xml:space="preserve"> </w:t>
      </w:r>
      <w:r w:rsidRPr="0031706E">
        <w:t>zdravotnických zařízení, kultury, sportovních aktivit atd. Řešené území nabízí svým charakterem svému</w:t>
      </w:r>
      <w:r>
        <w:t xml:space="preserve"> </w:t>
      </w:r>
      <w:r w:rsidRPr="0031706E">
        <w:t>okolí rekreační příležitosti ve formě pěší i cykloturistiky a regionálním významem i zimní sportovní aktivity.</w:t>
      </w:r>
    </w:p>
    <w:p w14:paraId="5AB9D596" w14:textId="70B34DF2" w:rsidR="0031706E" w:rsidRDefault="0031706E" w:rsidP="0031706E">
      <w:r w:rsidRPr="0031706E">
        <w:t xml:space="preserve">Dopravní vztahy jsou </w:t>
      </w:r>
      <w:r w:rsidR="00832B3E">
        <w:t>podrobněji popsány v kap.</w:t>
      </w:r>
      <w:r w:rsidR="00C25BF4">
        <w:t xml:space="preserve"> </w:t>
      </w:r>
      <w:r w:rsidR="00832B3E">
        <w:t>IX.f/2.3</w:t>
      </w:r>
      <w:r w:rsidRPr="0031706E">
        <w:t>. Trasa železnice</w:t>
      </w:r>
      <w:r>
        <w:t xml:space="preserve"> </w:t>
      </w:r>
      <w:r w:rsidRPr="0031706E">
        <w:t xml:space="preserve">celostátního významu je stabilizovaná a s ohledem na charakter území </w:t>
      </w:r>
      <w:r w:rsidR="00832B3E">
        <w:t>a jeho prostorové možnosti se změny ve směrovém vedení nepředpokládají</w:t>
      </w:r>
      <w:r w:rsidRPr="0031706E">
        <w:t>.</w:t>
      </w:r>
      <w:r>
        <w:t xml:space="preserve"> </w:t>
      </w:r>
      <w:r w:rsidR="00832B3E">
        <w:t>Revitalizace trati je předpokládána v rozsahu stabilizovaných ploch dopravy drážní. Komunikační síť pro silniční dopravu je stabilizovaná a je rozvíjena pouze místně</w:t>
      </w:r>
      <w:r w:rsidR="00655C75">
        <w:t>,</w:t>
      </w:r>
      <w:r w:rsidR="00832B3E">
        <w:t xml:space="preserve"> pro doplnění místních vazeb a </w:t>
      </w:r>
      <w:r w:rsidR="00655C75">
        <w:t xml:space="preserve">potřeby </w:t>
      </w:r>
      <w:r w:rsidR="00832B3E">
        <w:t>obsluhy území</w:t>
      </w:r>
      <w:r w:rsidRPr="0031706E">
        <w:t>.</w:t>
      </w:r>
    </w:p>
    <w:p w14:paraId="010D4DB2" w14:textId="2E6BFECE" w:rsidR="00655C75" w:rsidRPr="0031706E" w:rsidRDefault="00655C75" w:rsidP="0031706E">
      <w:r>
        <w:t>Z hlediska širších rekreačních vazeb jsou klíčové zejména rekreační trasy směrem na Radíkov a Svatý Kopeček, případně dále směrem na Šternberk. Významnou rekreační osou je Bystřice, zejména v úseku Hrubá Voda – Domašov nad Bystřicí.</w:t>
      </w:r>
    </w:p>
    <w:p w14:paraId="5A541F32" w14:textId="567529F3" w:rsidR="00F67872" w:rsidRDefault="0031706E" w:rsidP="0031706E">
      <w:r w:rsidRPr="0031706E">
        <w:t>Napojení obce na hlavní přívodní řady technické infrastruktury je dána hlavně charakterem terénu, VTL</w:t>
      </w:r>
      <w:r w:rsidR="005B2448">
        <w:t> </w:t>
      </w:r>
      <w:r w:rsidRPr="0031706E">
        <w:t>plynovod i VVN vstupují do řešeného území v jižní části Hluboček, zemní kabelové vedení VN je realizováno</w:t>
      </w:r>
      <w:r>
        <w:t xml:space="preserve"> </w:t>
      </w:r>
      <w:r w:rsidRPr="0031706E">
        <w:t>ze severní strany v části Smilova, vodovodní řad skupinového vodovodu je trasován ve směru od Olomouce</w:t>
      </w:r>
      <w:r>
        <w:t xml:space="preserve"> </w:t>
      </w:r>
      <w:r w:rsidRPr="0031706E">
        <w:t>přes místní část Posluchov do sídliště v Hlubočkách.</w:t>
      </w:r>
    </w:p>
    <w:p w14:paraId="683D99F4" w14:textId="77777777" w:rsidR="00F67872" w:rsidRDefault="00F67872" w:rsidP="00F67872">
      <w:pPr>
        <w:pStyle w:val="Nadpis3"/>
      </w:pPr>
      <w:bookmarkStart w:id="142" w:name="_Toc232612650"/>
      <w:r>
        <w:t>Podněty na koordinaci se sousedními obcemi</w:t>
      </w:r>
      <w:bookmarkEnd w:id="142"/>
    </w:p>
    <w:p w14:paraId="38263991" w14:textId="5AD17F41" w:rsidR="00AE610D" w:rsidRDefault="00111178">
      <w:pPr>
        <w:pStyle w:val="Odstavecseseznamem"/>
        <w:numPr>
          <w:ilvl w:val="0"/>
          <w:numId w:val="84"/>
        </w:numPr>
        <w:ind w:left="709"/>
      </w:pPr>
      <w:r>
        <w:t>ÚP Hlubočky neobsahuje podněty na koordinaci s</w:t>
      </w:r>
      <w:r w:rsidR="00655C75">
        <w:t>e</w:t>
      </w:r>
      <w:r>
        <w:t> sousedními obcemi.</w:t>
      </w:r>
    </w:p>
    <w:p w14:paraId="4789D7CE" w14:textId="54B96E27" w:rsidR="0031706E" w:rsidRDefault="0031706E">
      <w:pPr>
        <w:spacing w:before="0" w:after="0"/>
        <w:ind w:left="0"/>
        <w:jc w:val="left"/>
      </w:pPr>
      <w:r>
        <w:br w:type="page"/>
      </w:r>
    </w:p>
    <w:p w14:paraId="4AA0BAAA" w14:textId="6AB415CE" w:rsidR="00467755" w:rsidRPr="00040C21" w:rsidRDefault="002E3D64" w:rsidP="00D7638E">
      <w:pPr>
        <w:pStyle w:val="Nadpis1"/>
      </w:pPr>
      <w:bookmarkStart w:id="143" w:name="_Toc213947247"/>
      <w:bookmarkStart w:id="144" w:name="_Toc214308169"/>
      <w:bookmarkStart w:id="145" w:name="_Toc232612651"/>
      <w:r w:rsidRPr="00040C21">
        <w:lastRenderedPageBreak/>
        <w:t>Vyhodnocení účelného využití zastavěného území a</w:t>
      </w:r>
      <w:r>
        <w:t> </w:t>
      </w:r>
      <w:r w:rsidRPr="00040C21">
        <w:t>vyhodnocení potřeby vymezení zastavitelných ploch</w:t>
      </w:r>
      <w:bookmarkEnd w:id="143"/>
      <w:bookmarkEnd w:id="144"/>
      <w:bookmarkEnd w:id="145"/>
    </w:p>
    <w:p w14:paraId="6D77DB7D" w14:textId="0F69FC62" w:rsidR="002E3D64" w:rsidRDefault="002E3D64" w:rsidP="002E3D64">
      <w:pPr>
        <w:pStyle w:val="Nadpis2"/>
      </w:pPr>
      <w:bookmarkStart w:id="146" w:name="_Toc232612652"/>
      <w:r>
        <w:t>Vyhodnocení využití území dle Zprávy o uplatňování ÚP Hlubočky</w:t>
      </w:r>
      <w:bookmarkEnd w:id="146"/>
    </w:p>
    <w:p w14:paraId="4928EA57" w14:textId="3BDCFE5E" w:rsidR="002E3D64" w:rsidRPr="002E3D64" w:rsidRDefault="002E3D64" w:rsidP="002E3D64">
      <w:r>
        <w:t>Zpráva o uplatňování konstatuje následující stav využití území:</w:t>
      </w:r>
    </w:p>
    <w:p w14:paraId="1A51812F" w14:textId="024B1C22" w:rsidR="002E3D64" w:rsidRDefault="002E3D64" w:rsidP="002E3D64">
      <w:pPr>
        <w:pStyle w:val="Nadpis3"/>
      </w:pPr>
      <w:bookmarkStart w:id="147" w:name="_Toc232612653"/>
      <w:r>
        <w:t>Plochy bydlení</w:t>
      </w:r>
      <w:bookmarkEnd w:id="147"/>
    </w:p>
    <w:p w14:paraId="23729A61" w14:textId="77777777" w:rsidR="002E3D64" w:rsidRPr="002E3D64" w:rsidRDefault="002E3D64" w:rsidP="002E3D64">
      <w:pPr>
        <w:rPr>
          <w:b/>
          <w:bCs/>
        </w:rPr>
      </w:pPr>
      <w:r w:rsidRPr="002E3D64">
        <w:rPr>
          <w:b/>
          <w:bCs/>
        </w:rPr>
        <w:t>BH – plochy bydlení, bydlení v BD, vícepodlažní zástavba</w:t>
      </w:r>
    </w:p>
    <w:p w14:paraId="37312B4C" w14:textId="7E993D79" w:rsidR="002E3D64" w:rsidRPr="002E3D64" w:rsidRDefault="002E3D64" w:rsidP="002E3D64">
      <w:r w:rsidRPr="002E3D64">
        <w:t>V platném územním plánu jsou vymezeny pouze stabilizované plochy BH.</w:t>
      </w:r>
    </w:p>
    <w:p w14:paraId="122132A4" w14:textId="1682E8FF" w:rsidR="002E3D64" w:rsidRPr="002E3D64" w:rsidRDefault="002E3D64" w:rsidP="002E3D64">
      <w:pPr>
        <w:rPr>
          <w:b/>
          <w:bCs/>
        </w:rPr>
      </w:pPr>
      <w:r w:rsidRPr="002E3D64">
        <w:rPr>
          <w:b/>
          <w:bCs/>
        </w:rPr>
        <w:t xml:space="preserve">BI – plochy bydlení, městské a příměstské, nízkopodlažní zástavba </w:t>
      </w:r>
    </w:p>
    <w:p w14:paraId="1EA0697D" w14:textId="388DAD7A" w:rsidR="002E3D64" w:rsidRPr="002E3D64" w:rsidRDefault="002E3D64" w:rsidP="002E3D64">
      <w:r w:rsidRPr="002E3D64">
        <w:t xml:space="preserve">V ÚP Hlubočky je vymezeno 26 zastavitelných ploch bydlení BI – </w:t>
      </w:r>
      <w:r w:rsidR="00F820DD" w:rsidRPr="002E3D64">
        <w:t>bydlení – v</w:t>
      </w:r>
      <w:r w:rsidRPr="002E3D64">
        <w:t xml:space="preserve"> rodinných domech (popřípadě přestavbových ploch). </w:t>
      </w:r>
    </w:p>
    <w:p w14:paraId="4DB32329" w14:textId="0AFBA4D3" w:rsidR="002E3D64" w:rsidRDefault="002E3D64" w:rsidP="002E3D64">
      <w:r w:rsidRPr="002E3D64">
        <w:t>Tyto plochy jsou určeny pro 320 bytových jednotek. Realizováno bylo dosud 61 bytových jednotek, je tedy využito 19% z navrhovaných ploch.</w:t>
      </w:r>
    </w:p>
    <w:p w14:paraId="37B88794" w14:textId="078DEE60" w:rsidR="002E3D64" w:rsidRDefault="002E3D64" w:rsidP="002E3D64">
      <w:pPr>
        <w:pStyle w:val="Nadpis3"/>
      </w:pPr>
      <w:bookmarkStart w:id="148" w:name="_Toc232612654"/>
      <w:r>
        <w:t>Plochy rekreace</w:t>
      </w:r>
      <w:bookmarkEnd w:id="148"/>
    </w:p>
    <w:p w14:paraId="4F4A8ECA" w14:textId="77777777" w:rsidR="002E3D64" w:rsidRPr="002E3D64" w:rsidRDefault="002E3D64" w:rsidP="002E3D64">
      <w:pPr>
        <w:rPr>
          <w:b/>
          <w:bCs/>
        </w:rPr>
      </w:pPr>
      <w:r w:rsidRPr="002E3D64">
        <w:rPr>
          <w:b/>
          <w:bCs/>
        </w:rPr>
        <w:t xml:space="preserve">RH – plochy rekreace, plochy staveb pro hromadnou rekreaci </w:t>
      </w:r>
    </w:p>
    <w:p w14:paraId="7A54B6DE" w14:textId="77777777" w:rsidR="002E3D64" w:rsidRPr="002E3D64" w:rsidRDefault="002E3D64" w:rsidP="002E3D64">
      <w:r w:rsidRPr="002E3D64">
        <w:t xml:space="preserve">V ÚP Hlubočky je navrženo pět zastavitelných ploch pro rekreaci RH – plochy rekreace, plochy staveb pro hromadnou rekreaci o celkové výměře 16,2886 ha. Plochy jsou využity zhruba z poloviny. </w:t>
      </w:r>
    </w:p>
    <w:p w14:paraId="1EF85A89" w14:textId="77777777" w:rsidR="002E3D64" w:rsidRPr="002E3D64" w:rsidRDefault="002E3D64" w:rsidP="002E3D64">
      <w:pPr>
        <w:rPr>
          <w:b/>
          <w:bCs/>
        </w:rPr>
      </w:pPr>
      <w:r w:rsidRPr="002E3D64">
        <w:rPr>
          <w:b/>
          <w:bCs/>
        </w:rPr>
        <w:t xml:space="preserve">RI – plochy rekreace, plochy staveb pro rodinnou rekreaci </w:t>
      </w:r>
    </w:p>
    <w:p w14:paraId="38B60539" w14:textId="77777777" w:rsidR="002E3D64" w:rsidRPr="002E3D64" w:rsidRDefault="002E3D64" w:rsidP="002E3D64">
      <w:r w:rsidRPr="002E3D64">
        <w:t xml:space="preserve">V ÚP Hlubočky jsou navrženy tři zastavitelné plochy pro rekreaci RI – plochy rekreace, plochy staveb pro rodinnou rekreaci o celkové výměře 0,1869 ha. Plochy jsou plně využity. </w:t>
      </w:r>
    </w:p>
    <w:p w14:paraId="39F3322D" w14:textId="77777777" w:rsidR="002E3D64" w:rsidRPr="002E3D64" w:rsidRDefault="002E3D64" w:rsidP="002E3D64">
      <w:pPr>
        <w:rPr>
          <w:b/>
          <w:bCs/>
        </w:rPr>
      </w:pPr>
      <w:r w:rsidRPr="002E3D64">
        <w:rPr>
          <w:b/>
          <w:bCs/>
        </w:rPr>
        <w:t xml:space="preserve">RN – plochy rekreace, rekreace na plochách přírodního charakteru </w:t>
      </w:r>
    </w:p>
    <w:p w14:paraId="449450C3" w14:textId="41D8B35A" w:rsidR="002E3D64" w:rsidRDefault="002E3D64" w:rsidP="002E3D64">
      <w:r w:rsidRPr="002E3D64">
        <w:t>V ÚP Hlubočky jsou navrženy čtyři zastavitelné plochy pro rekreaci RI – plochy rekreace, plochy staveb pro rodinnou rekreaci o celkové výměře 6,6757 ha. Plochy jsou využity z poloviny.</w:t>
      </w:r>
    </w:p>
    <w:p w14:paraId="12D9610A" w14:textId="51DDBD4B" w:rsidR="002E3D64" w:rsidRDefault="002E3D64" w:rsidP="002E3D64">
      <w:pPr>
        <w:pStyle w:val="Nadpis3"/>
      </w:pPr>
      <w:bookmarkStart w:id="149" w:name="_Toc232612655"/>
      <w:r>
        <w:t>Plochy občanského vybavení</w:t>
      </w:r>
      <w:bookmarkEnd w:id="149"/>
    </w:p>
    <w:p w14:paraId="2E6128EE" w14:textId="77777777" w:rsidR="002E3D64" w:rsidRPr="002E3D64" w:rsidRDefault="002E3D64" w:rsidP="002E3D64">
      <w:pPr>
        <w:rPr>
          <w:b/>
          <w:bCs/>
        </w:rPr>
      </w:pPr>
      <w:r w:rsidRPr="002E3D64">
        <w:rPr>
          <w:b/>
          <w:bCs/>
        </w:rPr>
        <w:t xml:space="preserve">OV – plochy občanského vybavení, veřejná infrastruktura </w:t>
      </w:r>
    </w:p>
    <w:p w14:paraId="606BEF60" w14:textId="77777777" w:rsidR="002E3D64" w:rsidRPr="002E3D64" w:rsidRDefault="002E3D64" w:rsidP="002E3D64">
      <w:r w:rsidRPr="002E3D64">
        <w:t xml:space="preserve">V ÚP Hlubočky je vymezeny jedna zastavitelná plocha občanského vybavení OV – plochy občanského vybavení, veřejná infrastruktura o výměře 0,7376 ha. Plocha není využita. </w:t>
      </w:r>
    </w:p>
    <w:p w14:paraId="27CB2991" w14:textId="77777777" w:rsidR="002E3D64" w:rsidRPr="002E3D64" w:rsidRDefault="002E3D64" w:rsidP="002E3D64">
      <w:pPr>
        <w:rPr>
          <w:b/>
          <w:bCs/>
        </w:rPr>
      </w:pPr>
      <w:r w:rsidRPr="002E3D64">
        <w:rPr>
          <w:b/>
          <w:bCs/>
        </w:rPr>
        <w:t xml:space="preserve">OM – plochy občanského vybavení, komerční zařízení </w:t>
      </w:r>
    </w:p>
    <w:p w14:paraId="38066489" w14:textId="77777777" w:rsidR="002E3D64" w:rsidRPr="002E3D64" w:rsidRDefault="002E3D64" w:rsidP="002E3D64">
      <w:r w:rsidRPr="002E3D64">
        <w:t xml:space="preserve">V ÚP Hlubočky jsou vymezeny čtyři zastavitelné plochy občanského vybavení OM – plochy občanského vybavení, komerční zařízení o celkové výměře 1,82 ha. Plochy jsou využity z poloviny. </w:t>
      </w:r>
    </w:p>
    <w:p w14:paraId="684BB2D6" w14:textId="77777777" w:rsidR="002E3D64" w:rsidRPr="002E3D64" w:rsidRDefault="002E3D64" w:rsidP="002E3D64">
      <w:pPr>
        <w:rPr>
          <w:b/>
          <w:bCs/>
        </w:rPr>
      </w:pPr>
      <w:r w:rsidRPr="002E3D64">
        <w:rPr>
          <w:b/>
          <w:bCs/>
        </w:rPr>
        <w:t xml:space="preserve">OS – plochy občanského vybavení, tělovýchovná a sportovní zařízení </w:t>
      </w:r>
    </w:p>
    <w:p w14:paraId="418E4009" w14:textId="3B189821" w:rsidR="002E3D64" w:rsidRPr="002E3D64" w:rsidRDefault="002E3D64" w:rsidP="002E3D64">
      <w:r w:rsidRPr="002E3D64">
        <w:t>V ÚP Hlubočky jsou vymezeny tři zastavitelné plochy občanského vybavení OS – plochy občanského vybavení, tělovýchovná a sportovní zařízení o celkové výměře 3,2459 ha. Plochy jsou využity částečně.</w:t>
      </w:r>
    </w:p>
    <w:p w14:paraId="22F08D58" w14:textId="77777777" w:rsidR="002E3D64" w:rsidRPr="002E3D64" w:rsidRDefault="002E3D64" w:rsidP="002E3D64">
      <w:r w:rsidRPr="002E3D64">
        <w:rPr>
          <w:b/>
          <w:bCs/>
        </w:rPr>
        <w:t xml:space="preserve">OH – plochy občanského vybavení, hřbitovy </w:t>
      </w:r>
    </w:p>
    <w:p w14:paraId="590CAE5D" w14:textId="016B28BD" w:rsidR="00467755" w:rsidRDefault="002E3D64" w:rsidP="002E3D64">
      <w:r w:rsidRPr="002E3D64">
        <w:t>V ÚP Hlubočky jsou vymezeny pouze stabilizované plochy občanského vybavení OH – plochy občanského vybavení, hřbitovy.</w:t>
      </w:r>
    </w:p>
    <w:p w14:paraId="04F41E62" w14:textId="0645FACE" w:rsidR="002E3D64" w:rsidRDefault="002E3D64" w:rsidP="002E3D64">
      <w:pPr>
        <w:pStyle w:val="Nadpis3"/>
      </w:pPr>
      <w:bookmarkStart w:id="150" w:name="_Toc232612656"/>
      <w:r>
        <w:t>Plochy dopravní infrastruktury</w:t>
      </w:r>
      <w:bookmarkEnd w:id="150"/>
    </w:p>
    <w:p w14:paraId="5BE5F085" w14:textId="77777777" w:rsidR="002E3D64" w:rsidRPr="002E3D64" w:rsidRDefault="002E3D64" w:rsidP="002E3D64">
      <w:r w:rsidRPr="002E3D64">
        <w:rPr>
          <w:b/>
          <w:bCs/>
        </w:rPr>
        <w:t xml:space="preserve">DS – plochy dopravní infrastruktury, silniční doprava </w:t>
      </w:r>
    </w:p>
    <w:p w14:paraId="1F491142" w14:textId="77777777" w:rsidR="002E3D64" w:rsidRPr="002E3D64" w:rsidRDefault="002E3D64" w:rsidP="002E3D64">
      <w:r w:rsidRPr="002E3D64">
        <w:t xml:space="preserve">V ÚP Hlubočky je navržena jedna zastavitelná plocha DS – plochy dopravní infrastruktury, silniční doprava o výměře 0,53 ha. Plocha není využita </w:t>
      </w:r>
    </w:p>
    <w:p w14:paraId="5127DCE1" w14:textId="77777777" w:rsidR="002E3D64" w:rsidRPr="002E3D64" w:rsidRDefault="002E3D64" w:rsidP="002E3D64">
      <w:r w:rsidRPr="002E3D64">
        <w:rPr>
          <w:b/>
          <w:bCs/>
        </w:rPr>
        <w:t xml:space="preserve">DU – plochy dopravní infrastruktury, účelová doprava </w:t>
      </w:r>
    </w:p>
    <w:p w14:paraId="01517DA8" w14:textId="77777777" w:rsidR="002E3D64" w:rsidRPr="002E3D64" w:rsidRDefault="002E3D64" w:rsidP="002E3D64">
      <w:r w:rsidRPr="002E3D64">
        <w:t xml:space="preserve">V ÚP Hlubočky jsou vymezeny pouze stabilizované plochy DU – plochy dopravní infrastruktury, účelová doprava. </w:t>
      </w:r>
    </w:p>
    <w:p w14:paraId="2E4E484F" w14:textId="77777777" w:rsidR="002E3D64" w:rsidRPr="002E3D64" w:rsidRDefault="002E3D64" w:rsidP="002E3D64">
      <w:r w:rsidRPr="002E3D64">
        <w:rPr>
          <w:b/>
          <w:bCs/>
        </w:rPr>
        <w:t xml:space="preserve">DZ – plochy dopravní infrastruktury, železniční doprava </w:t>
      </w:r>
    </w:p>
    <w:p w14:paraId="0D83C998" w14:textId="0C38D3F9" w:rsidR="002E3D64" w:rsidRDefault="002E3D64" w:rsidP="002E3D64">
      <w:r w:rsidRPr="002E3D64">
        <w:t>V ÚP Hlubočky jsou vymezeny pouze stabilizované plochy DZ – plochy dopravní infrastruktury, železniční doprava.</w:t>
      </w:r>
    </w:p>
    <w:p w14:paraId="4FF50964" w14:textId="11C76EC7" w:rsidR="002E3D64" w:rsidRDefault="002E3D64" w:rsidP="002E3D64">
      <w:pPr>
        <w:pStyle w:val="Nadpis3"/>
      </w:pPr>
      <w:bookmarkStart w:id="151" w:name="_Toc232612657"/>
      <w:r>
        <w:lastRenderedPageBreak/>
        <w:t>Plochy technické infrastruktury</w:t>
      </w:r>
      <w:bookmarkEnd w:id="151"/>
    </w:p>
    <w:p w14:paraId="2E109A1D" w14:textId="2CAEFB8D" w:rsidR="002E3D64" w:rsidRPr="002E3D64" w:rsidRDefault="002E3D64" w:rsidP="002E3D64">
      <w:r w:rsidRPr="002E3D64">
        <w:rPr>
          <w:b/>
          <w:bCs/>
        </w:rPr>
        <w:t xml:space="preserve">TI – plochy technické infrastruktury, zařízení inženýrských sítí </w:t>
      </w:r>
    </w:p>
    <w:p w14:paraId="4DF51A42" w14:textId="77777777" w:rsidR="002E3D64" w:rsidRPr="002E3D64" w:rsidRDefault="002E3D64" w:rsidP="002E3D64">
      <w:r w:rsidRPr="002E3D64">
        <w:t xml:space="preserve">V ÚP Hlubočky jsou navrženy čtyři zastavitelné plochy TI – plochy technické infrastruktury, které jsou určeny pro realizaci ČOV v místních částech a pro rozšíření ČOV v Hlubočkách. Plochy zatím nebyly využity. </w:t>
      </w:r>
    </w:p>
    <w:p w14:paraId="4EFD3A01" w14:textId="77777777" w:rsidR="002E3D64" w:rsidRPr="002E3D64" w:rsidRDefault="002E3D64" w:rsidP="002E3D64">
      <w:r w:rsidRPr="002E3D64">
        <w:rPr>
          <w:b/>
          <w:bCs/>
        </w:rPr>
        <w:t xml:space="preserve">TO – plochy technické infrastruktury, plochy pro stavby a zařízení pro nakládání s odpady </w:t>
      </w:r>
    </w:p>
    <w:p w14:paraId="3E236DBD" w14:textId="44D7DA0C" w:rsidR="002E3D64" w:rsidRDefault="002E3D64" w:rsidP="002E3D64">
      <w:r w:rsidRPr="002E3D64">
        <w:t>V ÚP Hlubočky je navržena jedna zastavitelná plocha TO – plochy technické infrastruktury, plochy pro stavby a zařízení pro nakládání s odpady určená pro realizaci sběrového dvora a kompostárny. Plocha byla z části využita.</w:t>
      </w:r>
    </w:p>
    <w:p w14:paraId="1FE66E39" w14:textId="1DE3EBD0" w:rsidR="003A2C2D" w:rsidRDefault="003A2C2D" w:rsidP="003A2C2D">
      <w:pPr>
        <w:pStyle w:val="Nadpis3"/>
      </w:pPr>
      <w:bookmarkStart w:id="152" w:name="_Toc232612658"/>
      <w:r>
        <w:t>Plochy výroby a skladování</w:t>
      </w:r>
      <w:bookmarkEnd w:id="152"/>
    </w:p>
    <w:p w14:paraId="38298839" w14:textId="06A91710" w:rsidR="002E3D64" w:rsidRPr="002E3D64" w:rsidRDefault="002E3D64" w:rsidP="002E3D64">
      <w:r w:rsidRPr="002E3D64">
        <w:rPr>
          <w:b/>
          <w:bCs/>
        </w:rPr>
        <w:t xml:space="preserve">VL – plochy výroby a skladování, lehký průmysl </w:t>
      </w:r>
    </w:p>
    <w:p w14:paraId="2C5BD65D" w14:textId="77777777" w:rsidR="002E3D64" w:rsidRPr="002E3D64" w:rsidRDefault="002E3D64" w:rsidP="002E3D64">
      <w:r w:rsidRPr="002E3D64">
        <w:t xml:space="preserve">V ÚP Hlubočky je vymezena jedna zastavitelná plocha výroby a skladování VL – plochy pro výrobu a skladování, lehký průmysl. Plocha je využita. </w:t>
      </w:r>
    </w:p>
    <w:p w14:paraId="5A3B7797" w14:textId="77777777" w:rsidR="002E3D64" w:rsidRPr="002E3D64" w:rsidRDefault="002E3D64" w:rsidP="002E3D64">
      <w:r w:rsidRPr="002E3D64">
        <w:rPr>
          <w:b/>
          <w:bCs/>
        </w:rPr>
        <w:t xml:space="preserve">VD – plochy výroby a skladování, drobná a řemeslná výroba </w:t>
      </w:r>
    </w:p>
    <w:p w14:paraId="3667B279" w14:textId="77777777" w:rsidR="002E3D64" w:rsidRPr="002E3D64" w:rsidRDefault="002E3D64" w:rsidP="002E3D64">
      <w:r w:rsidRPr="002E3D64">
        <w:t xml:space="preserve">V ÚP Hlubočky jsou navrženy dvě zastavitelné plochy výroby a skladování VD – plochy výroby a skladování, drobná a řemeslná výroba. Plochy zatím nebyly využity. </w:t>
      </w:r>
    </w:p>
    <w:p w14:paraId="4336A4E6" w14:textId="77777777" w:rsidR="002E3D64" w:rsidRPr="002E3D64" w:rsidRDefault="002E3D64" w:rsidP="002E3D64">
      <w:r w:rsidRPr="002E3D64">
        <w:rPr>
          <w:b/>
          <w:bCs/>
        </w:rPr>
        <w:t xml:space="preserve">VZ – plochy výroby a skladování, zemědělská výroba </w:t>
      </w:r>
    </w:p>
    <w:p w14:paraId="2D42D982" w14:textId="2260D656" w:rsidR="002E3D64" w:rsidRDefault="002E3D64" w:rsidP="002E3D64">
      <w:r w:rsidRPr="002E3D64">
        <w:t>V ÚP Hlubočky jsou vymezeny dvě zastavitelné plochy výroby a skladování VZ – plochy výroby a skladování, zemědělská výroba. Jsou využity z poloviny.</w:t>
      </w:r>
    </w:p>
    <w:p w14:paraId="4CE93288" w14:textId="7318794E" w:rsidR="003A2C2D" w:rsidRDefault="003A2C2D" w:rsidP="003A2C2D">
      <w:pPr>
        <w:pStyle w:val="Nadpis3"/>
      </w:pPr>
      <w:bookmarkStart w:id="153" w:name="_Toc232612659"/>
      <w:r>
        <w:t>Plochy veřejných prostranství</w:t>
      </w:r>
      <w:bookmarkEnd w:id="153"/>
    </w:p>
    <w:p w14:paraId="40748AF2" w14:textId="7EF660B6" w:rsidR="002E3D64" w:rsidRPr="002E3D64" w:rsidRDefault="002E3D64" w:rsidP="002E3D64">
      <w:pPr>
        <w:rPr>
          <w:b/>
          <w:bCs/>
        </w:rPr>
      </w:pPr>
      <w:r w:rsidRPr="002E3D64">
        <w:rPr>
          <w:b/>
          <w:bCs/>
        </w:rPr>
        <w:t>PV – plochy veřejných prostranství, ulice, významné prostory</w:t>
      </w:r>
    </w:p>
    <w:p w14:paraId="520346F2" w14:textId="77777777" w:rsidR="002E3D64" w:rsidRPr="002E3D64" w:rsidRDefault="002E3D64" w:rsidP="002E3D64">
      <w:r w:rsidRPr="002E3D64">
        <w:t>V územním plánu jsou navrženy tři návrhové plochy veřejného prostranství PV – plochy veřejných</w:t>
      </w:r>
    </w:p>
    <w:p w14:paraId="62C5945E" w14:textId="77777777" w:rsidR="002E3D64" w:rsidRPr="002E3D64" w:rsidRDefault="002E3D64" w:rsidP="002E3D64">
      <w:r w:rsidRPr="002E3D64">
        <w:t>prostranství, ulice, významné prostory. Plochy jsou využity částečně.</w:t>
      </w:r>
    </w:p>
    <w:p w14:paraId="50D9CDE9" w14:textId="77777777" w:rsidR="002E3D64" w:rsidRPr="002E3D64" w:rsidRDefault="002E3D64" w:rsidP="002E3D64">
      <w:pPr>
        <w:rPr>
          <w:b/>
          <w:bCs/>
        </w:rPr>
      </w:pPr>
      <w:r w:rsidRPr="002E3D64">
        <w:rPr>
          <w:b/>
          <w:bCs/>
        </w:rPr>
        <w:t>ZV – plochy veřejných prostranství, veřejná zeleň</w:t>
      </w:r>
    </w:p>
    <w:p w14:paraId="4EBD55D6" w14:textId="77777777" w:rsidR="002E3D64" w:rsidRPr="002E3D64" w:rsidRDefault="002E3D64" w:rsidP="002E3D64">
      <w:r w:rsidRPr="002E3D64">
        <w:t>V ÚP Hlubočky jsou vymezeny tři návrhové plochy veřejného prostranství ZV – plochy veřejných</w:t>
      </w:r>
    </w:p>
    <w:p w14:paraId="2D06EB2E" w14:textId="5092C5B0" w:rsidR="002E3D64" w:rsidRDefault="002E3D64" w:rsidP="002E3D64">
      <w:r w:rsidRPr="002E3D64">
        <w:t>prostranství, veřejná zeleň. Plochy jsou využity částečně.</w:t>
      </w:r>
    </w:p>
    <w:p w14:paraId="58D3CCA1" w14:textId="77777777" w:rsidR="002E3D64" w:rsidRPr="002E3D64" w:rsidRDefault="002E3D64" w:rsidP="002E3D64">
      <w:r w:rsidRPr="002E3D64">
        <w:rPr>
          <w:b/>
          <w:bCs/>
        </w:rPr>
        <w:t xml:space="preserve">ZS – plochy zeleně, soukromá a vyhrazená zeleň, zahrady </w:t>
      </w:r>
    </w:p>
    <w:p w14:paraId="505E2ED4" w14:textId="77777777" w:rsidR="002E3D64" w:rsidRPr="002E3D64" w:rsidRDefault="002E3D64" w:rsidP="002E3D64">
      <w:r w:rsidRPr="002E3D64">
        <w:t xml:space="preserve">V ÚP Hlubočky jsou vymezeny dvě návrhové plochy zeleně ZS – plochy zeleně, soukromá a vyhrazená zeleň, zahrady. Plochy jsou využity částečně. </w:t>
      </w:r>
    </w:p>
    <w:p w14:paraId="48375BE6" w14:textId="77777777" w:rsidR="002E3D64" w:rsidRPr="002E3D64" w:rsidRDefault="002E3D64" w:rsidP="002E3D64">
      <w:r w:rsidRPr="002E3D64">
        <w:rPr>
          <w:b/>
          <w:bCs/>
        </w:rPr>
        <w:t xml:space="preserve">ZO – plochy zeleně, zeleň izolační a ochranná </w:t>
      </w:r>
    </w:p>
    <w:p w14:paraId="0ECD5B14" w14:textId="77777777" w:rsidR="002E3D64" w:rsidRPr="002E3D64" w:rsidRDefault="002E3D64" w:rsidP="002E3D64">
      <w:r w:rsidRPr="002E3D64">
        <w:t xml:space="preserve">V ÚP Hlubočky jsou vymezeny návrhové plochy zeleně ZO – plochy zeleně, zeleň izolační a ochranná. </w:t>
      </w:r>
    </w:p>
    <w:p w14:paraId="772BBD8B" w14:textId="77777777" w:rsidR="002E3D64" w:rsidRPr="002E3D64" w:rsidRDefault="002E3D64" w:rsidP="002E3D64">
      <w:r w:rsidRPr="002E3D64">
        <w:rPr>
          <w:b/>
          <w:bCs/>
        </w:rPr>
        <w:t xml:space="preserve">ZP – plochy zeleně, zeleň přírodního charakteru </w:t>
      </w:r>
    </w:p>
    <w:p w14:paraId="614C927A" w14:textId="64136EF0" w:rsidR="002E3D64" w:rsidRDefault="002E3D64" w:rsidP="002E3D64">
      <w:r w:rsidRPr="002E3D64">
        <w:t>V ÚP Hlubočky jsou vymezeny návrhové plochy zeleně ZP – plochy zeleně, zeleň přírodního charakteru.</w:t>
      </w:r>
    </w:p>
    <w:p w14:paraId="6EFE2BD6" w14:textId="78FDA1D7" w:rsidR="00724451" w:rsidRDefault="00724451" w:rsidP="00724451">
      <w:pPr>
        <w:pStyle w:val="Nadpis3"/>
      </w:pPr>
      <w:bookmarkStart w:id="154" w:name="_Toc232612660"/>
      <w:r>
        <w:t>Plochy vodní a vodohospodářské</w:t>
      </w:r>
      <w:bookmarkEnd w:id="154"/>
    </w:p>
    <w:p w14:paraId="33D93F41" w14:textId="036C5B7B" w:rsidR="00724451" w:rsidRPr="00724451" w:rsidRDefault="00724451" w:rsidP="00724451">
      <w:r w:rsidRPr="00724451">
        <w:rPr>
          <w:b/>
          <w:bCs/>
        </w:rPr>
        <w:t xml:space="preserve">W – plochy vodní, vodoteče a vodní nádrže </w:t>
      </w:r>
    </w:p>
    <w:p w14:paraId="572A87CA" w14:textId="305C65D9" w:rsidR="00724451" w:rsidRDefault="00724451" w:rsidP="00724451">
      <w:r w:rsidRPr="00724451">
        <w:t>V území jsou stabilizovány plochy vodních toků – řeky Bystřice, potoky Lichnička, Zdiměřský, Trnava, Hluboček, Nepřívazský, Posluchovský, Zlatý důl a vodní nádrž na návsi v Posluchově.</w:t>
      </w:r>
    </w:p>
    <w:p w14:paraId="5901F9F4" w14:textId="547B75D1" w:rsidR="00724451" w:rsidRDefault="00724451" w:rsidP="00724451">
      <w:pPr>
        <w:pStyle w:val="Nadpis3"/>
      </w:pPr>
      <w:bookmarkStart w:id="155" w:name="_Toc232612661"/>
      <w:r>
        <w:t>Plochy ostatní v krajině</w:t>
      </w:r>
      <w:bookmarkEnd w:id="155"/>
    </w:p>
    <w:p w14:paraId="559AD55F" w14:textId="765C9661" w:rsidR="00724451" w:rsidRPr="00724451" w:rsidRDefault="00724451" w:rsidP="00724451">
      <w:r w:rsidRPr="00724451">
        <w:rPr>
          <w:b/>
          <w:bCs/>
        </w:rPr>
        <w:t xml:space="preserve">NZ – plochy zemědělské </w:t>
      </w:r>
    </w:p>
    <w:p w14:paraId="2FF87EB2" w14:textId="77777777" w:rsidR="00724451" w:rsidRPr="00724451" w:rsidRDefault="00724451" w:rsidP="00724451">
      <w:r w:rsidRPr="00724451">
        <w:t xml:space="preserve">V ÚP Hlubočky jsou vymezeny pouze stabilizované plochy NZ – plochy zemědělské. </w:t>
      </w:r>
    </w:p>
    <w:p w14:paraId="6B213CB1" w14:textId="77777777" w:rsidR="00724451" w:rsidRPr="00724451" w:rsidRDefault="00724451" w:rsidP="00724451">
      <w:r w:rsidRPr="00724451">
        <w:rPr>
          <w:b/>
          <w:bCs/>
        </w:rPr>
        <w:t xml:space="preserve">NL – plochy lesní </w:t>
      </w:r>
    </w:p>
    <w:p w14:paraId="75223DD2" w14:textId="77777777" w:rsidR="00724451" w:rsidRPr="00724451" w:rsidRDefault="00724451" w:rsidP="00724451">
      <w:r w:rsidRPr="00724451">
        <w:t xml:space="preserve">V ÚP Hlubočky jsou vymezeny pouze stabilizované plochy NL – plochy lesní. </w:t>
      </w:r>
    </w:p>
    <w:p w14:paraId="3DAA944E" w14:textId="77777777" w:rsidR="00724451" w:rsidRPr="00724451" w:rsidRDefault="00724451" w:rsidP="00724451">
      <w:r w:rsidRPr="00724451">
        <w:rPr>
          <w:b/>
          <w:bCs/>
        </w:rPr>
        <w:t xml:space="preserve">NP – plochy přírodní, chráněné </w:t>
      </w:r>
    </w:p>
    <w:p w14:paraId="54084748" w14:textId="77777777" w:rsidR="00724451" w:rsidRPr="00724451" w:rsidRDefault="00724451" w:rsidP="00724451">
      <w:r w:rsidRPr="00724451">
        <w:t xml:space="preserve">V ÚP Hlubočky je vymezena jedna návrhová plocha NP – plochy přírodní, chráněné. </w:t>
      </w:r>
    </w:p>
    <w:p w14:paraId="5CA371EB" w14:textId="77777777" w:rsidR="00724451" w:rsidRPr="00724451" w:rsidRDefault="00724451" w:rsidP="00724451">
      <w:r w:rsidRPr="00724451">
        <w:rPr>
          <w:b/>
          <w:bCs/>
        </w:rPr>
        <w:t xml:space="preserve">NB – plochy břidlicových sutí </w:t>
      </w:r>
    </w:p>
    <w:p w14:paraId="05561945" w14:textId="77777777" w:rsidR="00724451" w:rsidRPr="00724451" w:rsidRDefault="00724451" w:rsidP="00724451">
      <w:r w:rsidRPr="00724451">
        <w:t xml:space="preserve">V ÚP Hlubočky jsou vymezeny pouze stabilizované plochy NB – plochy břidlicových sutí. </w:t>
      </w:r>
    </w:p>
    <w:p w14:paraId="531417D3" w14:textId="77777777" w:rsidR="00724451" w:rsidRPr="00724451" w:rsidRDefault="00724451" w:rsidP="00724451">
      <w:r w:rsidRPr="00724451">
        <w:rPr>
          <w:b/>
          <w:bCs/>
        </w:rPr>
        <w:t xml:space="preserve">TZ – plochy těžby povrchové </w:t>
      </w:r>
    </w:p>
    <w:p w14:paraId="44E2D67D" w14:textId="77777777" w:rsidR="00724451" w:rsidRPr="00724451" w:rsidRDefault="00724451" w:rsidP="00724451">
      <w:r w:rsidRPr="00724451">
        <w:lastRenderedPageBreak/>
        <w:t xml:space="preserve">V ÚP Hlubočky jsou vymezeny pouze stabilizované plochy TZ – plochy těžby povrchové. </w:t>
      </w:r>
    </w:p>
    <w:p w14:paraId="4D4B5546" w14:textId="77777777" w:rsidR="00724451" w:rsidRPr="00724451" w:rsidRDefault="00724451" w:rsidP="00724451">
      <w:r w:rsidRPr="00724451">
        <w:rPr>
          <w:b/>
          <w:bCs/>
        </w:rPr>
        <w:t xml:space="preserve">NT – plochy těžby důlní </w:t>
      </w:r>
    </w:p>
    <w:p w14:paraId="5E132C6E" w14:textId="77777777" w:rsidR="00724451" w:rsidRPr="00724451" w:rsidRDefault="00724451" w:rsidP="00724451">
      <w:r w:rsidRPr="00724451">
        <w:t xml:space="preserve">V ÚP Hlubočky jsou vymezeny pouze stabilizované plochy NT – plochy těžby důlní. </w:t>
      </w:r>
    </w:p>
    <w:p w14:paraId="209C552D" w14:textId="77777777" w:rsidR="00724451" w:rsidRPr="00724451" w:rsidRDefault="00724451" w:rsidP="00724451">
      <w:r w:rsidRPr="00724451">
        <w:rPr>
          <w:b/>
          <w:bCs/>
        </w:rPr>
        <w:t xml:space="preserve">ÚSES – plochy územního systému ekologické stability </w:t>
      </w:r>
    </w:p>
    <w:p w14:paraId="1A28CD85" w14:textId="287C5154" w:rsidR="00B7160D" w:rsidRDefault="00724451" w:rsidP="00724451">
      <w:r w:rsidRPr="00724451">
        <w:t>V ÚP Hlubočky jsou vymezeny stabilizované plochy ÚSES. Dále je navrženo regionální biocentrum a interakční prvky.</w:t>
      </w:r>
    </w:p>
    <w:p w14:paraId="073EB001" w14:textId="42332B38" w:rsidR="00F820DD" w:rsidRDefault="00F820DD" w:rsidP="00F820DD">
      <w:pPr>
        <w:pStyle w:val="Nadpis2"/>
      </w:pPr>
      <w:bookmarkStart w:id="156" w:name="_Toc232612662"/>
      <w:r>
        <w:t>Východiska</w:t>
      </w:r>
      <w:bookmarkEnd w:id="156"/>
    </w:p>
    <w:p w14:paraId="1603D9B7" w14:textId="1A2B055C" w:rsidR="005B58A3" w:rsidRDefault="005B58A3" w:rsidP="005B58A3">
      <w:pPr>
        <w:pStyle w:val="Nadpis3"/>
      </w:pPr>
      <w:bookmarkStart w:id="157" w:name="_Toc232612663"/>
      <w:r>
        <w:t>Sociodemografické podmínky</w:t>
      </w:r>
      <w:bookmarkEnd w:id="157"/>
    </w:p>
    <w:p w14:paraId="6EADBFB2" w14:textId="44B77ACF" w:rsidR="005B58A3" w:rsidRDefault="005B58A3" w:rsidP="008A41F9">
      <w:pPr>
        <w:pStyle w:val="Nadpis4"/>
      </w:pPr>
      <w:r>
        <w:t>Vývoj počtu obyvatel</w:t>
      </w:r>
    </w:p>
    <w:p w14:paraId="6990934E" w14:textId="1ADEA21D" w:rsidR="00FD18BB" w:rsidRDefault="00FD18BB" w:rsidP="00FD18BB">
      <w:r>
        <w:t>Hlubočky</w:t>
      </w:r>
      <w:r w:rsidRPr="009E6CF2">
        <w:t xml:space="preserve"> dosáhly nejvyššího počtu obyvatel v roce </w:t>
      </w:r>
      <w:r>
        <w:t>1980</w:t>
      </w:r>
      <w:r w:rsidRPr="009E6CF2">
        <w:t xml:space="preserve"> a to konkrétně počtu </w:t>
      </w:r>
      <w:r>
        <w:t>5 005</w:t>
      </w:r>
      <w:r w:rsidRPr="009E6CF2">
        <w:t xml:space="preserve"> obyvatel. Před tímto rokem počet obyvatel postupně gradoval</w:t>
      </w:r>
      <w:r>
        <w:t xml:space="preserve"> od počátku minulého století.</w:t>
      </w:r>
      <w:r w:rsidRPr="009E6CF2">
        <w:t xml:space="preserve"> </w:t>
      </w:r>
      <w:r>
        <w:t>Od roku 1980 počet obyvatel setrvale klesá, což je dáno zejména proměnou průmyslového charakteru obce na sportovně-rekreační zázemí Olomouce</w:t>
      </w:r>
      <w:r w:rsidRPr="00D15C55">
        <w:t>.</w:t>
      </w:r>
    </w:p>
    <w:p w14:paraId="1A84BAF8" w14:textId="6998A97E" w:rsidR="00427E5F" w:rsidRPr="009E6CF2" w:rsidRDefault="00427E5F" w:rsidP="00427E5F">
      <w:r>
        <w:t>Mezi lety 2022 a 2024 byl zaznamenán mírný nárůst obyvatel, způsobeny zejména přírůstkem stěhováním. V roce 2025 dochází opět k mírnému snížení počtu obyvatel, počet obyvatel v posledních deseti letech osciluje kolem hodnoty ~ 4 200 obyvatel.</w:t>
      </w:r>
    </w:p>
    <w:p w14:paraId="3CE3A164" w14:textId="77777777" w:rsidR="005B58A3" w:rsidRPr="006C66C2" w:rsidRDefault="005B58A3" w:rsidP="005B58A3">
      <w:r w:rsidRPr="006C66C2">
        <w:t xml:space="preserve">Dlouhodobý vývoj počtu obyvatel v řešeném území </w:t>
      </w:r>
    </w:p>
    <w:tbl>
      <w:tblPr>
        <w:tblStyle w:val="Mkatabulky2"/>
        <w:tblW w:w="7655" w:type="dxa"/>
        <w:tblInd w:w="709" w:type="dxa"/>
        <w:tblBorders>
          <w:top w:val="dashSmallGap" w:sz="4" w:space="0" w:color="000000"/>
          <w:left w:val="none" w:sz="0" w:space="0" w:color="auto"/>
          <w:bottom w:val="dashSmallGap" w:sz="4" w:space="0" w:color="000000"/>
          <w:right w:val="none" w:sz="0" w:space="0" w:color="auto"/>
          <w:insideH w:val="dashSmallGap" w:sz="4" w:space="0" w:color="000000"/>
          <w:insideV w:val="none" w:sz="0" w:space="0" w:color="auto"/>
        </w:tblBorders>
        <w:tblLook w:val="04A0" w:firstRow="1" w:lastRow="0" w:firstColumn="1" w:lastColumn="0" w:noHBand="0" w:noVBand="1"/>
      </w:tblPr>
      <w:tblGrid>
        <w:gridCol w:w="2122"/>
        <w:gridCol w:w="5533"/>
      </w:tblGrid>
      <w:tr w:rsidR="005B58A3" w:rsidRPr="002477E3" w14:paraId="5965324F" w14:textId="77777777" w:rsidTr="00841879">
        <w:trPr>
          <w:trHeight w:val="227"/>
          <w:tblHeader/>
        </w:trPr>
        <w:tc>
          <w:tcPr>
            <w:tcW w:w="2122" w:type="dxa"/>
            <w:hideMark/>
          </w:tcPr>
          <w:p w14:paraId="03B33C18" w14:textId="77777777" w:rsidR="005B58A3" w:rsidRPr="002477E3" w:rsidRDefault="005B58A3" w:rsidP="00231945">
            <w:pPr>
              <w:ind w:left="0"/>
              <w:contextualSpacing/>
              <w:rPr>
                <w:rFonts w:asciiTheme="minorHAnsi" w:hAnsiTheme="minorHAnsi" w:cstheme="minorHAnsi"/>
                <w:b/>
                <w:bCs/>
                <w:szCs w:val="18"/>
              </w:rPr>
            </w:pPr>
            <w:r w:rsidRPr="002477E3">
              <w:rPr>
                <w:rFonts w:asciiTheme="minorHAnsi" w:hAnsiTheme="minorHAnsi" w:cstheme="minorHAnsi"/>
                <w:b/>
                <w:szCs w:val="18"/>
              </w:rPr>
              <w:t>Sčítání v roce</w:t>
            </w:r>
          </w:p>
        </w:tc>
        <w:tc>
          <w:tcPr>
            <w:tcW w:w="5533" w:type="dxa"/>
            <w:hideMark/>
          </w:tcPr>
          <w:p w14:paraId="0E151221" w14:textId="77777777" w:rsidR="005B58A3" w:rsidRPr="002477E3" w:rsidRDefault="005B58A3" w:rsidP="00231945">
            <w:pPr>
              <w:ind w:left="0"/>
              <w:contextualSpacing/>
              <w:jc w:val="right"/>
              <w:rPr>
                <w:rFonts w:asciiTheme="minorHAnsi" w:hAnsiTheme="minorHAnsi" w:cstheme="minorHAnsi"/>
                <w:b/>
                <w:bCs/>
                <w:szCs w:val="18"/>
              </w:rPr>
            </w:pPr>
            <w:r w:rsidRPr="002477E3">
              <w:rPr>
                <w:rFonts w:asciiTheme="minorHAnsi" w:hAnsiTheme="minorHAnsi" w:cstheme="minorHAnsi"/>
                <w:b/>
                <w:szCs w:val="18"/>
              </w:rPr>
              <w:t>Počet obyvatel</w:t>
            </w:r>
          </w:p>
        </w:tc>
      </w:tr>
      <w:tr w:rsidR="00FD18BB" w:rsidRPr="00FD18BB" w14:paraId="553CDDC2" w14:textId="77777777" w:rsidTr="00841879">
        <w:trPr>
          <w:trHeight w:val="227"/>
          <w:tblHeader/>
        </w:trPr>
        <w:tc>
          <w:tcPr>
            <w:tcW w:w="2122" w:type="dxa"/>
          </w:tcPr>
          <w:p w14:paraId="0DC34467" w14:textId="6670193C" w:rsidR="00FD18BB" w:rsidRPr="00FD18BB" w:rsidRDefault="00FD18BB" w:rsidP="00231945">
            <w:pPr>
              <w:ind w:left="0"/>
              <w:contextualSpacing/>
              <w:rPr>
                <w:rFonts w:asciiTheme="minorHAnsi" w:hAnsiTheme="minorHAnsi" w:cstheme="minorHAnsi"/>
                <w:bCs/>
                <w:szCs w:val="18"/>
              </w:rPr>
            </w:pPr>
            <w:r w:rsidRPr="00FD18BB">
              <w:rPr>
                <w:rFonts w:asciiTheme="minorHAnsi" w:hAnsiTheme="minorHAnsi" w:cstheme="minorHAnsi"/>
                <w:bCs/>
                <w:szCs w:val="18"/>
              </w:rPr>
              <w:t>1900</w:t>
            </w:r>
          </w:p>
        </w:tc>
        <w:tc>
          <w:tcPr>
            <w:tcW w:w="5533" w:type="dxa"/>
          </w:tcPr>
          <w:p w14:paraId="1723D8B2" w14:textId="1716262A" w:rsidR="00FD18BB" w:rsidRPr="00FD18BB" w:rsidRDefault="00FD18BB" w:rsidP="00231945">
            <w:pPr>
              <w:ind w:left="0"/>
              <w:contextualSpacing/>
              <w:jc w:val="right"/>
              <w:rPr>
                <w:rFonts w:asciiTheme="minorHAnsi" w:hAnsiTheme="minorHAnsi" w:cstheme="minorHAnsi"/>
                <w:bCs/>
                <w:szCs w:val="18"/>
              </w:rPr>
            </w:pPr>
            <w:r w:rsidRPr="00FD18BB">
              <w:rPr>
                <w:rFonts w:asciiTheme="minorHAnsi" w:hAnsiTheme="minorHAnsi" w:cstheme="minorHAnsi"/>
                <w:bCs/>
                <w:szCs w:val="18"/>
              </w:rPr>
              <w:t>1 385</w:t>
            </w:r>
          </w:p>
        </w:tc>
      </w:tr>
      <w:tr w:rsidR="00FD18BB" w:rsidRPr="00FD18BB" w14:paraId="18107C9F" w14:textId="77777777" w:rsidTr="00841879">
        <w:trPr>
          <w:trHeight w:val="227"/>
          <w:tblHeader/>
        </w:trPr>
        <w:tc>
          <w:tcPr>
            <w:tcW w:w="2122" w:type="dxa"/>
          </w:tcPr>
          <w:p w14:paraId="1813ECCC" w14:textId="41EAEECC" w:rsidR="00FD18BB" w:rsidRPr="00FD18BB" w:rsidRDefault="00FD18BB" w:rsidP="00231945">
            <w:pPr>
              <w:ind w:left="0"/>
              <w:contextualSpacing/>
              <w:rPr>
                <w:rFonts w:asciiTheme="minorHAnsi" w:hAnsiTheme="minorHAnsi" w:cstheme="minorHAnsi"/>
                <w:bCs/>
                <w:szCs w:val="18"/>
              </w:rPr>
            </w:pPr>
            <w:r w:rsidRPr="00FD18BB">
              <w:rPr>
                <w:rFonts w:asciiTheme="minorHAnsi" w:hAnsiTheme="minorHAnsi" w:cstheme="minorHAnsi"/>
                <w:bCs/>
                <w:szCs w:val="18"/>
              </w:rPr>
              <w:t>1910</w:t>
            </w:r>
          </w:p>
        </w:tc>
        <w:tc>
          <w:tcPr>
            <w:tcW w:w="5533" w:type="dxa"/>
          </w:tcPr>
          <w:p w14:paraId="4F7008DA" w14:textId="36E076D9" w:rsidR="00FD18BB" w:rsidRPr="00FD18BB" w:rsidRDefault="00FD18BB" w:rsidP="00231945">
            <w:pPr>
              <w:ind w:left="0"/>
              <w:contextualSpacing/>
              <w:jc w:val="right"/>
              <w:rPr>
                <w:rFonts w:asciiTheme="minorHAnsi" w:hAnsiTheme="minorHAnsi" w:cstheme="minorHAnsi"/>
                <w:bCs/>
                <w:szCs w:val="18"/>
              </w:rPr>
            </w:pPr>
            <w:r w:rsidRPr="00FD18BB">
              <w:rPr>
                <w:rFonts w:asciiTheme="minorHAnsi" w:hAnsiTheme="minorHAnsi" w:cstheme="minorHAnsi"/>
                <w:bCs/>
                <w:szCs w:val="18"/>
              </w:rPr>
              <w:t>1 495</w:t>
            </w:r>
          </w:p>
        </w:tc>
      </w:tr>
      <w:tr w:rsidR="00FD18BB" w:rsidRPr="00FD18BB" w14:paraId="28EC37D6" w14:textId="77777777" w:rsidTr="00841879">
        <w:trPr>
          <w:trHeight w:val="227"/>
          <w:tblHeader/>
        </w:trPr>
        <w:tc>
          <w:tcPr>
            <w:tcW w:w="2122" w:type="dxa"/>
          </w:tcPr>
          <w:p w14:paraId="641C7D98" w14:textId="78726E26" w:rsidR="00FD18BB" w:rsidRPr="00FD18BB" w:rsidRDefault="00FD18BB" w:rsidP="00231945">
            <w:pPr>
              <w:ind w:left="0"/>
              <w:contextualSpacing/>
              <w:rPr>
                <w:rFonts w:asciiTheme="minorHAnsi" w:hAnsiTheme="minorHAnsi" w:cstheme="minorHAnsi"/>
                <w:bCs/>
                <w:szCs w:val="18"/>
              </w:rPr>
            </w:pPr>
            <w:r w:rsidRPr="00FD18BB">
              <w:rPr>
                <w:rFonts w:asciiTheme="minorHAnsi" w:hAnsiTheme="minorHAnsi" w:cstheme="minorHAnsi"/>
                <w:bCs/>
                <w:szCs w:val="18"/>
              </w:rPr>
              <w:t>1921</w:t>
            </w:r>
          </w:p>
        </w:tc>
        <w:tc>
          <w:tcPr>
            <w:tcW w:w="5533" w:type="dxa"/>
          </w:tcPr>
          <w:p w14:paraId="340B19DE" w14:textId="30F10449" w:rsidR="00FD18BB" w:rsidRPr="00FD18BB" w:rsidRDefault="00FD18BB" w:rsidP="00231945">
            <w:pPr>
              <w:ind w:left="0"/>
              <w:contextualSpacing/>
              <w:jc w:val="right"/>
              <w:rPr>
                <w:rFonts w:asciiTheme="minorHAnsi" w:hAnsiTheme="minorHAnsi" w:cstheme="minorHAnsi"/>
                <w:bCs/>
                <w:szCs w:val="18"/>
              </w:rPr>
            </w:pPr>
            <w:r w:rsidRPr="00FD18BB">
              <w:rPr>
                <w:rFonts w:asciiTheme="minorHAnsi" w:hAnsiTheme="minorHAnsi" w:cstheme="minorHAnsi"/>
                <w:bCs/>
                <w:szCs w:val="18"/>
              </w:rPr>
              <w:t>1 906</w:t>
            </w:r>
          </w:p>
        </w:tc>
      </w:tr>
      <w:tr w:rsidR="00FD18BB" w:rsidRPr="00FD18BB" w14:paraId="6B37E691" w14:textId="77777777" w:rsidTr="00841879">
        <w:trPr>
          <w:trHeight w:val="227"/>
          <w:tblHeader/>
        </w:trPr>
        <w:tc>
          <w:tcPr>
            <w:tcW w:w="2122" w:type="dxa"/>
          </w:tcPr>
          <w:p w14:paraId="571D25F7" w14:textId="551D535C" w:rsidR="00FD18BB" w:rsidRPr="00FD18BB" w:rsidRDefault="00FD18BB" w:rsidP="00231945">
            <w:pPr>
              <w:ind w:left="0"/>
              <w:contextualSpacing/>
              <w:rPr>
                <w:rFonts w:asciiTheme="minorHAnsi" w:hAnsiTheme="minorHAnsi" w:cstheme="minorHAnsi"/>
                <w:bCs/>
                <w:szCs w:val="18"/>
              </w:rPr>
            </w:pPr>
            <w:r w:rsidRPr="00FD18BB">
              <w:rPr>
                <w:rFonts w:asciiTheme="minorHAnsi" w:hAnsiTheme="minorHAnsi" w:cstheme="minorHAnsi"/>
                <w:bCs/>
                <w:szCs w:val="18"/>
              </w:rPr>
              <w:t>1930</w:t>
            </w:r>
          </w:p>
        </w:tc>
        <w:tc>
          <w:tcPr>
            <w:tcW w:w="5533" w:type="dxa"/>
          </w:tcPr>
          <w:p w14:paraId="1446625B" w14:textId="26C19144" w:rsidR="00FD18BB" w:rsidRPr="00FD18BB" w:rsidRDefault="00FD18BB" w:rsidP="00231945">
            <w:pPr>
              <w:ind w:left="0"/>
              <w:contextualSpacing/>
              <w:jc w:val="right"/>
              <w:rPr>
                <w:rFonts w:asciiTheme="minorHAnsi" w:hAnsiTheme="minorHAnsi" w:cstheme="minorHAnsi"/>
                <w:bCs/>
                <w:szCs w:val="18"/>
              </w:rPr>
            </w:pPr>
            <w:r w:rsidRPr="00FD18BB">
              <w:rPr>
                <w:rFonts w:asciiTheme="minorHAnsi" w:hAnsiTheme="minorHAnsi" w:cstheme="minorHAnsi"/>
                <w:bCs/>
                <w:szCs w:val="18"/>
              </w:rPr>
              <w:t>2 088</w:t>
            </w:r>
          </w:p>
        </w:tc>
      </w:tr>
      <w:tr w:rsidR="00FD18BB" w:rsidRPr="00FD18BB" w14:paraId="1FB16AE4" w14:textId="77777777" w:rsidTr="00841879">
        <w:trPr>
          <w:trHeight w:val="227"/>
          <w:tblHeader/>
        </w:trPr>
        <w:tc>
          <w:tcPr>
            <w:tcW w:w="2122" w:type="dxa"/>
          </w:tcPr>
          <w:p w14:paraId="0BAAE1CE" w14:textId="62B00488" w:rsidR="00FD18BB" w:rsidRPr="00FD18BB" w:rsidRDefault="00FD18BB" w:rsidP="00231945">
            <w:pPr>
              <w:ind w:left="0"/>
              <w:contextualSpacing/>
              <w:rPr>
                <w:rFonts w:asciiTheme="minorHAnsi" w:hAnsiTheme="minorHAnsi" w:cstheme="minorHAnsi"/>
                <w:bCs/>
                <w:szCs w:val="18"/>
              </w:rPr>
            </w:pPr>
            <w:r w:rsidRPr="00FD18BB">
              <w:rPr>
                <w:rFonts w:asciiTheme="minorHAnsi" w:hAnsiTheme="minorHAnsi" w:cstheme="minorHAnsi"/>
                <w:bCs/>
                <w:szCs w:val="18"/>
              </w:rPr>
              <w:t>1950</w:t>
            </w:r>
          </w:p>
        </w:tc>
        <w:tc>
          <w:tcPr>
            <w:tcW w:w="5533" w:type="dxa"/>
          </w:tcPr>
          <w:p w14:paraId="35A540BD" w14:textId="359CF036" w:rsidR="00FD18BB" w:rsidRPr="00FD18BB" w:rsidRDefault="00FD18BB" w:rsidP="00231945">
            <w:pPr>
              <w:ind w:left="0"/>
              <w:contextualSpacing/>
              <w:jc w:val="right"/>
              <w:rPr>
                <w:rFonts w:asciiTheme="minorHAnsi" w:hAnsiTheme="minorHAnsi" w:cstheme="minorHAnsi"/>
                <w:bCs/>
                <w:szCs w:val="18"/>
              </w:rPr>
            </w:pPr>
            <w:r w:rsidRPr="00FD18BB">
              <w:rPr>
                <w:rFonts w:asciiTheme="minorHAnsi" w:hAnsiTheme="minorHAnsi" w:cstheme="minorHAnsi"/>
                <w:bCs/>
                <w:szCs w:val="18"/>
              </w:rPr>
              <w:t>2 586</w:t>
            </w:r>
          </w:p>
        </w:tc>
      </w:tr>
      <w:tr w:rsidR="00FD18BB" w:rsidRPr="00FD18BB" w14:paraId="7E4EA49E" w14:textId="77777777" w:rsidTr="00841879">
        <w:trPr>
          <w:trHeight w:val="227"/>
          <w:tblHeader/>
        </w:trPr>
        <w:tc>
          <w:tcPr>
            <w:tcW w:w="2122" w:type="dxa"/>
          </w:tcPr>
          <w:p w14:paraId="6AF0FABD" w14:textId="4D836905" w:rsidR="00FD18BB" w:rsidRPr="00FD18BB" w:rsidRDefault="00FD18BB" w:rsidP="00231945">
            <w:pPr>
              <w:ind w:left="0"/>
              <w:contextualSpacing/>
              <w:rPr>
                <w:rFonts w:asciiTheme="minorHAnsi" w:hAnsiTheme="minorHAnsi" w:cstheme="minorHAnsi"/>
                <w:bCs/>
                <w:szCs w:val="18"/>
              </w:rPr>
            </w:pPr>
            <w:r w:rsidRPr="00FD18BB">
              <w:rPr>
                <w:rFonts w:asciiTheme="minorHAnsi" w:hAnsiTheme="minorHAnsi" w:cstheme="minorHAnsi"/>
                <w:bCs/>
                <w:szCs w:val="18"/>
              </w:rPr>
              <w:t>1961</w:t>
            </w:r>
          </w:p>
        </w:tc>
        <w:tc>
          <w:tcPr>
            <w:tcW w:w="5533" w:type="dxa"/>
          </w:tcPr>
          <w:p w14:paraId="39D011FB" w14:textId="5AFB9556" w:rsidR="00FD18BB" w:rsidRPr="00FD18BB" w:rsidRDefault="00FD18BB" w:rsidP="00231945">
            <w:pPr>
              <w:ind w:left="0"/>
              <w:contextualSpacing/>
              <w:jc w:val="right"/>
              <w:rPr>
                <w:rFonts w:asciiTheme="minorHAnsi" w:hAnsiTheme="minorHAnsi" w:cstheme="minorHAnsi"/>
                <w:bCs/>
                <w:szCs w:val="18"/>
              </w:rPr>
            </w:pPr>
            <w:r w:rsidRPr="00FD18BB">
              <w:rPr>
                <w:rFonts w:asciiTheme="minorHAnsi" w:hAnsiTheme="minorHAnsi" w:cstheme="minorHAnsi"/>
                <w:bCs/>
                <w:szCs w:val="18"/>
              </w:rPr>
              <w:t>3 379</w:t>
            </w:r>
          </w:p>
        </w:tc>
      </w:tr>
      <w:tr w:rsidR="00FD18BB" w:rsidRPr="00FD18BB" w14:paraId="2E9E8A1E" w14:textId="77777777" w:rsidTr="00841879">
        <w:trPr>
          <w:trHeight w:val="227"/>
          <w:tblHeader/>
        </w:trPr>
        <w:tc>
          <w:tcPr>
            <w:tcW w:w="2122" w:type="dxa"/>
          </w:tcPr>
          <w:p w14:paraId="0F01C287" w14:textId="107AC386" w:rsidR="00FD18BB" w:rsidRPr="00FD18BB" w:rsidRDefault="00FD18BB" w:rsidP="00231945">
            <w:pPr>
              <w:ind w:left="0"/>
              <w:contextualSpacing/>
              <w:rPr>
                <w:rFonts w:asciiTheme="minorHAnsi" w:hAnsiTheme="minorHAnsi" w:cstheme="minorHAnsi"/>
                <w:bCs/>
                <w:szCs w:val="18"/>
              </w:rPr>
            </w:pPr>
            <w:r w:rsidRPr="00FD18BB">
              <w:rPr>
                <w:rFonts w:asciiTheme="minorHAnsi" w:hAnsiTheme="minorHAnsi" w:cstheme="minorHAnsi"/>
                <w:bCs/>
                <w:szCs w:val="18"/>
              </w:rPr>
              <w:t>1970</w:t>
            </w:r>
          </w:p>
        </w:tc>
        <w:tc>
          <w:tcPr>
            <w:tcW w:w="5533" w:type="dxa"/>
          </w:tcPr>
          <w:p w14:paraId="519079D4" w14:textId="6561B8E1" w:rsidR="00FD18BB" w:rsidRPr="00FD18BB" w:rsidRDefault="00FD18BB" w:rsidP="00231945">
            <w:pPr>
              <w:ind w:left="0"/>
              <w:contextualSpacing/>
              <w:jc w:val="right"/>
              <w:rPr>
                <w:rFonts w:asciiTheme="minorHAnsi" w:hAnsiTheme="minorHAnsi" w:cstheme="minorHAnsi"/>
                <w:bCs/>
                <w:szCs w:val="18"/>
              </w:rPr>
            </w:pPr>
            <w:r w:rsidRPr="00FD18BB">
              <w:rPr>
                <w:rFonts w:asciiTheme="minorHAnsi" w:hAnsiTheme="minorHAnsi" w:cstheme="minorHAnsi"/>
                <w:bCs/>
                <w:szCs w:val="18"/>
              </w:rPr>
              <w:t>3 551</w:t>
            </w:r>
          </w:p>
        </w:tc>
      </w:tr>
      <w:tr w:rsidR="00FD18BB" w:rsidRPr="00FD18BB" w14:paraId="3B061DC0" w14:textId="77777777" w:rsidTr="00841879">
        <w:trPr>
          <w:trHeight w:val="227"/>
          <w:tblHeader/>
        </w:trPr>
        <w:tc>
          <w:tcPr>
            <w:tcW w:w="2122" w:type="dxa"/>
          </w:tcPr>
          <w:p w14:paraId="1E838FFB" w14:textId="36E52E8D" w:rsidR="00FD18BB" w:rsidRPr="00FD18BB" w:rsidRDefault="00FD18BB" w:rsidP="00231945">
            <w:pPr>
              <w:ind w:left="0"/>
              <w:contextualSpacing/>
              <w:rPr>
                <w:rFonts w:asciiTheme="minorHAnsi" w:hAnsiTheme="minorHAnsi" w:cstheme="minorHAnsi"/>
                <w:b/>
                <w:szCs w:val="18"/>
              </w:rPr>
            </w:pPr>
            <w:r w:rsidRPr="00FD18BB">
              <w:rPr>
                <w:rFonts w:asciiTheme="minorHAnsi" w:hAnsiTheme="minorHAnsi" w:cstheme="minorHAnsi"/>
                <w:b/>
                <w:szCs w:val="18"/>
              </w:rPr>
              <w:t>1980</w:t>
            </w:r>
          </w:p>
        </w:tc>
        <w:tc>
          <w:tcPr>
            <w:tcW w:w="5533" w:type="dxa"/>
          </w:tcPr>
          <w:p w14:paraId="383742B0" w14:textId="5958B13A" w:rsidR="00FD18BB" w:rsidRPr="00FD18BB" w:rsidRDefault="00FD18BB" w:rsidP="00231945">
            <w:pPr>
              <w:ind w:left="0"/>
              <w:contextualSpacing/>
              <w:jc w:val="right"/>
              <w:rPr>
                <w:rFonts w:asciiTheme="minorHAnsi" w:hAnsiTheme="minorHAnsi" w:cstheme="minorHAnsi"/>
                <w:b/>
                <w:szCs w:val="18"/>
              </w:rPr>
            </w:pPr>
            <w:r w:rsidRPr="00FD18BB">
              <w:rPr>
                <w:rFonts w:asciiTheme="minorHAnsi" w:hAnsiTheme="minorHAnsi" w:cstheme="minorHAnsi"/>
                <w:b/>
                <w:szCs w:val="18"/>
              </w:rPr>
              <w:t>5 005</w:t>
            </w:r>
          </w:p>
        </w:tc>
      </w:tr>
      <w:tr w:rsidR="00FD18BB" w:rsidRPr="00FD18BB" w14:paraId="0F92D986" w14:textId="77777777" w:rsidTr="00841879">
        <w:trPr>
          <w:trHeight w:val="227"/>
          <w:tblHeader/>
        </w:trPr>
        <w:tc>
          <w:tcPr>
            <w:tcW w:w="2122" w:type="dxa"/>
          </w:tcPr>
          <w:p w14:paraId="2FA273B6" w14:textId="1102F1E2" w:rsidR="00FD18BB" w:rsidRPr="00FD18BB" w:rsidRDefault="00FD18BB" w:rsidP="00231945">
            <w:pPr>
              <w:ind w:left="0"/>
              <w:contextualSpacing/>
              <w:rPr>
                <w:rFonts w:asciiTheme="minorHAnsi" w:hAnsiTheme="minorHAnsi" w:cstheme="minorHAnsi"/>
                <w:bCs/>
                <w:szCs w:val="18"/>
              </w:rPr>
            </w:pPr>
            <w:r>
              <w:rPr>
                <w:rFonts w:asciiTheme="minorHAnsi" w:hAnsiTheme="minorHAnsi" w:cstheme="minorHAnsi"/>
                <w:bCs/>
                <w:szCs w:val="18"/>
              </w:rPr>
              <w:t>1991</w:t>
            </w:r>
          </w:p>
        </w:tc>
        <w:tc>
          <w:tcPr>
            <w:tcW w:w="5533" w:type="dxa"/>
          </w:tcPr>
          <w:p w14:paraId="063DE550" w14:textId="144FEE31" w:rsidR="00FD18BB" w:rsidRDefault="00FD18BB" w:rsidP="00231945">
            <w:pPr>
              <w:ind w:left="0"/>
              <w:contextualSpacing/>
              <w:jc w:val="right"/>
              <w:rPr>
                <w:rFonts w:asciiTheme="minorHAnsi" w:hAnsiTheme="minorHAnsi" w:cstheme="minorHAnsi"/>
                <w:bCs/>
                <w:szCs w:val="18"/>
              </w:rPr>
            </w:pPr>
            <w:r>
              <w:rPr>
                <w:rFonts w:asciiTheme="minorHAnsi" w:hAnsiTheme="minorHAnsi" w:cstheme="minorHAnsi"/>
                <w:bCs/>
                <w:szCs w:val="18"/>
              </w:rPr>
              <w:t>4 660</w:t>
            </w:r>
          </w:p>
        </w:tc>
      </w:tr>
      <w:tr w:rsidR="00FD18BB" w:rsidRPr="00FD18BB" w14:paraId="33B3DD91" w14:textId="77777777" w:rsidTr="00841879">
        <w:trPr>
          <w:trHeight w:val="227"/>
          <w:tblHeader/>
        </w:trPr>
        <w:tc>
          <w:tcPr>
            <w:tcW w:w="2122" w:type="dxa"/>
          </w:tcPr>
          <w:p w14:paraId="544E2F3D" w14:textId="4E559A0E" w:rsidR="00FD18BB" w:rsidRDefault="00FD18BB" w:rsidP="00231945">
            <w:pPr>
              <w:ind w:left="0"/>
              <w:contextualSpacing/>
              <w:rPr>
                <w:rFonts w:asciiTheme="minorHAnsi" w:hAnsiTheme="minorHAnsi" w:cstheme="minorHAnsi"/>
                <w:bCs/>
                <w:szCs w:val="18"/>
              </w:rPr>
            </w:pPr>
            <w:r>
              <w:rPr>
                <w:rFonts w:asciiTheme="minorHAnsi" w:hAnsiTheme="minorHAnsi" w:cstheme="minorHAnsi"/>
                <w:bCs/>
                <w:szCs w:val="18"/>
              </w:rPr>
              <w:t>2001</w:t>
            </w:r>
          </w:p>
        </w:tc>
        <w:tc>
          <w:tcPr>
            <w:tcW w:w="5533" w:type="dxa"/>
          </w:tcPr>
          <w:p w14:paraId="5677242E" w14:textId="7B373A3C" w:rsidR="00FD18BB" w:rsidRDefault="00FD18BB" w:rsidP="00231945">
            <w:pPr>
              <w:ind w:left="0"/>
              <w:contextualSpacing/>
              <w:jc w:val="right"/>
              <w:rPr>
                <w:rFonts w:asciiTheme="minorHAnsi" w:hAnsiTheme="minorHAnsi" w:cstheme="minorHAnsi"/>
                <w:bCs/>
                <w:szCs w:val="18"/>
              </w:rPr>
            </w:pPr>
            <w:r>
              <w:rPr>
                <w:rFonts w:asciiTheme="minorHAnsi" w:hAnsiTheme="minorHAnsi" w:cstheme="minorHAnsi"/>
                <w:bCs/>
                <w:szCs w:val="18"/>
              </w:rPr>
              <w:t>4 574</w:t>
            </w:r>
          </w:p>
        </w:tc>
      </w:tr>
      <w:tr w:rsidR="00FD18BB" w:rsidRPr="00FD18BB" w14:paraId="59AED707" w14:textId="77777777" w:rsidTr="00841879">
        <w:trPr>
          <w:trHeight w:val="227"/>
          <w:tblHeader/>
        </w:trPr>
        <w:tc>
          <w:tcPr>
            <w:tcW w:w="2122" w:type="dxa"/>
          </w:tcPr>
          <w:p w14:paraId="536D269F" w14:textId="5B197D7B" w:rsidR="00FD18BB" w:rsidRDefault="00FD18BB" w:rsidP="00231945">
            <w:pPr>
              <w:ind w:left="0"/>
              <w:contextualSpacing/>
              <w:rPr>
                <w:rFonts w:asciiTheme="minorHAnsi" w:hAnsiTheme="minorHAnsi" w:cstheme="minorHAnsi"/>
                <w:bCs/>
                <w:szCs w:val="18"/>
              </w:rPr>
            </w:pPr>
            <w:r>
              <w:rPr>
                <w:rFonts w:asciiTheme="minorHAnsi" w:hAnsiTheme="minorHAnsi" w:cstheme="minorHAnsi"/>
                <w:bCs/>
                <w:szCs w:val="18"/>
              </w:rPr>
              <w:t>2011</w:t>
            </w:r>
          </w:p>
        </w:tc>
        <w:tc>
          <w:tcPr>
            <w:tcW w:w="5533" w:type="dxa"/>
          </w:tcPr>
          <w:p w14:paraId="1D6F80D9" w14:textId="68288D89" w:rsidR="00FD18BB" w:rsidRDefault="00FD18BB" w:rsidP="00231945">
            <w:pPr>
              <w:ind w:left="0"/>
              <w:contextualSpacing/>
              <w:jc w:val="right"/>
              <w:rPr>
                <w:rFonts w:asciiTheme="minorHAnsi" w:hAnsiTheme="minorHAnsi" w:cstheme="minorHAnsi"/>
                <w:bCs/>
                <w:szCs w:val="18"/>
              </w:rPr>
            </w:pPr>
            <w:r>
              <w:rPr>
                <w:rFonts w:asciiTheme="minorHAnsi" w:hAnsiTheme="minorHAnsi" w:cstheme="minorHAnsi"/>
                <w:bCs/>
                <w:szCs w:val="18"/>
              </w:rPr>
              <w:t>4 119</w:t>
            </w:r>
          </w:p>
        </w:tc>
      </w:tr>
      <w:tr w:rsidR="005B58A3" w:rsidRPr="002477E3" w14:paraId="01000920" w14:textId="77777777" w:rsidTr="00841879">
        <w:trPr>
          <w:trHeight w:val="227"/>
        </w:trPr>
        <w:tc>
          <w:tcPr>
            <w:tcW w:w="2122" w:type="dxa"/>
          </w:tcPr>
          <w:p w14:paraId="2CE1BB0C" w14:textId="77777777" w:rsidR="005B58A3" w:rsidRPr="002477E3" w:rsidRDefault="005B58A3" w:rsidP="00231945">
            <w:pPr>
              <w:ind w:left="0"/>
              <w:contextualSpacing/>
              <w:rPr>
                <w:rFonts w:asciiTheme="minorHAnsi" w:hAnsiTheme="minorHAnsi" w:cstheme="minorHAnsi"/>
                <w:bCs/>
                <w:szCs w:val="18"/>
              </w:rPr>
            </w:pPr>
            <w:r>
              <w:rPr>
                <w:rFonts w:asciiTheme="minorHAnsi" w:hAnsiTheme="minorHAnsi" w:cstheme="minorHAnsi"/>
                <w:bCs/>
                <w:szCs w:val="18"/>
              </w:rPr>
              <w:t>2021</w:t>
            </w:r>
          </w:p>
        </w:tc>
        <w:tc>
          <w:tcPr>
            <w:tcW w:w="5533" w:type="dxa"/>
          </w:tcPr>
          <w:p w14:paraId="6AD17846" w14:textId="22559756" w:rsidR="005B58A3" w:rsidRPr="002477E3" w:rsidRDefault="005B58A3" w:rsidP="00231945">
            <w:pPr>
              <w:ind w:left="0"/>
              <w:contextualSpacing/>
              <w:jc w:val="right"/>
              <w:rPr>
                <w:rFonts w:asciiTheme="minorHAnsi" w:hAnsiTheme="minorHAnsi" w:cstheme="minorHAnsi"/>
                <w:szCs w:val="18"/>
              </w:rPr>
            </w:pPr>
            <w:r>
              <w:rPr>
                <w:rFonts w:asciiTheme="minorHAnsi" w:hAnsiTheme="minorHAnsi" w:cstheme="minorHAnsi"/>
                <w:szCs w:val="18"/>
              </w:rPr>
              <w:t>4 175</w:t>
            </w:r>
          </w:p>
        </w:tc>
      </w:tr>
      <w:tr w:rsidR="005B58A3" w:rsidRPr="002477E3" w14:paraId="31D1F171" w14:textId="77777777" w:rsidTr="00841879">
        <w:trPr>
          <w:trHeight w:val="227"/>
        </w:trPr>
        <w:tc>
          <w:tcPr>
            <w:tcW w:w="2122" w:type="dxa"/>
          </w:tcPr>
          <w:p w14:paraId="796AAF1E" w14:textId="77777777" w:rsidR="005B58A3" w:rsidRPr="002477E3" w:rsidRDefault="005B58A3" w:rsidP="00231945">
            <w:pPr>
              <w:ind w:left="0"/>
              <w:contextualSpacing/>
              <w:rPr>
                <w:rFonts w:asciiTheme="minorHAnsi" w:hAnsiTheme="minorHAnsi" w:cstheme="minorHAnsi"/>
                <w:bCs/>
                <w:szCs w:val="18"/>
              </w:rPr>
            </w:pPr>
            <w:r w:rsidRPr="002477E3">
              <w:rPr>
                <w:rFonts w:asciiTheme="minorHAnsi" w:hAnsiTheme="minorHAnsi" w:cstheme="minorHAnsi"/>
                <w:bCs/>
                <w:szCs w:val="18"/>
              </w:rPr>
              <w:t>2022</w:t>
            </w:r>
          </w:p>
        </w:tc>
        <w:tc>
          <w:tcPr>
            <w:tcW w:w="5533" w:type="dxa"/>
          </w:tcPr>
          <w:p w14:paraId="0CCD0F55" w14:textId="6D508474" w:rsidR="005B58A3" w:rsidRPr="002477E3" w:rsidRDefault="005B58A3" w:rsidP="00231945">
            <w:pPr>
              <w:ind w:left="0"/>
              <w:contextualSpacing/>
              <w:jc w:val="right"/>
              <w:rPr>
                <w:rFonts w:asciiTheme="minorHAnsi" w:hAnsiTheme="minorHAnsi" w:cstheme="minorHAnsi"/>
                <w:szCs w:val="18"/>
              </w:rPr>
            </w:pPr>
            <w:r>
              <w:rPr>
                <w:rFonts w:asciiTheme="minorHAnsi" w:hAnsiTheme="minorHAnsi" w:cstheme="minorHAnsi"/>
                <w:szCs w:val="18"/>
              </w:rPr>
              <w:t>4 206</w:t>
            </w:r>
          </w:p>
        </w:tc>
      </w:tr>
      <w:tr w:rsidR="005B58A3" w:rsidRPr="002477E3" w14:paraId="5CF1AA7F" w14:textId="77777777" w:rsidTr="00841879">
        <w:trPr>
          <w:trHeight w:val="227"/>
        </w:trPr>
        <w:tc>
          <w:tcPr>
            <w:tcW w:w="2122" w:type="dxa"/>
          </w:tcPr>
          <w:p w14:paraId="5E28536A" w14:textId="77777777" w:rsidR="005B58A3" w:rsidRPr="002477E3" w:rsidRDefault="005B58A3" w:rsidP="00231945">
            <w:pPr>
              <w:ind w:left="0"/>
              <w:contextualSpacing/>
              <w:rPr>
                <w:rFonts w:asciiTheme="minorHAnsi" w:hAnsiTheme="minorHAnsi" w:cstheme="minorHAnsi"/>
                <w:bCs/>
                <w:szCs w:val="18"/>
              </w:rPr>
            </w:pPr>
            <w:r w:rsidRPr="002477E3">
              <w:rPr>
                <w:rFonts w:asciiTheme="minorHAnsi" w:hAnsiTheme="minorHAnsi" w:cstheme="minorHAnsi"/>
                <w:bCs/>
                <w:szCs w:val="18"/>
              </w:rPr>
              <w:t>202</w:t>
            </w:r>
            <w:r>
              <w:rPr>
                <w:rFonts w:asciiTheme="minorHAnsi" w:hAnsiTheme="minorHAnsi" w:cstheme="minorHAnsi"/>
                <w:bCs/>
                <w:szCs w:val="18"/>
              </w:rPr>
              <w:t>3</w:t>
            </w:r>
          </w:p>
        </w:tc>
        <w:tc>
          <w:tcPr>
            <w:tcW w:w="5533" w:type="dxa"/>
          </w:tcPr>
          <w:p w14:paraId="4C1501C4" w14:textId="4217E45C" w:rsidR="005B58A3" w:rsidRPr="002477E3" w:rsidRDefault="005B58A3" w:rsidP="00231945">
            <w:pPr>
              <w:ind w:left="0"/>
              <w:contextualSpacing/>
              <w:jc w:val="right"/>
              <w:rPr>
                <w:rFonts w:asciiTheme="minorHAnsi" w:hAnsiTheme="minorHAnsi" w:cstheme="minorHAnsi"/>
                <w:szCs w:val="18"/>
              </w:rPr>
            </w:pPr>
            <w:r>
              <w:rPr>
                <w:rFonts w:asciiTheme="minorHAnsi" w:hAnsiTheme="minorHAnsi" w:cstheme="minorHAnsi"/>
                <w:szCs w:val="18"/>
              </w:rPr>
              <w:t>4 202</w:t>
            </w:r>
          </w:p>
        </w:tc>
      </w:tr>
      <w:tr w:rsidR="005B58A3" w:rsidRPr="002477E3" w14:paraId="1790492C" w14:textId="77777777" w:rsidTr="00841879">
        <w:trPr>
          <w:trHeight w:val="227"/>
        </w:trPr>
        <w:tc>
          <w:tcPr>
            <w:tcW w:w="2122" w:type="dxa"/>
          </w:tcPr>
          <w:p w14:paraId="3E26B25D" w14:textId="77777777" w:rsidR="005B58A3" w:rsidRPr="002477E3" w:rsidRDefault="005B58A3" w:rsidP="00231945">
            <w:pPr>
              <w:ind w:left="0"/>
              <w:contextualSpacing/>
              <w:rPr>
                <w:rFonts w:asciiTheme="minorHAnsi" w:hAnsiTheme="minorHAnsi" w:cstheme="minorHAnsi"/>
                <w:bCs/>
                <w:szCs w:val="18"/>
              </w:rPr>
            </w:pPr>
            <w:r w:rsidRPr="002477E3">
              <w:rPr>
                <w:rFonts w:asciiTheme="minorHAnsi" w:hAnsiTheme="minorHAnsi" w:cstheme="minorHAnsi"/>
                <w:bCs/>
                <w:szCs w:val="18"/>
              </w:rPr>
              <w:t>202</w:t>
            </w:r>
            <w:r>
              <w:rPr>
                <w:rFonts w:asciiTheme="minorHAnsi" w:hAnsiTheme="minorHAnsi" w:cstheme="minorHAnsi"/>
                <w:bCs/>
                <w:szCs w:val="18"/>
              </w:rPr>
              <w:t>4</w:t>
            </w:r>
          </w:p>
        </w:tc>
        <w:tc>
          <w:tcPr>
            <w:tcW w:w="5533" w:type="dxa"/>
          </w:tcPr>
          <w:p w14:paraId="6D9566A9" w14:textId="7892AC0C" w:rsidR="005B58A3" w:rsidRPr="002477E3" w:rsidRDefault="005B58A3" w:rsidP="00231945">
            <w:pPr>
              <w:ind w:left="0"/>
              <w:contextualSpacing/>
              <w:jc w:val="right"/>
              <w:rPr>
                <w:rFonts w:asciiTheme="minorHAnsi" w:hAnsiTheme="minorHAnsi" w:cstheme="minorHAnsi"/>
                <w:szCs w:val="18"/>
              </w:rPr>
            </w:pPr>
            <w:r>
              <w:rPr>
                <w:rFonts w:asciiTheme="minorHAnsi" w:hAnsiTheme="minorHAnsi" w:cstheme="minorHAnsi"/>
                <w:szCs w:val="18"/>
              </w:rPr>
              <w:t>4 207</w:t>
            </w:r>
          </w:p>
        </w:tc>
      </w:tr>
      <w:tr w:rsidR="005B58A3" w:rsidRPr="002477E3" w14:paraId="45B45457" w14:textId="77777777" w:rsidTr="00841879">
        <w:trPr>
          <w:trHeight w:val="227"/>
        </w:trPr>
        <w:tc>
          <w:tcPr>
            <w:tcW w:w="2122" w:type="dxa"/>
          </w:tcPr>
          <w:p w14:paraId="6DAE7FA6" w14:textId="241DC4B8" w:rsidR="005B58A3" w:rsidRPr="002477E3" w:rsidRDefault="005B58A3" w:rsidP="00231945">
            <w:pPr>
              <w:ind w:left="0"/>
              <w:contextualSpacing/>
              <w:rPr>
                <w:rFonts w:asciiTheme="minorHAnsi" w:hAnsiTheme="minorHAnsi" w:cstheme="minorHAnsi"/>
                <w:bCs/>
                <w:szCs w:val="18"/>
              </w:rPr>
            </w:pPr>
            <w:r>
              <w:rPr>
                <w:rFonts w:asciiTheme="minorHAnsi" w:hAnsiTheme="minorHAnsi" w:cstheme="minorHAnsi"/>
                <w:bCs/>
                <w:szCs w:val="18"/>
              </w:rPr>
              <w:t>2025</w:t>
            </w:r>
          </w:p>
        </w:tc>
        <w:tc>
          <w:tcPr>
            <w:tcW w:w="5533" w:type="dxa"/>
          </w:tcPr>
          <w:p w14:paraId="5A63E77C" w14:textId="4104E556" w:rsidR="005B58A3" w:rsidRDefault="005B58A3" w:rsidP="00231945">
            <w:pPr>
              <w:ind w:left="0"/>
              <w:contextualSpacing/>
              <w:jc w:val="right"/>
              <w:rPr>
                <w:rFonts w:asciiTheme="minorHAnsi" w:hAnsiTheme="minorHAnsi" w:cstheme="minorHAnsi"/>
                <w:szCs w:val="18"/>
              </w:rPr>
            </w:pPr>
            <w:r>
              <w:rPr>
                <w:rFonts w:asciiTheme="minorHAnsi" w:hAnsiTheme="minorHAnsi" w:cstheme="minorHAnsi"/>
                <w:szCs w:val="18"/>
              </w:rPr>
              <w:t>4 176</w:t>
            </w:r>
          </w:p>
        </w:tc>
      </w:tr>
    </w:tbl>
    <w:p w14:paraId="1553E67E" w14:textId="77777777" w:rsidR="005B58A3" w:rsidRDefault="005B58A3" w:rsidP="005B58A3">
      <w:pPr>
        <w:pStyle w:val="Citt"/>
        <w:jc w:val="left"/>
      </w:pPr>
      <w:r w:rsidRPr="006C66C2">
        <w:t>(zdroj: ČSÚ)</w:t>
      </w:r>
    </w:p>
    <w:p w14:paraId="080F7741" w14:textId="77777777" w:rsidR="00841879" w:rsidRPr="002477E3" w:rsidRDefault="00841879" w:rsidP="00841879">
      <w:r w:rsidRPr="002477E3">
        <w:t xml:space="preserve">Statistika pohybu obyvatel mezi lety 2013–2020 </w:t>
      </w:r>
    </w:p>
    <w:tbl>
      <w:tblPr>
        <w:tblStyle w:val="Mkatabulky1"/>
        <w:tblW w:w="7657" w:type="dxa"/>
        <w:tblInd w:w="709" w:type="dxa"/>
        <w:tblBorders>
          <w:top w:val="dashSmallGap" w:sz="4" w:space="0" w:color="000000"/>
          <w:left w:val="none" w:sz="0" w:space="0" w:color="auto"/>
          <w:bottom w:val="dashSmallGap" w:sz="4" w:space="0" w:color="000000"/>
          <w:right w:val="none" w:sz="0" w:space="0" w:color="auto"/>
          <w:insideH w:val="dashSmallGap" w:sz="4" w:space="0" w:color="000000"/>
          <w:insideV w:val="none" w:sz="0" w:space="0" w:color="auto"/>
        </w:tblBorders>
        <w:tblLayout w:type="fixed"/>
        <w:tblLook w:val="04A0" w:firstRow="1" w:lastRow="0" w:firstColumn="1" w:lastColumn="0" w:noHBand="0" w:noVBand="1"/>
      </w:tblPr>
      <w:tblGrid>
        <w:gridCol w:w="707"/>
        <w:gridCol w:w="567"/>
        <w:gridCol w:w="567"/>
        <w:gridCol w:w="567"/>
        <w:gridCol w:w="711"/>
        <w:gridCol w:w="1278"/>
        <w:gridCol w:w="1560"/>
        <w:gridCol w:w="1700"/>
      </w:tblGrid>
      <w:tr w:rsidR="00841879" w:rsidRPr="006D2113" w14:paraId="4745D0D7" w14:textId="77777777" w:rsidTr="00841879">
        <w:trPr>
          <w:trHeight w:val="449"/>
        </w:trPr>
        <w:tc>
          <w:tcPr>
            <w:tcW w:w="707" w:type="dxa"/>
            <w:vMerge w:val="restart"/>
            <w:hideMark/>
          </w:tcPr>
          <w:p w14:paraId="545EB11C" w14:textId="77777777" w:rsidR="00841879" w:rsidRPr="006D2113" w:rsidRDefault="00841879" w:rsidP="00231945">
            <w:pPr>
              <w:ind w:left="0"/>
              <w:contextualSpacing/>
              <w:jc w:val="right"/>
              <w:rPr>
                <w:rFonts w:asciiTheme="minorHAnsi" w:hAnsiTheme="minorHAnsi" w:cs="Arial"/>
                <w:szCs w:val="18"/>
              </w:rPr>
            </w:pPr>
          </w:p>
        </w:tc>
        <w:tc>
          <w:tcPr>
            <w:tcW w:w="567" w:type="dxa"/>
            <w:vMerge w:val="restart"/>
            <w:textDirection w:val="btLr"/>
            <w:hideMark/>
          </w:tcPr>
          <w:p w14:paraId="4FBD575D" w14:textId="77777777" w:rsidR="00841879" w:rsidRPr="006D2113" w:rsidRDefault="00841879" w:rsidP="00231945">
            <w:pPr>
              <w:ind w:left="113" w:right="113"/>
              <w:contextualSpacing/>
              <w:jc w:val="right"/>
              <w:rPr>
                <w:rFonts w:asciiTheme="minorHAnsi" w:hAnsiTheme="minorHAnsi" w:cs="Arial"/>
                <w:b/>
                <w:bCs/>
                <w:szCs w:val="18"/>
              </w:rPr>
            </w:pPr>
            <w:r w:rsidRPr="006D2113">
              <w:rPr>
                <w:rFonts w:asciiTheme="minorHAnsi" w:hAnsiTheme="minorHAnsi" w:cs="Arial"/>
                <w:b/>
                <w:bCs/>
                <w:szCs w:val="18"/>
              </w:rPr>
              <w:t>Živě narození</w:t>
            </w:r>
          </w:p>
        </w:tc>
        <w:tc>
          <w:tcPr>
            <w:tcW w:w="567" w:type="dxa"/>
            <w:vMerge w:val="restart"/>
            <w:textDirection w:val="btLr"/>
            <w:hideMark/>
          </w:tcPr>
          <w:p w14:paraId="2DCD5C9C" w14:textId="77777777" w:rsidR="00841879" w:rsidRPr="006D2113" w:rsidRDefault="00841879" w:rsidP="00231945">
            <w:pPr>
              <w:ind w:left="113" w:right="113"/>
              <w:contextualSpacing/>
              <w:jc w:val="right"/>
              <w:rPr>
                <w:rFonts w:asciiTheme="minorHAnsi" w:hAnsiTheme="minorHAnsi" w:cs="Arial"/>
                <w:b/>
                <w:bCs/>
                <w:szCs w:val="18"/>
              </w:rPr>
            </w:pPr>
            <w:r w:rsidRPr="006D2113">
              <w:rPr>
                <w:rFonts w:asciiTheme="minorHAnsi" w:hAnsiTheme="minorHAnsi" w:cs="Arial"/>
                <w:b/>
                <w:bCs/>
                <w:szCs w:val="18"/>
              </w:rPr>
              <w:t>Zemřelí</w:t>
            </w:r>
          </w:p>
        </w:tc>
        <w:tc>
          <w:tcPr>
            <w:tcW w:w="567" w:type="dxa"/>
            <w:vMerge w:val="restart"/>
            <w:textDirection w:val="btLr"/>
            <w:hideMark/>
          </w:tcPr>
          <w:p w14:paraId="3A668DA3" w14:textId="77777777" w:rsidR="00841879" w:rsidRPr="006D2113" w:rsidRDefault="00841879" w:rsidP="00231945">
            <w:pPr>
              <w:ind w:left="113" w:right="113"/>
              <w:contextualSpacing/>
              <w:jc w:val="right"/>
              <w:rPr>
                <w:rFonts w:asciiTheme="minorHAnsi" w:hAnsiTheme="minorHAnsi" w:cs="Arial"/>
                <w:b/>
                <w:bCs/>
                <w:szCs w:val="18"/>
              </w:rPr>
            </w:pPr>
            <w:r w:rsidRPr="006D2113">
              <w:rPr>
                <w:rFonts w:asciiTheme="minorHAnsi" w:hAnsiTheme="minorHAnsi" w:cs="Arial"/>
                <w:b/>
                <w:bCs/>
                <w:szCs w:val="18"/>
              </w:rPr>
              <w:t>Přistěhovalí</w:t>
            </w:r>
          </w:p>
        </w:tc>
        <w:tc>
          <w:tcPr>
            <w:tcW w:w="711" w:type="dxa"/>
            <w:vMerge w:val="restart"/>
            <w:textDirection w:val="btLr"/>
            <w:hideMark/>
          </w:tcPr>
          <w:p w14:paraId="0B546C34" w14:textId="77777777" w:rsidR="00841879" w:rsidRPr="006D2113" w:rsidRDefault="00841879" w:rsidP="00231945">
            <w:pPr>
              <w:ind w:left="113" w:right="113"/>
              <w:contextualSpacing/>
              <w:jc w:val="right"/>
              <w:rPr>
                <w:rFonts w:asciiTheme="minorHAnsi" w:hAnsiTheme="minorHAnsi" w:cs="Arial"/>
                <w:b/>
                <w:bCs/>
                <w:szCs w:val="18"/>
              </w:rPr>
            </w:pPr>
            <w:r w:rsidRPr="006D2113">
              <w:rPr>
                <w:rFonts w:asciiTheme="minorHAnsi" w:hAnsiTheme="minorHAnsi" w:cs="Arial"/>
                <w:b/>
                <w:bCs/>
                <w:szCs w:val="18"/>
              </w:rPr>
              <w:t>Vystěhovalí</w:t>
            </w:r>
          </w:p>
        </w:tc>
        <w:tc>
          <w:tcPr>
            <w:tcW w:w="4538" w:type="dxa"/>
            <w:gridSpan w:val="3"/>
            <w:hideMark/>
          </w:tcPr>
          <w:p w14:paraId="40C7AD08" w14:textId="77777777" w:rsidR="00841879" w:rsidRPr="006D2113" w:rsidRDefault="00841879" w:rsidP="00231945">
            <w:pPr>
              <w:ind w:left="0"/>
              <w:contextualSpacing/>
              <w:jc w:val="right"/>
              <w:rPr>
                <w:rFonts w:asciiTheme="minorHAnsi" w:hAnsiTheme="minorHAnsi" w:cs="Arial"/>
                <w:b/>
                <w:bCs/>
                <w:szCs w:val="18"/>
              </w:rPr>
            </w:pPr>
            <w:r w:rsidRPr="006D2113">
              <w:rPr>
                <w:rFonts w:asciiTheme="minorHAnsi" w:hAnsiTheme="minorHAnsi" w:cs="Arial"/>
                <w:b/>
                <w:bCs/>
                <w:szCs w:val="18"/>
              </w:rPr>
              <w:t>Přírůstek (úbytek)</w:t>
            </w:r>
          </w:p>
        </w:tc>
      </w:tr>
      <w:tr w:rsidR="00841879" w:rsidRPr="006D2113" w14:paraId="791EE63A" w14:textId="77777777" w:rsidTr="00841879">
        <w:trPr>
          <w:trHeight w:val="790"/>
        </w:trPr>
        <w:tc>
          <w:tcPr>
            <w:tcW w:w="707" w:type="dxa"/>
            <w:vMerge/>
            <w:hideMark/>
          </w:tcPr>
          <w:p w14:paraId="5C69A624" w14:textId="77777777" w:rsidR="00841879" w:rsidRPr="006D2113" w:rsidRDefault="00841879" w:rsidP="00231945">
            <w:pPr>
              <w:ind w:left="0"/>
              <w:contextualSpacing/>
              <w:rPr>
                <w:rFonts w:asciiTheme="minorHAnsi" w:hAnsiTheme="minorHAnsi" w:cs="Arial"/>
                <w:szCs w:val="18"/>
              </w:rPr>
            </w:pPr>
          </w:p>
        </w:tc>
        <w:tc>
          <w:tcPr>
            <w:tcW w:w="567" w:type="dxa"/>
            <w:vMerge/>
            <w:hideMark/>
          </w:tcPr>
          <w:p w14:paraId="5C178B58" w14:textId="77777777" w:rsidR="00841879" w:rsidRPr="006D2113" w:rsidRDefault="00841879" w:rsidP="00231945">
            <w:pPr>
              <w:ind w:left="0"/>
              <w:contextualSpacing/>
              <w:jc w:val="right"/>
              <w:rPr>
                <w:rFonts w:asciiTheme="minorHAnsi" w:hAnsiTheme="minorHAnsi" w:cs="Arial"/>
                <w:b/>
                <w:bCs/>
                <w:szCs w:val="18"/>
              </w:rPr>
            </w:pPr>
          </w:p>
        </w:tc>
        <w:tc>
          <w:tcPr>
            <w:tcW w:w="567" w:type="dxa"/>
            <w:vMerge/>
            <w:hideMark/>
          </w:tcPr>
          <w:p w14:paraId="0E4987C3" w14:textId="77777777" w:rsidR="00841879" w:rsidRPr="006D2113" w:rsidRDefault="00841879" w:rsidP="00231945">
            <w:pPr>
              <w:ind w:left="0"/>
              <w:contextualSpacing/>
              <w:jc w:val="right"/>
              <w:rPr>
                <w:rFonts w:asciiTheme="minorHAnsi" w:hAnsiTheme="minorHAnsi" w:cs="Arial"/>
                <w:b/>
                <w:bCs/>
                <w:szCs w:val="18"/>
              </w:rPr>
            </w:pPr>
          </w:p>
        </w:tc>
        <w:tc>
          <w:tcPr>
            <w:tcW w:w="567" w:type="dxa"/>
            <w:vMerge/>
            <w:hideMark/>
          </w:tcPr>
          <w:p w14:paraId="35EA00AF" w14:textId="77777777" w:rsidR="00841879" w:rsidRPr="006D2113" w:rsidRDefault="00841879" w:rsidP="00231945">
            <w:pPr>
              <w:ind w:left="0"/>
              <w:contextualSpacing/>
              <w:jc w:val="right"/>
              <w:rPr>
                <w:rFonts w:asciiTheme="minorHAnsi" w:hAnsiTheme="minorHAnsi" w:cs="Arial"/>
                <w:b/>
                <w:bCs/>
                <w:szCs w:val="18"/>
              </w:rPr>
            </w:pPr>
          </w:p>
        </w:tc>
        <w:tc>
          <w:tcPr>
            <w:tcW w:w="711" w:type="dxa"/>
            <w:vMerge/>
            <w:hideMark/>
          </w:tcPr>
          <w:p w14:paraId="6D28FFEE" w14:textId="77777777" w:rsidR="00841879" w:rsidRPr="006D2113" w:rsidRDefault="00841879" w:rsidP="00231945">
            <w:pPr>
              <w:ind w:left="0"/>
              <w:contextualSpacing/>
              <w:jc w:val="right"/>
              <w:rPr>
                <w:rFonts w:asciiTheme="minorHAnsi" w:hAnsiTheme="minorHAnsi" w:cs="Arial"/>
                <w:b/>
                <w:bCs/>
                <w:szCs w:val="18"/>
              </w:rPr>
            </w:pPr>
          </w:p>
        </w:tc>
        <w:tc>
          <w:tcPr>
            <w:tcW w:w="1278" w:type="dxa"/>
            <w:hideMark/>
          </w:tcPr>
          <w:p w14:paraId="58EF3CCE" w14:textId="77777777" w:rsidR="00841879" w:rsidRPr="006D2113" w:rsidRDefault="00841879" w:rsidP="00231945">
            <w:pPr>
              <w:ind w:left="0"/>
              <w:contextualSpacing/>
              <w:jc w:val="right"/>
              <w:rPr>
                <w:rFonts w:asciiTheme="minorHAnsi" w:hAnsiTheme="minorHAnsi" w:cs="Arial"/>
                <w:b/>
                <w:bCs/>
                <w:szCs w:val="18"/>
              </w:rPr>
            </w:pPr>
            <w:r w:rsidRPr="006D2113">
              <w:rPr>
                <w:rFonts w:asciiTheme="minorHAnsi" w:hAnsiTheme="minorHAnsi" w:cs="Arial"/>
                <w:b/>
                <w:bCs/>
                <w:szCs w:val="18"/>
              </w:rPr>
              <w:t>přirozený</w:t>
            </w:r>
          </w:p>
        </w:tc>
        <w:tc>
          <w:tcPr>
            <w:tcW w:w="1560" w:type="dxa"/>
            <w:hideMark/>
          </w:tcPr>
          <w:p w14:paraId="6CFC81AD" w14:textId="77777777" w:rsidR="00841879" w:rsidRPr="006D2113" w:rsidRDefault="00841879" w:rsidP="00231945">
            <w:pPr>
              <w:ind w:left="0"/>
              <w:contextualSpacing/>
              <w:jc w:val="right"/>
              <w:rPr>
                <w:rFonts w:asciiTheme="minorHAnsi" w:hAnsiTheme="minorHAnsi" w:cs="Arial"/>
                <w:b/>
                <w:bCs/>
                <w:szCs w:val="18"/>
              </w:rPr>
            </w:pPr>
            <w:r w:rsidRPr="006D2113">
              <w:rPr>
                <w:rFonts w:asciiTheme="minorHAnsi" w:hAnsiTheme="minorHAnsi" w:cs="Arial"/>
                <w:b/>
                <w:bCs/>
                <w:szCs w:val="18"/>
              </w:rPr>
              <w:t>stěhováním</w:t>
            </w:r>
          </w:p>
        </w:tc>
        <w:tc>
          <w:tcPr>
            <w:tcW w:w="1700" w:type="dxa"/>
            <w:hideMark/>
          </w:tcPr>
          <w:p w14:paraId="2E07B7B2" w14:textId="77777777" w:rsidR="00841879" w:rsidRPr="006D2113" w:rsidRDefault="00841879" w:rsidP="00231945">
            <w:pPr>
              <w:ind w:left="0"/>
              <w:contextualSpacing/>
              <w:jc w:val="right"/>
              <w:rPr>
                <w:rFonts w:asciiTheme="minorHAnsi" w:hAnsiTheme="minorHAnsi" w:cs="Arial"/>
                <w:b/>
                <w:bCs/>
                <w:szCs w:val="18"/>
              </w:rPr>
            </w:pPr>
            <w:r w:rsidRPr="006D2113">
              <w:rPr>
                <w:rFonts w:asciiTheme="minorHAnsi" w:hAnsiTheme="minorHAnsi" w:cs="Arial"/>
                <w:b/>
                <w:bCs/>
                <w:szCs w:val="18"/>
              </w:rPr>
              <w:t>celkový</w:t>
            </w:r>
          </w:p>
        </w:tc>
      </w:tr>
      <w:tr w:rsidR="00841879" w:rsidRPr="006D2113" w14:paraId="7496B150" w14:textId="77777777" w:rsidTr="00841879">
        <w:trPr>
          <w:trHeight w:val="264"/>
        </w:trPr>
        <w:tc>
          <w:tcPr>
            <w:tcW w:w="707" w:type="dxa"/>
          </w:tcPr>
          <w:p w14:paraId="79220360" w14:textId="77777777" w:rsidR="00841879" w:rsidRPr="006D2113" w:rsidRDefault="00841879" w:rsidP="00231945">
            <w:pPr>
              <w:ind w:left="0"/>
              <w:contextualSpacing/>
              <w:rPr>
                <w:rFonts w:asciiTheme="minorHAnsi" w:hAnsiTheme="minorHAnsi" w:cs="Arial"/>
                <w:szCs w:val="18"/>
              </w:rPr>
            </w:pPr>
            <w:r w:rsidRPr="006D2113">
              <w:rPr>
                <w:rFonts w:asciiTheme="minorHAnsi" w:hAnsiTheme="minorHAnsi" w:cs="Arial"/>
                <w:szCs w:val="18"/>
              </w:rPr>
              <w:t>2021</w:t>
            </w:r>
          </w:p>
        </w:tc>
        <w:tc>
          <w:tcPr>
            <w:tcW w:w="567" w:type="dxa"/>
          </w:tcPr>
          <w:p w14:paraId="28E86613" w14:textId="0E10158A" w:rsidR="00841879" w:rsidRPr="006D2113" w:rsidRDefault="00EA5F70" w:rsidP="00231945">
            <w:pPr>
              <w:ind w:left="0"/>
              <w:contextualSpacing/>
              <w:jc w:val="center"/>
              <w:rPr>
                <w:rFonts w:asciiTheme="minorHAnsi" w:hAnsiTheme="minorHAnsi" w:cs="Arial"/>
                <w:szCs w:val="18"/>
              </w:rPr>
            </w:pPr>
            <w:r>
              <w:rPr>
                <w:rFonts w:asciiTheme="minorHAnsi" w:hAnsiTheme="minorHAnsi" w:cs="Arial"/>
                <w:szCs w:val="18"/>
              </w:rPr>
              <w:t>39</w:t>
            </w:r>
          </w:p>
        </w:tc>
        <w:tc>
          <w:tcPr>
            <w:tcW w:w="567" w:type="dxa"/>
          </w:tcPr>
          <w:p w14:paraId="76A0A577" w14:textId="395810F9" w:rsidR="00841879" w:rsidRPr="006D2113" w:rsidRDefault="00EA5F70" w:rsidP="00231945">
            <w:pPr>
              <w:ind w:left="0"/>
              <w:contextualSpacing/>
              <w:jc w:val="center"/>
              <w:rPr>
                <w:rFonts w:asciiTheme="minorHAnsi" w:hAnsiTheme="minorHAnsi" w:cs="Arial"/>
                <w:szCs w:val="18"/>
              </w:rPr>
            </w:pPr>
            <w:r>
              <w:rPr>
                <w:rFonts w:asciiTheme="minorHAnsi" w:hAnsiTheme="minorHAnsi" w:cs="Arial"/>
                <w:szCs w:val="18"/>
              </w:rPr>
              <w:t>64</w:t>
            </w:r>
          </w:p>
        </w:tc>
        <w:tc>
          <w:tcPr>
            <w:tcW w:w="567" w:type="dxa"/>
          </w:tcPr>
          <w:p w14:paraId="0BF8B9C6" w14:textId="2C468FC1" w:rsidR="00841879" w:rsidRPr="006D2113" w:rsidRDefault="00EA5F70" w:rsidP="00231945">
            <w:pPr>
              <w:ind w:left="0"/>
              <w:contextualSpacing/>
              <w:jc w:val="center"/>
              <w:rPr>
                <w:rFonts w:asciiTheme="minorHAnsi" w:hAnsiTheme="minorHAnsi" w:cs="Arial"/>
                <w:szCs w:val="18"/>
              </w:rPr>
            </w:pPr>
            <w:r>
              <w:rPr>
                <w:rFonts w:asciiTheme="minorHAnsi" w:hAnsiTheme="minorHAnsi" w:cs="Arial"/>
                <w:szCs w:val="18"/>
              </w:rPr>
              <w:t>99</w:t>
            </w:r>
          </w:p>
        </w:tc>
        <w:tc>
          <w:tcPr>
            <w:tcW w:w="711" w:type="dxa"/>
          </w:tcPr>
          <w:p w14:paraId="5FFB9800" w14:textId="6ACE46F2" w:rsidR="00841879" w:rsidRPr="006D2113" w:rsidRDefault="00EA5F70" w:rsidP="00231945">
            <w:pPr>
              <w:ind w:left="0"/>
              <w:contextualSpacing/>
              <w:jc w:val="center"/>
              <w:rPr>
                <w:rFonts w:asciiTheme="minorHAnsi" w:hAnsiTheme="minorHAnsi" w:cs="Arial"/>
                <w:szCs w:val="18"/>
              </w:rPr>
            </w:pPr>
            <w:r>
              <w:rPr>
                <w:rFonts w:asciiTheme="minorHAnsi" w:hAnsiTheme="minorHAnsi" w:cs="Arial"/>
                <w:szCs w:val="18"/>
              </w:rPr>
              <w:t>144</w:t>
            </w:r>
          </w:p>
        </w:tc>
        <w:tc>
          <w:tcPr>
            <w:tcW w:w="1278" w:type="dxa"/>
          </w:tcPr>
          <w:p w14:paraId="5203253F" w14:textId="110DEAF7" w:rsidR="00841879" w:rsidRPr="006D2113" w:rsidRDefault="00EA5F70" w:rsidP="00231945">
            <w:pPr>
              <w:ind w:left="0"/>
              <w:contextualSpacing/>
              <w:jc w:val="right"/>
              <w:rPr>
                <w:rFonts w:asciiTheme="minorHAnsi" w:hAnsiTheme="minorHAnsi" w:cs="Arial"/>
                <w:szCs w:val="18"/>
              </w:rPr>
            </w:pPr>
            <w:r>
              <w:rPr>
                <w:rFonts w:asciiTheme="minorHAnsi" w:hAnsiTheme="minorHAnsi" w:cs="Arial"/>
                <w:szCs w:val="18"/>
              </w:rPr>
              <w:t>-25</w:t>
            </w:r>
          </w:p>
        </w:tc>
        <w:tc>
          <w:tcPr>
            <w:tcW w:w="1560" w:type="dxa"/>
          </w:tcPr>
          <w:p w14:paraId="5DB8B548" w14:textId="6B127165" w:rsidR="00841879" w:rsidRPr="006D2113" w:rsidRDefault="00EA5F70" w:rsidP="00231945">
            <w:pPr>
              <w:ind w:left="0"/>
              <w:contextualSpacing/>
              <w:jc w:val="right"/>
              <w:rPr>
                <w:rFonts w:asciiTheme="minorHAnsi" w:hAnsiTheme="minorHAnsi" w:cs="Arial"/>
                <w:szCs w:val="18"/>
              </w:rPr>
            </w:pPr>
            <w:r>
              <w:rPr>
                <w:rFonts w:asciiTheme="minorHAnsi" w:hAnsiTheme="minorHAnsi" w:cs="Arial"/>
                <w:szCs w:val="18"/>
              </w:rPr>
              <w:t>-45</w:t>
            </w:r>
          </w:p>
        </w:tc>
        <w:tc>
          <w:tcPr>
            <w:tcW w:w="1700" w:type="dxa"/>
          </w:tcPr>
          <w:p w14:paraId="120F6B5E" w14:textId="368152FB" w:rsidR="00841879" w:rsidRPr="006D2113" w:rsidRDefault="00EA5F70" w:rsidP="00231945">
            <w:pPr>
              <w:ind w:left="0"/>
              <w:contextualSpacing/>
              <w:jc w:val="right"/>
              <w:rPr>
                <w:rFonts w:asciiTheme="minorHAnsi" w:hAnsiTheme="minorHAnsi" w:cs="Arial"/>
                <w:szCs w:val="18"/>
              </w:rPr>
            </w:pPr>
            <w:r>
              <w:rPr>
                <w:rFonts w:asciiTheme="minorHAnsi" w:hAnsiTheme="minorHAnsi" w:cs="Arial"/>
                <w:szCs w:val="18"/>
              </w:rPr>
              <w:t>-70</w:t>
            </w:r>
          </w:p>
        </w:tc>
      </w:tr>
      <w:tr w:rsidR="00841879" w:rsidRPr="006D2113" w14:paraId="32BA6A60" w14:textId="77777777" w:rsidTr="00841879">
        <w:trPr>
          <w:trHeight w:val="264"/>
        </w:trPr>
        <w:tc>
          <w:tcPr>
            <w:tcW w:w="707" w:type="dxa"/>
          </w:tcPr>
          <w:p w14:paraId="541D44CB" w14:textId="77777777" w:rsidR="00841879" w:rsidRPr="006D2113" w:rsidRDefault="00841879" w:rsidP="00231945">
            <w:pPr>
              <w:ind w:left="0"/>
              <w:contextualSpacing/>
              <w:rPr>
                <w:rFonts w:asciiTheme="minorHAnsi" w:hAnsiTheme="minorHAnsi" w:cs="Arial"/>
                <w:szCs w:val="18"/>
              </w:rPr>
            </w:pPr>
            <w:r w:rsidRPr="006D2113">
              <w:rPr>
                <w:rFonts w:asciiTheme="minorHAnsi" w:hAnsiTheme="minorHAnsi" w:cs="Arial"/>
                <w:szCs w:val="18"/>
              </w:rPr>
              <w:t>2022</w:t>
            </w:r>
          </w:p>
        </w:tc>
        <w:tc>
          <w:tcPr>
            <w:tcW w:w="567" w:type="dxa"/>
          </w:tcPr>
          <w:p w14:paraId="01E50DF8" w14:textId="5B434899" w:rsidR="00841879" w:rsidRPr="006D2113" w:rsidRDefault="00EA5F70" w:rsidP="00231945">
            <w:pPr>
              <w:ind w:left="0"/>
              <w:contextualSpacing/>
              <w:jc w:val="center"/>
              <w:rPr>
                <w:rFonts w:asciiTheme="minorHAnsi" w:hAnsiTheme="minorHAnsi" w:cs="Arial"/>
                <w:szCs w:val="18"/>
              </w:rPr>
            </w:pPr>
            <w:r>
              <w:rPr>
                <w:rFonts w:asciiTheme="minorHAnsi" w:hAnsiTheme="minorHAnsi" w:cs="Arial"/>
                <w:szCs w:val="18"/>
              </w:rPr>
              <w:t>52</w:t>
            </w:r>
          </w:p>
        </w:tc>
        <w:tc>
          <w:tcPr>
            <w:tcW w:w="567" w:type="dxa"/>
          </w:tcPr>
          <w:p w14:paraId="4B559DFD" w14:textId="5466037C" w:rsidR="00841879" w:rsidRPr="006D2113" w:rsidRDefault="00EA5F70" w:rsidP="00231945">
            <w:pPr>
              <w:ind w:left="0"/>
              <w:contextualSpacing/>
              <w:jc w:val="center"/>
              <w:rPr>
                <w:rFonts w:asciiTheme="minorHAnsi" w:hAnsiTheme="minorHAnsi" w:cs="Arial"/>
                <w:szCs w:val="18"/>
              </w:rPr>
            </w:pPr>
            <w:r>
              <w:rPr>
                <w:rFonts w:asciiTheme="minorHAnsi" w:hAnsiTheme="minorHAnsi" w:cs="Arial"/>
                <w:szCs w:val="18"/>
              </w:rPr>
              <w:t>56</w:t>
            </w:r>
          </w:p>
        </w:tc>
        <w:tc>
          <w:tcPr>
            <w:tcW w:w="567" w:type="dxa"/>
          </w:tcPr>
          <w:p w14:paraId="2E9AC3E9" w14:textId="320136EB" w:rsidR="00841879" w:rsidRPr="006D2113" w:rsidRDefault="00EA5F70" w:rsidP="00231945">
            <w:pPr>
              <w:ind w:left="0"/>
              <w:contextualSpacing/>
              <w:jc w:val="center"/>
              <w:rPr>
                <w:rFonts w:asciiTheme="minorHAnsi" w:hAnsiTheme="minorHAnsi" w:cs="Arial"/>
                <w:szCs w:val="18"/>
              </w:rPr>
            </w:pPr>
            <w:r>
              <w:rPr>
                <w:rFonts w:asciiTheme="minorHAnsi" w:hAnsiTheme="minorHAnsi" w:cs="Arial"/>
                <w:szCs w:val="18"/>
              </w:rPr>
              <w:t>149</w:t>
            </w:r>
          </w:p>
        </w:tc>
        <w:tc>
          <w:tcPr>
            <w:tcW w:w="711" w:type="dxa"/>
          </w:tcPr>
          <w:p w14:paraId="025A99B0" w14:textId="08B9F556" w:rsidR="00841879" w:rsidRPr="006D2113" w:rsidRDefault="00EA5F70" w:rsidP="00231945">
            <w:pPr>
              <w:ind w:left="0"/>
              <w:contextualSpacing/>
              <w:jc w:val="center"/>
              <w:rPr>
                <w:rFonts w:asciiTheme="minorHAnsi" w:hAnsiTheme="minorHAnsi" w:cs="Arial"/>
                <w:szCs w:val="18"/>
              </w:rPr>
            </w:pPr>
            <w:r>
              <w:rPr>
                <w:rFonts w:asciiTheme="minorHAnsi" w:hAnsiTheme="minorHAnsi" w:cs="Arial"/>
                <w:szCs w:val="18"/>
              </w:rPr>
              <w:t>114</w:t>
            </w:r>
          </w:p>
        </w:tc>
        <w:tc>
          <w:tcPr>
            <w:tcW w:w="1278" w:type="dxa"/>
          </w:tcPr>
          <w:p w14:paraId="68C6B8D2" w14:textId="1BF59950" w:rsidR="00841879" w:rsidRPr="006D2113" w:rsidRDefault="00EA5F70" w:rsidP="00231945">
            <w:pPr>
              <w:ind w:left="0"/>
              <w:contextualSpacing/>
              <w:jc w:val="right"/>
              <w:rPr>
                <w:rFonts w:asciiTheme="minorHAnsi" w:hAnsiTheme="minorHAnsi" w:cs="Arial"/>
                <w:szCs w:val="18"/>
              </w:rPr>
            </w:pPr>
            <w:r>
              <w:rPr>
                <w:rFonts w:asciiTheme="minorHAnsi" w:hAnsiTheme="minorHAnsi" w:cs="Arial"/>
                <w:szCs w:val="18"/>
              </w:rPr>
              <w:t>-4</w:t>
            </w:r>
          </w:p>
        </w:tc>
        <w:tc>
          <w:tcPr>
            <w:tcW w:w="1560" w:type="dxa"/>
          </w:tcPr>
          <w:p w14:paraId="2AAD3FDC" w14:textId="71431C04" w:rsidR="00841879" w:rsidRPr="006D2113" w:rsidRDefault="00EA5F70" w:rsidP="00231945">
            <w:pPr>
              <w:ind w:left="0"/>
              <w:contextualSpacing/>
              <w:jc w:val="right"/>
              <w:rPr>
                <w:rFonts w:asciiTheme="minorHAnsi" w:hAnsiTheme="minorHAnsi" w:cs="Arial"/>
                <w:szCs w:val="18"/>
              </w:rPr>
            </w:pPr>
            <w:r>
              <w:rPr>
                <w:rFonts w:asciiTheme="minorHAnsi" w:hAnsiTheme="minorHAnsi" w:cs="Arial"/>
                <w:szCs w:val="18"/>
              </w:rPr>
              <w:t>35</w:t>
            </w:r>
          </w:p>
        </w:tc>
        <w:tc>
          <w:tcPr>
            <w:tcW w:w="1700" w:type="dxa"/>
          </w:tcPr>
          <w:p w14:paraId="5377B728" w14:textId="63CBB397" w:rsidR="00841879" w:rsidRPr="006D2113" w:rsidRDefault="00EA5F70" w:rsidP="00231945">
            <w:pPr>
              <w:ind w:left="0"/>
              <w:contextualSpacing/>
              <w:jc w:val="right"/>
              <w:rPr>
                <w:rFonts w:asciiTheme="minorHAnsi" w:hAnsiTheme="minorHAnsi" w:cs="Arial"/>
                <w:szCs w:val="18"/>
              </w:rPr>
            </w:pPr>
            <w:r>
              <w:rPr>
                <w:rFonts w:asciiTheme="minorHAnsi" w:hAnsiTheme="minorHAnsi" w:cs="Arial"/>
                <w:szCs w:val="18"/>
              </w:rPr>
              <w:t>31</w:t>
            </w:r>
          </w:p>
        </w:tc>
      </w:tr>
      <w:tr w:rsidR="00841879" w:rsidRPr="006D2113" w14:paraId="5BD0F84A" w14:textId="77777777" w:rsidTr="00841879">
        <w:trPr>
          <w:trHeight w:val="264"/>
        </w:trPr>
        <w:tc>
          <w:tcPr>
            <w:tcW w:w="707" w:type="dxa"/>
          </w:tcPr>
          <w:p w14:paraId="348FAD7B" w14:textId="77777777" w:rsidR="00841879" w:rsidRPr="006D2113" w:rsidRDefault="00841879" w:rsidP="00231945">
            <w:pPr>
              <w:ind w:left="0"/>
              <w:contextualSpacing/>
              <w:rPr>
                <w:rFonts w:asciiTheme="minorHAnsi" w:hAnsiTheme="minorHAnsi" w:cs="Arial"/>
                <w:szCs w:val="18"/>
              </w:rPr>
            </w:pPr>
            <w:r w:rsidRPr="006D2113">
              <w:rPr>
                <w:rFonts w:asciiTheme="minorHAnsi" w:hAnsiTheme="minorHAnsi" w:cs="Arial"/>
                <w:szCs w:val="18"/>
              </w:rPr>
              <w:t>2023</w:t>
            </w:r>
          </w:p>
        </w:tc>
        <w:tc>
          <w:tcPr>
            <w:tcW w:w="567" w:type="dxa"/>
          </w:tcPr>
          <w:p w14:paraId="06FF21E7" w14:textId="2BA9344D" w:rsidR="00841879" w:rsidRPr="006D2113" w:rsidRDefault="00EA5F70" w:rsidP="00231945">
            <w:pPr>
              <w:ind w:left="0"/>
              <w:contextualSpacing/>
              <w:jc w:val="center"/>
              <w:rPr>
                <w:rFonts w:asciiTheme="minorHAnsi" w:hAnsiTheme="minorHAnsi" w:cs="Arial"/>
                <w:szCs w:val="18"/>
              </w:rPr>
            </w:pPr>
            <w:r>
              <w:rPr>
                <w:rFonts w:asciiTheme="minorHAnsi" w:hAnsiTheme="minorHAnsi" w:cs="Arial"/>
                <w:szCs w:val="18"/>
              </w:rPr>
              <w:t>34</w:t>
            </w:r>
          </w:p>
        </w:tc>
        <w:tc>
          <w:tcPr>
            <w:tcW w:w="567" w:type="dxa"/>
          </w:tcPr>
          <w:p w14:paraId="04C442B5" w14:textId="157D1568" w:rsidR="00841879" w:rsidRPr="006D2113" w:rsidRDefault="00EA5F70" w:rsidP="00231945">
            <w:pPr>
              <w:ind w:left="0"/>
              <w:contextualSpacing/>
              <w:jc w:val="center"/>
              <w:rPr>
                <w:rFonts w:asciiTheme="minorHAnsi" w:hAnsiTheme="minorHAnsi" w:cs="Arial"/>
                <w:szCs w:val="18"/>
              </w:rPr>
            </w:pPr>
            <w:r>
              <w:rPr>
                <w:rFonts w:asciiTheme="minorHAnsi" w:hAnsiTheme="minorHAnsi" w:cs="Arial"/>
                <w:szCs w:val="18"/>
              </w:rPr>
              <w:t>51</w:t>
            </w:r>
          </w:p>
        </w:tc>
        <w:tc>
          <w:tcPr>
            <w:tcW w:w="567" w:type="dxa"/>
          </w:tcPr>
          <w:p w14:paraId="783FDE89" w14:textId="0291C730" w:rsidR="00841879" w:rsidRPr="006D2113" w:rsidRDefault="00EA5F70" w:rsidP="00231945">
            <w:pPr>
              <w:ind w:left="0"/>
              <w:contextualSpacing/>
              <w:jc w:val="center"/>
              <w:rPr>
                <w:rFonts w:asciiTheme="minorHAnsi" w:hAnsiTheme="minorHAnsi" w:cs="Arial"/>
                <w:szCs w:val="18"/>
              </w:rPr>
            </w:pPr>
            <w:r>
              <w:rPr>
                <w:rFonts w:asciiTheme="minorHAnsi" w:hAnsiTheme="minorHAnsi" w:cs="Arial"/>
                <w:szCs w:val="18"/>
              </w:rPr>
              <w:t>116</w:t>
            </w:r>
          </w:p>
        </w:tc>
        <w:tc>
          <w:tcPr>
            <w:tcW w:w="711" w:type="dxa"/>
          </w:tcPr>
          <w:p w14:paraId="4549243B" w14:textId="13BDD98E" w:rsidR="00841879" w:rsidRPr="006D2113" w:rsidRDefault="00EA5F70" w:rsidP="00231945">
            <w:pPr>
              <w:ind w:left="0"/>
              <w:contextualSpacing/>
              <w:jc w:val="center"/>
              <w:rPr>
                <w:rFonts w:asciiTheme="minorHAnsi" w:hAnsiTheme="minorHAnsi" w:cs="Arial"/>
                <w:szCs w:val="18"/>
              </w:rPr>
            </w:pPr>
            <w:r>
              <w:rPr>
                <w:rFonts w:asciiTheme="minorHAnsi" w:hAnsiTheme="minorHAnsi" w:cs="Arial"/>
                <w:szCs w:val="18"/>
              </w:rPr>
              <w:t>103</w:t>
            </w:r>
          </w:p>
        </w:tc>
        <w:tc>
          <w:tcPr>
            <w:tcW w:w="1278" w:type="dxa"/>
          </w:tcPr>
          <w:p w14:paraId="21FFCC05" w14:textId="422C92D7" w:rsidR="00841879" w:rsidRPr="006D2113" w:rsidRDefault="00EA5F70" w:rsidP="00231945">
            <w:pPr>
              <w:ind w:left="0"/>
              <w:contextualSpacing/>
              <w:jc w:val="right"/>
              <w:rPr>
                <w:rFonts w:asciiTheme="minorHAnsi" w:hAnsiTheme="minorHAnsi" w:cs="Arial"/>
                <w:szCs w:val="18"/>
              </w:rPr>
            </w:pPr>
            <w:r>
              <w:rPr>
                <w:rFonts w:asciiTheme="minorHAnsi" w:hAnsiTheme="minorHAnsi" w:cs="Arial"/>
                <w:szCs w:val="18"/>
              </w:rPr>
              <w:t>-17</w:t>
            </w:r>
          </w:p>
        </w:tc>
        <w:tc>
          <w:tcPr>
            <w:tcW w:w="1560" w:type="dxa"/>
          </w:tcPr>
          <w:p w14:paraId="6D429476" w14:textId="4A56F4BF" w:rsidR="00841879" w:rsidRPr="006D2113" w:rsidRDefault="00EA5F70" w:rsidP="00231945">
            <w:pPr>
              <w:ind w:left="0"/>
              <w:contextualSpacing/>
              <w:jc w:val="right"/>
              <w:rPr>
                <w:rFonts w:asciiTheme="minorHAnsi" w:hAnsiTheme="minorHAnsi" w:cs="Arial"/>
                <w:szCs w:val="18"/>
              </w:rPr>
            </w:pPr>
            <w:r>
              <w:rPr>
                <w:rFonts w:asciiTheme="minorHAnsi" w:hAnsiTheme="minorHAnsi" w:cs="Arial"/>
                <w:szCs w:val="18"/>
              </w:rPr>
              <w:t>13</w:t>
            </w:r>
          </w:p>
        </w:tc>
        <w:tc>
          <w:tcPr>
            <w:tcW w:w="1700" w:type="dxa"/>
          </w:tcPr>
          <w:p w14:paraId="2E4658FF" w14:textId="0F8AF6A3" w:rsidR="00841879" w:rsidRPr="006D2113" w:rsidRDefault="00EA5F70" w:rsidP="00231945">
            <w:pPr>
              <w:ind w:left="0"/>
              <w:contextualSpacing/>
              <w:jc w:val="right"/>
              <w:rPr>
                <w:rFonts w:asciiTheme="minorHAnsi" w:hAnsiTheme="minorHAnsi" w:cs="Arial"/>
                <w:szCs w:val="18"/>
              </w:rPr>
            </w:pPr>
            <w:r>
              <w:rPr>
                <w:rFonts w:asciiTheme="minorHAnsi" w:hAnsiTheme="minorHAnsi" w:cs="Arial"/>
                <w:szCs w:val="18"/>
              </w:rPr>
              <w:t>-4</w:t>
            </w:r>
          </w:p>
        </w:tc>
      </w:tr>
      <w:tr w:rsidR="00841879" w:rsidRPr="00D15C55" w14:paraId="38794360" w14:textId="77777777" w:rsidTr="00231945">
        <w:trPr>
          <w:trHeight w:val="264"/>
        </w:trPr>
        <w:tc>
          <w:tcPr>
            <w:tcW w:w="707" w:type="dxa"/>
          </w:tcPr>
          <w:p w14:paraId="3730F0FE" w14:textId="77777777" w:rsidR="00841879" w:rsidRPr="00841879" w:rsidRDefault="00841879" w:rsidP="00231945">
            <w:pPr>
              <w:ind w:left="0"/>
              <w:contextualSpacing/>
              <w:rPr>
                <w:rFonts w:asciiTheme="minorHAnsi" w:hAnsiTheme="minorHAnsi" w:cs="Arial"/>
                <w:szCs w:val="18"/>
              </w:rPr>
            </w:pPr>
            <w:r w:rsidRPr="00841879">
              <w:rPr>
                <w:rFonts w:asciiTheme="minorHAnsi" w:hAnsiTheme="minorHAnsi" w:cs="Arial"/>
                <w:szCs w:val="18"/>
              </w:rPr>
              <w:t>2024</w:t>
            </w:r>
          </w:p>
        </w:tc>
        <w:tc>
          <w:tcPr>
            <w:tcW w:w="567" w:type="dxa"/>
          </w:tcPr>
          <w:p w14:paraId="6B9A0402" w14:textId="4CB5CFE6" w:rsidR="00841879" w:rsidRPr="00841879" w:rsidRDefault="00EA5F70" w:rsidP="00231945">
            <w:pPr>
              <w:ind w:left="0"/>
              <w:contextualSpacing/>
              <w:jc w:val="center"/>
              <w:rPr>
                <w:rFonts w:asciiTheme="minorHAnsi" w:hAnsiTheme="minorHAnsi" w:cs="Arial"/>
                <w:szCs w:val="18"/>
              </w:rPr>
            </w:pPr>
            <w:r>
              <w:rPr>
                <w:rFonts w:asciiTheme="minorHAnsi" w:hAnsiTheme="minorHAnsi" w:cs="Arial"/>
                <w:szCs w:val="18"/>
              </w:rPr>
              <w:t>33</w:t>
            </w:r>
          </w:p>
        </w:tc>
        <w:tc>
          <w:tcPr>
            <w:tcW w:w="567" w:type="dxa"/>
          </w:tcPr>
          <w:p w14:paraId="0E98A25D" w14:textId="7C67BD83" w:rsidR="00841879" w:rsidRPr="00841879" w:rsidRDefault="00EA5F70" w:rsidP="00231945">
            <w:pPr>
              <w:ind w:left="0"/>
              <w:contextualSpacing/>
              <w:jc w:val="center"/>
              <w:rPr>
                <w:rFonts w:asciiTheme="minorHAnsi" w:hAnsiTheme="minorHAnsi" w:cs="Arial"/>
                <w:szCs w:val="18"/>
              </w:rPr>
            </w:pPr>
            <w:r>
              <w:rPr>
                <w:rFonts w:asciiTheme="minorHAnsi" w:hAnsiTheme="minorHAnsi" w:cs="Arial"/>
                <w:szCs w:val="18"/>
              </w:rPr>
              <w:t>51</w:t>
            </w:r>
          </w:p>
        </w:tc>
        <w:tc>
          <w:tcPr>
            <w:tcW w:w="567" w:type="dxa"/>
          </w:tcPr>
          <w:p w14:paraId="109970FA" w14:textId="4767994F" w:rsidR="00841879" w:rsidRPr="00841879" w:rsidRDefault="00EA5F70" w:rsidP="00231945">
            <w:pPr>
              <w:ind w:left="0"/>
              <w:contextualSpacing/>
              <w:jc w:val="center"/>
              <w:rPr>
                <w:rFonts w:asciiTheme="minorHAnsi" w:hAnsiTheme="minorHAnsi" w:cs="Arial"/>
                <w:szCs w:val="18"/>
              </w:rPr>
            </w:pPr>
            <w:r>
              <w:rPr>
                <w:rFonts w:asciiTheme="minorHAnsi" w:hAnsiTheme="minorHAnsi" w:cs="Arial"/>
                <w:szCs w:val="18"/>
              </w:rPr>
              <w:t>132</w:t>
            </w:r>
          </w:p>
        </w:tc>
        <w:tc>
          <w:tcPr>
            <w:tcW w:w="711" w:type="dxa"/>
          </w:tcPr>
          <w:p w14:paraId="698FDA38" w14:textId="4A8A2FB3" w:rsidR="00841879" w:rsidRPr="00841879" w:rsidRDefault="00EA5F70" w:rsidP="00231945">
            <w:pPr>
              <w:ind w:left="0"/>
              <w:contextualSpacing/>
              <w:jc w:val="center"/>
              <w:rPr>
                <w:rFonts w:asciiTheme="minorHAnsi" w:hAnsiTheme="minorHAnsi" w:cs="Arial"/>
                <w:szCs w:val="18"/>
              </w:rPr>
            </w:pPr>
            <w:r>
              <w:rPr>
                <w:rFonts w:asciiTheme="minorHAnsi" w:hAnsiTheme="minorHAnsi" w:cs="Arial"/>
                <w:szCs w:val="18"/>
              </w:rPr>
              <w:t>109</w:t>
            </w:r>
          </w:p>
        </w:tc>
        <w:tc>
          <w:tcPr>
            <w:tcW w:w="1278" w:type="dxa"/>
          </w:tcPr>
          <w:p w14:paraId="4EB38769" w14:textId="557F7667" w:rsidR="00841879" w:rsidRPr="00841879" w:rsidRDefault="00EA5F70" w:rsidP="00231945">
            <w:pPr>
              <w:ind w:left="0"/>
              <w:contextualSpacing/>
              <w:jc w:val="right"/>
              <w:rPr>
                <w:rFonts w:asciiTheme="minorHAnsi" w:hAnsiTheme="minorHAnsi" w:cs="Arial"/>
                <w:szCs w:val="18"/>
              </w:rPr>
            </w:pPr>
            <w:r>
              <w:rPr>
                <w:rFonts w:asciiTheme="minorHAnsi" w:hAnsiTheme="minorHAnsi" w:cs="Arial"/>
                <w:szCs w:val="18"/>
              </w:rPr>
              <w:t>-18</w:t>
            </w:r>
          </w:p>
        </w:tc>
        <w:tc>
          <w:tcPr>
            <w:tcW w:w="1560" w:type="dxa"/>
          </w:tcPr>
          <w:p w14:paraId="585EA4A7" w14:textId="6EF9162E" w:rsidR="00841879" w:rsidRPr="00841879" w:rsidRDefault="00EA5F70" w:rsidP="00231945">
            <w:pPr>
              <w:ind w:left="0"/>
              <w:contextualSpacing/>
              <w:jc w:val="right"/>
              <w:rPr>
                <w:rFonts w:asciiTheme="minorHAnsi" w:hAnsiTheme="minorHAnsi" w:cs="Arial"/>
                <w:szCs w:val="18"/>
              </w:rPr>
            </w:pPr>
            <w:r>
              <w:rPr>
                <w:rFonts w:asciiTheme="minorHAnsi" w:hAnsiTheme="minorHAnsi" w:cs="Arial"/>
                <w:szCs w:val="18"/>
              </w:rPr>
              <w:t>23</w:t>
            </w:r>
          </w:p>
        </w:tc>
        <w:tc>
          <w:tcPr>
            <w:tcW w:w="1700" w:type="dxa"/>
          </w:tcPr>
          <w:p w14:paraId="41DF8EE2" w14:textId="53771AC2" w:rsidR="00841879" w:rsidRPr="00841879" w:rsidRDefault="00EA5F70" w:rsidP="00231945">
            <w:pPr>
              <w:ind w:left="0"/>
              <w:contextualSpacing/>
              <w:jc w:val="right"/>
              <w:rPr>
                <w:rFonts w:asciiTheme="minorHAnsi" w:hAnsiTheme="minorHAnsi" w:cs="Arial"/>
                <w:szCs w:val="18"/>
              </w:rPr>
            </w:pPr>
            <w:r>
              <w:rPr>
                <w:rFonts w:asciiTheme="minorHAnsi" w:hAnsiTheme="minorHAnsi" w:cs="Arial"/>
                <w:szCs w:val="18"/>
              </w:rPr>
              <w:t>5</w:t>
            </w:r>
          </w:p>
        </w:tc>
      </w:tr>
      <w:tr w:rsidR="00841879" w:rsidRPr="00D15C55" w14:paraId="1922F57F" w14:textId="77777777" w:rsidTr="00841879">
        <w:trPr>
          <w:trHeight w:val="264"/>
        </w:trPr>
        <w:tc>
          <w:tcPr>
            <w:tcW w:w="707" w:type="dxa"/>
          </w:tcPr>
          <w:p w14:paraId="7AD21DEC" w14:textId="5AA45983" w:rsidR="00841879" w:rsidRPr="00841879" w:rsidRDefault="00841879" w:rsidP="00231945">
            <w:pPr>
              <w:ind w:left="0"/>
              <w:contextualSpacing/>
              <w:rPr>
                <w:rFonts w:asciiTheme="minorHAnsi" w:hAnsiTheme="minorHAnsi" w:cs="Arial"/>
                <w:szCs w:val="18"/>
              </w:rPr>
            </w:pPr>
            <w:r w:rsidRPr="00841879">
              <w:rPr>
                <w:rFonts w:asciiTheme="minorHAnsi" w:hAnsiTheme="minorHAnsi" w:cs="Arial"/>
                <w:szCs w:val="18"/>
              </w:rPr>
              <w:t>202</w:t>
            </w:r>
            <w:r>
              <w:rPr>
                <w:rFonts w:asciiTheme="minorHAnsi" w:hAnsiTheme="minorHAnsi" w:cs="Arial"/>
                <w:szCs w:val="18"/>
              </w:rPr>
              <w:t>5</w:t>
            </w:r>
          </w:p>
        </w:tc>
        <w:tc>
          <w:tcPr>
            <w:tcW w:w="567" w:type="dxa"/>
          </w:tcPr>
          <w:p w14:paraId="69D2EE47" w14:textId="5D36D855" w:rsidR="00841879" w:rsidRPr="00841879" w:rsidRDefault="00EA5F70" w:rsidP="00231945">
            <w:pPr>
              <w:ind w:left="0"/>
              <w:contextualSpacing/>
              <w:jc w:val="center"/>
              <w:rPr>
                <w:rFonts w:asciiTheme="minorHAnsi" w:hAnsiTheme="minorHAnsi" w:cs="Arial"/>
                <w:szCs w:val="18"/>
              </w:rPr>
            </w:pPr>
            <w:r>
              <w:rPr>
                <w:rFonts w:asciiTheme="minorHAnsi" w:hAnsiTheme="minorHAnsi" w:cs="Arial"/>
                <w:szCs w:val="18"/>
              </w:rPr>
              <w:t>31</w:t>
            </w:r>
          </w:p>
        </w:tc>
        <w:tc>
          <w:tcPr>
            <w:tcW w:w="567" w:type="dxa"/>
          </w:tcPr>
          <w:p w14:paraId="5C0C0A42" w14:textId="354D0A99" w:rsidR="00841879" w:rsidRPr="00841879" w:rsidRDefault="00EA5F70" w:rsidP="00231945">
            <w:pPr>
              <w:ind w:left="0"/>
              <w:contextualSpacing/>
              <w:jc w:val="center"/>
              <w:rPr>
                <w:rFonts w:asciiTheme="minorHAnsi" w:hAnsiTheme="minorHAnsi" w:cs="Arial"/>
                <w:szCs w:val="18"/>
              </w:rPr>
            </w:pPr>
            <w:r>
              <w:rPr>
                <w:rFonts w:asciiTheme="minorHAnsi" w:hAnsiTheme="minorHAnsi" w:cs="Arial"/>
                <w:szCs w:val="18"/>
              </w:rPr>
              <w:t>47</w:t>
            </w:r>
          </w:p>
        </w:tc>
        <w:tc>
          <w:tcPr>
            <w:tcW w:w="567" w:type="dxa"/>
          </w:tcPr>
          <w:p w14:paraId="54F27877" w14:textId="120404B9" w:rsidR="00841879" w:rsidRPr="00841879" w:rsidRDefault="00EA5F70" w:rsidP="00231945">
            <w:pPr>
              <w:ind w:left="0"/>
              <w:contextualSpacing/>
              <w:jc w:val="center"/>
              <w:rPr>
                <w:rFonts w:asciiTheme="minorHAnsi" w:hAnsiTheme="minorHAnsi" w:cs="Arial"/>
                <w:szCs w:val="18"/>
              </w:rPr>
            </w:pPr>
            <w:r>
              <w:rPr>
                <w:rFonts w:asciiTheme="minorHAnsi" w:hAnsiTheme="minorHAnsi" w:cs="Arial"/>
                <w:szCs w:val="18"/>
              </w:rPr>
              <w:t>119</w:t>
            </w:r>
          </w:p>
        </w:tc>
        <w:tc>
          <w:tcPr>
            <w:tcW w:w="711" w:type="dxa"/>
          </w:tcPr>
          <w:p w14:paraId="75045C0C" w14:textId="64357B88" w:rsidR="00841879" w:rsidRPr="00841879" w:rsidRDefault="00EA5F70" w:rsidP="00231945">
            <w:pPr>
              <w:ind w:left="0"/>
              <w:contextualSpacing/>
              <w:jc w:val="center"/>
              <w:rPr>
                <w:rFonts w:asciiTheme="minorHAnsi" w:hAnsiTheme="minorHAnsi" w:cs="Arial"/>
                <w:szCs w:val="18"/>
              </w:rPr>
            </w:pPr>
            <w:r>
              <w:rPr>
                <w:rFonts w:asciiTheme="minorHAnsi" w:hAnsiTheme="minorHAnsi" w:cs="Arial"/>
                <w:szCs w:val="18"/>
              </w:rPr>
              <w:t>134</w:t>
            </w:r>
          </w:p>
        </w:tc>
        <w:tc>
          <w:tcPr>
            <w:tcW w:w="1278" w:type="dxa"/>
          </w:tcPr>
          <w:p w14:paraId="434C2B00" w14:textId="79106FB6" w:rsidR="00841879" w:rsidRPr="00841879" w:rsidRDefault="00EA5F70" w:rsidP="00231945">
            <w:pPr>
              <w:ind w:left="0"/>
              <w:contextualSpacing/>
              <w:jc w:val="right"/>
              <w:rPr>
                <w:rFonts w:asciiTheme="minorHAnsi" w:hAnsiTheme="minorHAnsi" w:cs="Arial"/>
                <w:szCs w:val="18"/>
              </w:rPr>
            </w:pPr>
            <w:r>
              <w:rPr>
                <w:rFonts w:asciiTheme="minorHAnsi" w:hAnsiTheme="minorHAnsi" w:cs="Arial"/>
                <w:szCs w:val="18"/>
              </w:rPr>
              <w:t>-16</w:t>
            </w:r>
          </w:p>
        </w:tc>
        <w:tc>
          <w:tcPr>
            <w:tcW w:w="1560" w:type="dxa"/>
          </w:tcPr>
          <w:p w14:paraId="5C1A758A" w14:textId="626B0BC3" w:rsidR="00841879" w:rsidRPr="00841879" w:rsidRDefault="00EA5F70" w:rsidP="00231945">
            <w:pPr>
              <w:ind w:left="0"/>
              <w:contextualSpacing/>
              <w:jc w:val="right"/>
              <w:rPr>
                <w:rFonts w:asciiTheme="minorHAnsi" w:hAnsiTheme="minorHAnsi" w:cs="Arial"/>
                <w:szCs w:val="18"/>
              </w:rPr>
            </w:pPr>
            <w:r>
              <w:rPr>
                <w:rFonts w:asciiTheme="minorHAnsi" w:hAnsiTheme="minorHAnsi" w:cs="Arial"/>
                <w:szCs w:val="18"/>
              </w:rPr>
              <w:t>-15</w:t>
            </w:r>
          </w:p>
        </w:tc>
        <w:tc>
          <w:tcPr>
            <w:tcW w:w="1700" w:type="dxa"/>
          </w:tcPr>
          <w:p w14:paraId="7E1C2777" w14:textId="705FD91A" w:rsidR="00841879" w:rsidRPr="00841879" w:rsidRDefault="00EA5F70" w:rsidP="00231945">
            <w:pPr>
              <w:ind w:left="0"/>
              <w:contextualSpacing/>
              <w:jc w:val="right"/>
              <w:rPr>
                <w:rFonts w:asciiTheme="minorHAnsi" w:hAnsiTheme="minorHAnsi" w:cs="Arial"/>
                <w:szCs w:val="18"/>
              </w:rPr>
            </w:pPr>
            <w:r>
              <w:rPr>
                <w:rFonts w:asciiTheme="minorHAnsi" w:hAnsiTheme="minorHAnsi" w:cs="Arial"/>
                <w:szCs w:val="18"/>
              </w:rPr>
              <w:t>-31</w:t>
            </w:r>
          </w:p>
        </w:tc>
      </w:tr>
    </w:tbl>
    <w:p w14:paraId="6D30C6F3" w14:textId="77777777" w:rsidR="00841879" w:rsidRDefault="00841879" w:rsidP="00E84814">
      <w:pPr>
        <w:pStyle w:val="Citt"/>
        <w:jc w:val="left"/>
      </w:pPr>
      <w:r w:rsidRPr="002477E3">
        <w:t>(zdroj: ČSÚ)</w:t>
      </w:r>
    </w:p>
    <w:p w14:paraId="1124692D" w14:textId="21FDF3E9" w:rsidR="005B58A3" w:rsidRPr="0089648C" w:rsidRDefault="00427E5F" w:rsidP="005B58A3">
      <w:pPr>
        <w:rPr>
          <w:b/>
          <w:bCs/>
        </w:rPr>
      </w:pPr>
      <w:r w:rsidRPr="0089648C">
        <w:rPr>
          <w:b/>
          <w:bCs/>
        </w:rPr>
        <w:t xml:space="preserve">Z demografického vývoje obce vyplývá, že významné navyšování zastavitelných ploch pro bydlení není </w:t>
      </w:r>
      <w:r w:rsidR="00841879" w:rsidRPr="0089648C">
        <w:rPr>
          <w:b/>
          <w:bCs/>
        </w:rPr>
        <w:t>potřebné,</w:t>
      </w:r>
      <w:r w:rsidRPr="0089648C">
        <w:rPr>
          <w:b/>
          <w:bCs/>
        </w:rPr>
        <w:t xml:space="preserve"> a naopak je vhodná jejich případná redukce, zejména v lokalitách, jejichž stavební využití není v souladu s urbanistickou koncepcí obce.</w:t>
      </w:r>
    </w:p>
    <w:p w14:paraId="60C48184" w14:textId="39770FCE" w:rsidR="00EA5F70" w:rsidRDefault="00EA5F70" w:rsidP="008A41F9">
      <w:pPr>
        <w:pStyle w:val="Nadpis4"/>
      </w:pPr>
      <w:r>
        <w:lastRenderedPageBreak/>
        <w:t>Věková struktura obyvatel</w:t>
      </w:r>
    </w:p>
    <w:p w14:paraId="089776ED" w14:textId="5AE0D2FB" w:rsidR="00EA5F70" w:rsidRPr="006C66C2" w:rsidRDefault="00EA5F70" w:rsidP="00EA5F70">
      <w:r w:rsidRPr="006C66C2">
        <w:t>Počet obyvatel a věková struktura – srovnání s ČR, 31.12 202</w:t>
      </w:r>
      <w:r w:rsidR="00837800">
        <w:t>5</w:t>
      </w:r>
      <w:r w:rsidRPr="006C66C2">
        <w:t xml:space="preserve"> </w:t>
      </w:r>
    </w:p>
    <w:tbl>
      <w:tblPr>
        <w:tblStyle w:val="Mkatabulky"/>
        <w:tblW w:w="7796" w:type="dxa"/>
        <w:tblInd w:w="709" w:type="dxa"/>
        <w:tblBorders>
          <w:top w:val="dashSmallGap" w:sz="4" w:space="0" w:color="000000"/>
          <w:left w:val="none" w:sz="0" w:space="0" w:color="auto"/>
          <w:bottom w:val="dashSmallGap" w:sz="4" w:space="0" w:color="000000"/>
          <w:right w:val="none" w:sz="0" w:space="0" w:color="auto"/>
          <w:insideH w:val="dashSmallGap" w:sz="4" w:space="0" w:color="000000"/>
          <w:insideV w:val="none" w:sz="0" w:space="0" w:color="auto"/>
        </w:tblBorders>
        <w:tblLook w:val="04A0" w:firstRow="1" w:lastRow="0" w:firstColumn="1" w:lastColumn="0" w:noHBand="0" w:noVBand="1"/>
      </w:tblPr>
      <w:tblGrid>
        <w:gridCol w:w="893"/>
        <w:gridCol w:w="726"/>
        <w:gridCol w:w="1109"/>
        <w:gridCol w:w="1091"/>
        <w:gridCol w:w="962"/>
        <w:gridCol w:w="962"/>
        <w:gridCol w:w="962"/>
        <w:gridCol w:w="1091"/>
      </w:tblGrid>
      <w:tr w:rsidR="00EA5F70" w:rsidRPr="006D2113" w14:paraId="5016E905" w14:textId="77777777" w:rsidTr="00EA5F70">
        <w:tc>
          <w:tcPr>
            <w:tcW w:w="682" w:type="dxa"/>
          </w:tcPr>
          <w:p w14:paraId="35BA175F" w14:textId="77777777" w:rsidR="00EA5F70" w:rsidRPr="006D2113" w:rsidRDefault="00EA5F70" w:rsidP="00231945">
            <w:pPr>
              <w:ind w:left="0"/>
              <w:contextualSpacing/>
              <w:rPr>
                <w:rFonts w:asciiTheme="minorHAnsi" w:hAnsiTheme="minorHAnsi" w:cstheme="minorHAnsi"/>
                <w:b/>
                <w:szCs w:val="18"/>
              </w:rPr>
            </w:pPr>
          </w:p>
        </w:tc>
        <w:tc>
          <w:tcPr>
            <w:tcW w:w="736" w:type="dxa"/>
          </w:tcPr>
          <w:p w14:paraId="3F1F76F9" w14:textId="77777777" w:rsidR="00EA5F70" w:rsidRPr="006D2113" w:rsidRDefault="00EA5F70" w:rsidP="00231945">
            <w:pPr>
              <w:ind w:left="0"/>
              <w:contextualSpacing/>
              <w:rPr>
                <w:rFonts w:asciiTheme="minorHAnsi" w:hAnsiTheme="minorHAnsi" w:cstheme="minorHAnsi"/>
                <w:b/>
                <w:szCs w:val="18"/>
              </w:rPr>
            </w:pPr>
          </w:p>
        </w:tc>
        <w:tc>
          <w:tcPr>
            <w:tcW w:w="1134" w:type="dxa"/>
          </w:tcPr>
          <w:p w14:paraId="3523F1AB" w14:textId="77777777" w:rsidR="00EA5F70" w:rsidRPr="006D2113" w:rsidRDefault="00EA5F70" w:rsidP="00231945">
            <w:pPr>
              <w:ind w:left="0"/>
              <w:contextualSpacing/>
              <w:rPr>
                <w:rFonts w:asciiTheme="minorHAnsi" w:hAnsiTheme="minorHAnsi" w:cstheme="minorHAnsi"/>
                <w:b/>
                <w:szCs w:val="18"/>
              </w:rPr>
            </w:pPr>
            <w:r w:rsidRPr="006D2113">
              <w:rPr>
                <w:rFonts w:asciiTheme="minorHAnsi" w:hAnsiTheme="minorHAnsi" w:cstheme="minorHAnsi"/>
                <w:b/>
                <w:color w:val="000000"/>
                <w:szCs w:val="18"/>
              </w:rPr>
              <w:t>Celkem obyvatel</w:t>
            </w:r>
          </w:p>
        </w:tc>
        <w:tc>
          <w:tcPr>
            <w:tcW w:w="1134" w:type="dxa"/>
          </w:tcPr>
          <w:p w14:paraId="3EFB0457" w14:textId="77777777" w:rsidR="00EA5F70" w:rsidRPr="006D2113" w:rsidRDefault="00EA5F70" w:rsidP="00231945">
            <w:pPr>
              <w:ind w:left="0"/>
              <w:contextualSpacing/>
              <w:rPr>
                <w:rFonts w:asciiTheme="minorHAnsi" w:hAnsiTheme="minorHAnsi" w:cstheme="minorHAnsi"/>
                <w:b/>
                <w:szCs w:val="18"/>
              </w:rPr>
            </w:pPr>
            <w:r w:rsidRPr="006D2113">
              <w:rPr>
                <w:rFonts w:asciiTheme="minorHAnsi" w:hAnsiTheme="minorHAnsi" w:cstheme="minorHAnsi"/>
                <w:b/>
                <w:color w:val="000000"/>
                <w:szCs w:val="18"/>
              </w:rPr>
              <w:t>Muži</w:t>
            </w:r>
          </w:p>
        </w:tc>
        <w:tc>
          <w:tcPr>
            <w:tcW w:w="992" w:type="dxa"/>
          </w:tcPr>
          <w:p w14:paraId="3EE24191" w14:textId="77777777" w:rsidR="00EA5F70" w:rsidRPr="006D2113" w:rsidRDefault="00EA5F70" w:rsidP="00231945">
            <w:pPr>
              <w:ind w:left="0"/>
              <w:contextualSpacing/>
              <w:rPr>
                <w:rFonts w:asciiTheme="minorHAnsi" w:hAnsiTheme="minorHAnsi" w:cstheme="minorHAnsi"/>
                <w:b/>
                <w:szCs w:val="18"/>
              </w:rPr>
            </w:pPr>
            <w:r w:rsidRPr="006D2113">
              <w:rPr>
                <w:rFonts w:asciiTheme="minorHAnsi" w:hAnsiTheme="minorHAnsi" w:cstheme="minorHAnsi"/>
                <w:b/>
                <w:color w:val="000000"/>
                <w:szCs w:val="18"/>
              </w:rPr>
              <w:t>Ženy</w:t>
            </w:r>
          </w:p>
        </w:tc>
        <w:tc>
          <w:tcPr>
            <w:tcW w:w="992" w:type="dxa"/>
          </w:tcPr>
          <w:p w14:paraId="08FA27DA" w14:textId="77777777" w:rsidR="00EA5F70" w:rsidRPr="006D2113" w:rsidRDefault="00EA5F70" w:rsidP="00231945">
            <w:pPr>
              <w:ind w:left="0"/>
              <w:contextualSpacing/>
              <w:rPr>
                <w:rFonts w:asciiTheme="minorHAnsi" w:hAnsiTheme="minorHAnsi" w:cstheme="minorHAnsi"/>
                <w:b/>
                <w:szCs w:val="18"/>
              </w:rPr>
            </w:pPr>
            <w:r w:rsidRPr="006D2113">
              <w:rPr>
                <w:rFonts w:asciiTheme="minorHAnsi" w:hAnsiTheme="minorHAnsi" w:cstheme="minorHAnsi"/>
                <w:b/>
                <w:color w:val="000000"/>
                <w:szCs w:val="18"/>
              </w:rPr>
              <w:t>0-14 let</w:t>
            </w:r>
          </w:p>
        </w:tc>
        <w:tc>
          <w:tcPr>
            <w:tcW w:w="992" w:type="dxa"/>
          </w:tcPr>
          <w:p w14:paraId="7FD7974E" w14:textId="77777777" w:rsidR="00EA5F70" w:rsidRPr="006D2113" w:rsidRDefault="00EA5F70" w:rsidP="00231945">
            <w:pPr>
              <w:ind w:left="0"/>
              <w:contextualSpacing/>
              <w:rPr>
                <w:rFonts w:asciiTheme="minorHAnsi" w:hAnsiTheme="minorHAnsi" w:cstheme="minorHAnsi"/>
                <w:b/>
                <w:szCs w:val="18"/>
              </w:rPr>
            </w:pPr>
            <w:r w:rsidRPr="006D2113">
              <w:rPr>
                <w:rFonts w:asciiTheme="minorHAnsi" w:hAnsiTheme="minorHAnsi" w:cstheme="minorHAnsi"/>
                <w:b/>
                <w:color w:val="000000"/>
                <w:szCs w:val="18"/>
              </w:rPr>
              <w:t>15-64 let</w:t>
            </w:r>
          </w:p>
        </w:tc>
        <w:tc>
          <w:tcPr>
            <w:tcW w:w="1134" w:type="dxa"/>
          </w:tcPr>
          <w:p w14:paraId="0CD4859F" w14:textId="77777777" w:rsidR="00EA5F70" w:rsidRPr="006D2113" w:rsidRDefault="00EA5F70" w:rsidP="00231945">
            <w:pPr>
              <w:ind w:left="0"/>
              <w:contextualSpacing/>
              <w:rPr>
                <w:rFonts w:asciiTheme="minorHAnsi" w:hAnsiTheme="minorHAnsi" w:cstheme="minorHAnsi"/>
                <w:b/>
                <w:szCs w:val="18"/>
              </w:rPr>
            </w:pPr>
            <w:r w:rsidRPr="006D2113">
              <w:rPr>
                <w:rFonts w:asciiTheme="minorHAnsi" w:hAnsiTheme="minorHAnsi" w:cstheme="minorHAnsi"/>
                <w:b/>
                <w:color w:val="000000"/>
                <w:szCs w:val="18"/>
              </w:rPr>
              <w:t>65+ let</w:t>
            </w:r>
          </w:p>
        </w:tc>
      </w:tr>
      <w:tr w:rsidR="00EA5F70" w:rsidRPr="006D2113" w14:paraId="475C0CF4" w14:textId="77777777" w:rsidTr="00EA5F70">
        <w:tc>
          <w:tcPr>
            <w:tcW w:w="682" w:type="dxa"/>
          </w:tcPr>
          <w:p w14:paraId="19F650DE" w14:textId="65487E7D" w:rsidR="00EA5F70" w:rsidRPr="006D2113" w:rsidRDefault="00EA5F70" w:rsidP="00231945">
            <w:pPr>
              <w:ind w:left="0"/>
              <w:contextualSpacing/>
              <w:rPr>
                <w:rFonts w:asciiTheme="minorHAnsi" w:hAnsiTheme="minorHAnsi" w:cstheme="minorHAnsi"/>
                <w:szCs w:val="18"/>
              </w:rPr>
            </w:pPr>
            <w:r>
              <w:rPr>
                <w:rFonts w:asciiTheme="minorHAnsi" w:hAnsiTheme="minorHAnsi" w:cstheme="minorHAnsi"/>
                <w:szCs w:val="18"/>
              </w:rPr>
              <w:t>Hlubočky</w:t>
            </w:r>
          </w:p>
        </w:tc>
        <w:tc>
          <w:tcPr>
            <w:tcW w:w="736" w:type="dxa"/>
          </w:tcPr>
          <w:p w14:paraId="19890548" w14:textId="77777777" w:rsidR="00EA5F70" w:rsidRPr="006D2113" w:rsidRDefault="00EA5F70" w:rsidP="00231945">
            <w:pPr>
              <w:ind w:left="0"/>
              <w:contextualSpacing/>
              <w:rPr>
                <w:rFonts w:asciiTheme="minorHAnsi" w:hAnsiTheme="minorHAnsi" w:cstheme="minorHAnsi"/>
                <w:szCs w:val="18"/>
              </w:rPr>
            </w:pPr>
            <w:r w:rsidRPr="006D2113">
              <w:rPr>
                <w:rFonts w:asciiTheme="minorHAnsi" w:hAnsiTheme="minorHAnsi" w:cstheme="minorHAnsi"/>
                <w:color w:val="000000"/>
                <w:szCs w:val="18"/>
              </w:rPr>
              <w:t>Počet</w:t>
            </w:r>
          </w:p>
        </w:tc>
        <w:tc>
          <w:tcPr>
            <w:tcW w:w="1134" w:type="dxa"/>
          </w:tcPr>
          <w:p w14:paraId="389C4A36" w14:textId="09D26775" w:rsidR="00EA5F70" w:rsidRPr="006D2113" w:rsidRDefault="00D20BF6" w:rsidP="00231945">
            <w:pPr>
              <w:ind w:left="0"/>
              <w:contextualSpacing/>
              <w:rPr>
                <w:rFonts w:asciiTheme="minorHAnsi" w:hAnsiTheme="minorHAnsi" w:cstheme="minorHAnsi"/>
                <w:szCs w:val="18"/>
              </w:rPr>
            </w:pPr>
            <w:r>
              <w:rPr>
                <w:rFonts w:asciiTheme="minorHAnsi" w:hAnsiTheme="minorHAnsi" w:cstheme="minorHAnsi"/>
                <w:szCs w:val="18"/>
              </w:rPr>
              <w:t>4 176</w:t>
            </w:r>
          </w:p>
        </w:tc>
        <w:tc>
          <w:tcPr>
            <w:tcW w:w="1134" w:type="dxa"/>
          </w:tcPr>
          <w:p w14:paraId="5ED7D627" w14:textId="3C34F0B3" w:rsidR="00EA5F70" w:rsidRPr="006D2113" w:rsidRDefault="00D20BF6" w:rsidP="00231945">
            <w:pPr>
              <w:ind w:left="0"/>
              <w:contextualSpacing/>
              <w:rPr>
                <w:rFonts w:asciiTheme="minorHAnsi" w:hAnsiTheme="minorHAnsi" w:cstheme="minorHAnsi"/>
                <w:szCs w:val="18"/>
              </w:rPr>
            </w:pPr>
            <w:r>
              <w:rPr>
                <w:rFonts w:asciiTheme="minorHAnsi" w:hAnsiTheme="minorHAnsi" w:cstheme="minorHAnsi"/>
                <w:szCs w:val="18"/>
              </w:rPr>
              <w:t>2 081</w:t>
            </w:r>
          </w:p>
        </w:tc>
        <w:tc>
          <w:tcPr>
            <w:tcW w:w="992" w:type="dxa"/>
          </w:tcPr>
          <w:p w14:paraId="193F7C86" w14:textId="4867487E" w:rsidR="00EA5F70" w:rsidRPr="006D2113" w:rsidRDefault="00D20BF6" w:rsidP="00231945">
            <w:pPr>
              <w:ind w:left="0"/>
              <w:contextualSpacing/>
              <w:rPr>
                <w:rFonts w:asciiTheme="minorHAnsi" w:hAnsiTheme="minorHAnsi" w:cstheme="minorHAnsi"/>
                <w:szCs w:val="18"/>
              </w:rPr>
            </w:pPr>
            <w:r>
              <w:rPr>
                <w:rFonts w:asciiTheme="minorHAnsi" w:hAnsiTheme="minorHAnsi" w:cstheme="minorHAnsi"/>
                <w:szCs w:val="18"/>
              </w:rPr>
              <w:t>2 095</w:t>
            </w:r>
          </w:p>
        </w:tc>
        <w:tc>
          <w:tcPr>
            <w:tcW w:w="992" w:type="dxa"/>
          </w:tcPr>
          <w:p w14:paraId="3398D8CD" w14:textId="0DD8A1E0" w:rsidR="00EA5F70" w:rsidRPr="006D2113" w:rsidRDefault="00D20BF6" w:rsidP="00231945">
            <w:pPr>
              <w:ind w:left="0"/>
              <w:contextualSpacing/>
              <w:rPr>
                <w:rFonts w:asciiTheme="minorHAnsi" w:hAnsiTheme="minorHAnsi" w:cstheme="minorHAnsi"/>
                <w:szCs w:val="18"/>
              </w:rPr>
            </w:pPr>
            <w:r>
              <w:rPr>
                <w:rFonts w:asciiTheme="minorHAnsi" w:hAnsiTheme="minorHAnsi" w:cstheme="minorHAnsi"/>
                <w:szCs w:val="18"/>
              </w:rPr>
              <w:t>596</w:t>
            </w:r>
          </w:p>
        </w:tc>
        <w:tc>
          <w:tcPr>
            <w:tcW w:w="992" w:type="dxa"/>
          </w:tcPr>
          <w:p w14:paraId="09C20C30" w14:textId="3B2629E7" w:rsidR="00EA5F70" w:rsidRPr="006D2113" w:rsidRDefault="00D20BF6" w:rsidP="00231945">
            <w:pPr>
              <w:ind w:left="0"/>
              <w:contextualSpacing/>
              <w:rPr>
                <w:rFonts w:asciiTheme="minorHAnsi" w:hAnsiTheme="minorHAnsi" w:cstheme="minorHAnsi"/>
                <w:szCs w:val="18"/>
              </w:rPr>
            </w:pPr>
            <w:r>
              <w:rPr>
                <w:rFonts w:asciiTheme="minorHAnsi" w:hAnsiTheme="minorHAnsi" w:cstheme="minorHAnsi"/>
                <w:szCs w:val="18"/>
              </w:rPr>
              <w:t>2 605</w:t>
            </w:r>
          </w:p>
        </w:tc>
        <w:tc>
          <w:tcPr>
            <w:tcW w:w="1134" w:type="dxa"/>
          </w:tcPr>
          <w:p w14:paraId="745A4D80" w14:textId="5FD9F201" w:rsidR="00EA5F70" w:rsidRPr="006D2113" w:rsidRDefault="00D20BF6" w:rsidP="00231945">
            <w:pPr>
              <w:ind w:left="0"/>
              <w:contextualSpacing/>
              <w:rPr>
                <w:rFonts w:asciiTheme="minorHAnsi" w:hAnsiTheme="minorHAnsi" w:cstheme="minorHAnsi"/>
                <w:szCs w:val="18"/>
              </w:rPr>
            </w:pPr>
            <w:r>
              <w:rPr>
                <w:rFonts w:asciiTheme="minorHAnsi" w:hAnsiTheme="minorHAnsi" w:cstheme="minorHAnsi"/>
                <w:szCs w:val="18"/>
              </w:rPr>
              <w:t>975</w:t>
            </w:r>
          </w:p>
        </w:tc>
      </w:tr>
      <w:tr w:rsidR="00EA5F70" w:rsidRPr="006D2113" w14:paraId="7FEE9924" w14:textId="77777777" w:rsidTr="00EA5F70">
        <w:tc>
          <w:tcPr>
            <w:tcW w:w="682" w:type="dxa"/>
          </w:tcPr>
          <w:p w14:paraId="3169C462" w14:textId="77777777" w:rsidR="00EA5F70" w:rsidRPr="006D2113" w:rsidRDefault="00EA5F70" w:rsidP="00231945">
            <w:pPr>
              <w:ind w:left="0"/>
              <w:contextualSpacing/>
              <w:rPr>
                <w:rFonts w:asciiTheme="minorHAnsi" w:hAnsiTheme="minorHAnsi" w:cstheme="minorHAnsi"/>
                <w:szCs w:val="18"/>
              </w:rPr>
            </w:pPr>
          </w:p>
        </w:tc>
        <w:tc>
          <w:tcPr>
            <w:tcW w:w="736" w:type="dxa"/>
          </w:tcPr>
          <w:p w14:paraId="419FB1FA" w14:textId="77777777" w:rsidR="00EA5F70" w:rsidRPr="006D2113" w:rsidRDefault="00EA5F70" w:rsidP="00231945">
            <w:pPr>
              <w:ind w:left="0"/>
              <w:contextualSpacing/>
              <w:rPr>
                <w:rFonts w:asciiTheme="minorHAnsi" w:hAnsiTheme="minorHAnsi" w:cstheme="minorHAnsi"/>
                <w:szCs w:val="18"/>
              </w:rPr>
            </w:pPr>
            <w:r w:rsidRPr="006D2113">
              <w:rPr>
                <w:rFonts w:asciiTheme="minorHAnsi" w:hAnsiTheme="minorHAnsi" w:cstheme="minorHAnsi"/>
                <w:color w:val="000000"/>
                <w:szCs w:val="18"/>
              </w:rPr>
              <w:t>Podíl</w:t>
            </w:r>
          </w:p>
        </w:tc>
        <w:tc>
          <w:tcPr>
            <w:tcW w:w="1134" w:type="dxa"/>
          </w:tcPr>
          <w:p w14:paraId="267B9D83" w14:textId="77777777" w:rsidR="00EA5F70" w:rsidRPr="006D2113" w:rsidRDefault="00EA5F70" w:rsidP="00231945">
            <w:pPr>
              <w:ind w:left="0"/>
              <w:contextualSpacing/>
              <w:rPr>
                <w:rFonts w:asciiTheme="minorHAnsi" w:hAnsiTheme="minorHAnsi" w:cstheme="minorHAnsi"/>
                <w:szCs w:val="18"/>
              </w:rPr>
            </w:pPr>
            <w:r w:rsidRPr="006D2113">
              <w:rPr>
                <w:rFonts w:asciiTheme="minorHAnsi" w:hAnsiTheme="minorHAnsi" w:cstheme="minorHAnsi"/>
                <w:color w:val="000000"/>
                <w:szCs w:val="18"/>
              </w:rPr>
              <w:t>100,0%</w:t>
            </w:r>
          </w:p>
        </w:tc>
        <w:tc>
          <w:tcPr>
            <w:tcW w:w="1134" w:type="dxa"/>
          </w:tcPr>
          <w:p w14:paraId="6F566E53" w14:textId="52AAC1A5" w:rsidR="00EA5F70" w:rsidRPr="006D2113" w:rsidRDefault="00D20BF6" w:rsidP="00231945">
            <w:pPr>
              <w:ind w:left="0"/>
              <w:contextualSpacing/>
              <w:rPr>
                <w:rFonts w:asciiTheme="minorHAnsi" w:hAnsiTheme="minorHAnsi" w:cstheme="minorHAnsi"/>
                <w:szCs w:val="18"/>
              </w:rPr>
            </w:pPr>
            <w:r>
              <w:rPr>
                <w:rFonts w:asciiTheme="minorHAnsi" w:hAnsiTheme="minorHAnsi" w:cstheme="minorHAnsi"/>
                <w:color w:val="000000"/>
                <w:szCs w:val="18"/>
              </w:rPr>
              <w:t>49,8</w:t>
            </w:r>
            <w:r w:rsidR="00EA5F70" w:rsidRPr="006D2113">
              <w:rPr>
                <w:rFonts w:asciiTheme="minorHAnsi" w:hAnsiTheme="minorHAnsi" w:cstheme="minorHAnsi"/>
                <w:color w:val="000000"/>
                <w:szCs w:val="18"/>
              </w:rPr>
              <w:t>%</w:t>
            </w:r>
          </w:p>
        </w:tc>
        <w:tc>
          <w:tcPr>
            <w:tcW w:w="992" w:type="dxa"/>
          </w:tcPr>
          <w:p w14:paraId="61D347C8" w14:textId="6E3664A6" w:rsidR="00EA5F70" w:rsidRPr="006D2113" w:rsidRDefault="00D20BF6" w:rsidP="00231945">
            <w:pPr>
              <w:ind w:left="0"/>
              <w:contextualSpacing/>
              <w:rPr>
                <w:rFonts w:asciiTheme="minorHAnsi" w:hAnsiTheme="minorHAnsi" w:cstheme="minorHAnsi"/>
                <w:szCs w:val="18"/>
              </w:rPr>
            </w:pPr>
            <w:r>
              <w:rPr>
                <w:rFonts w:asciiTheme="minorHAnsi" w:hAnsiTheme="minorHAnsi" w:cstheme="minorHAnsi"/>
                <w:color w:val="000000"/>
                <w:szCs w:val="18"/>
              </w:rPr>
              <w:t>50,2</w:t>
            </w:r>
            <w:r w:rsidR="00EA5F70" w:rsidRPr="006D2113">
              <w:rPr>
                <w:rFonts w:asciiTheme="minorHAnsi" w:hAnsiTheme="minorHAnsi" w:cstheme="minorHAnsi"/>
                <w:color w:val="000000"/>
                <w:szCs w:val="18"/>
              </w:rPr>
              <w:t>%</w:t>
            </w:r>
          </w:p>
        </w:tc>
        <w:tc>
          <w:tcPr>
            <w:tcW w:w="992" w:type="dxa"/>
          </w:tcPr>
          <w:p w14:paraId="0175B793" w14:textId="407F9E1C" w:rsidR="00EA5F70" w:rsidRPr="006D2113" w:rsidRDefault="00D20BF6" w:rsidP="00231945">
            <w:pPr>
              <w:ind w:left="0"/>
              <w:contextualSpacing/>
              <w:rPr>
                <w:rFonts w:asciiTheme="minorHAnsi" w:hAnsiTheme="minorHAnsi" w:cstheme="minorHAnsi"/>
                <w:szCs w:val="18"/>
              </w:rPr>
            </w:pPr>
            <w:r>
              <w:rPr>
                <w:rFonts w:asciiTheme="minorHAnsi" w:hAnsiTheme="minorHAnsi" w:cstheme="minorHAnsi"/>
                <w:color w:val="000000"/>
                <w:szCs w:val="18"/>
              </w:rPr>
              <w:t>14,3</w:t>
            </w:r>
            <w:r w:rsidR="00EA5F70" w:rsidRPr="006D2113">
              <w:rPr>
                <w:rFonts w:asciiTheme="minorHAnsi" w:hAnsiTheme="minorHAnsi" w:cstheme="minorHAnsi"/>
                <w:color w:val="000000"/>
                <w:szCs w:val="18"/>
              </w:rPr>
              <w:t>%</w:t>
            </w:r>
          </w:p>
        </w:tc>
        <w:tc>
          <w:tcPr>
            <w:tcW w:w="992" w:type="dxa"/>
          </w:tcPr>
          <w:p w14:paraId="1C1035CE" w14:textId="518F3A96" w:rsidR="00EA5F70" w:rsidRPr="006D2113" w:rsidRDefault="00D20BF6" w:rsidP="00231945">
            <w:pPr>
              <w:ind w:left="0"/>
              <w:contextualSpacing/>
              <w:rPr>
                <w:rFonts w:asciiTheme="minorHAnsi" w:hAnsiTheme="minorHAnsi" w:cstheme="minorHAnsi"/>
                <w:szCs w:val="18"/>
              </w:rPr>
            </w:pPr>
            <w:r>
              <w:rPr>
                <w:rFonts w:asciiTheme="minorHAnsi" w:hAnsiTheme="minorHAnsi" w:cstheme="minorHAnsi"/>
                <w:color w:val="000000"/>
                <w:szCs w:val="18"/>
              </w:rPr>
              <w:t>62,4</w:t>
            </w:r>
            <w:r w:rsidR="00EA5F70" w:rsidRPr="006D2113">
              <w:rPr>
                <w:rFonts w:asciiTheme="minorHAnsi" w:hAnsiTheme="minorHAnsi" w:cstheme="minorHAnsi"/>
                <w:color w:val="000000"/>
                <w:szCs w:val="18"/>
              </w:rPr>
              <w:t>%</w:t>
            </w:r>
          </w:p>
        </w:tc>
        <w:tc>
          <w:tcPr>
            <w:tcW w:w="1134" w:type="dxa"/>
          </w:tcPr>
          <w:p w14:paraId="34ECEA8B" w14:textId="323C71DC" w:rsidR="00EA5F70" w:rsidRPr="006D2113" w:rsidRDefault="00D20BF6" w:rsidP="00231945">
            <w:pPr>
              <w:ind w:left="0"/>
              <w:contextualSpacing/>
              <w:rPr>
                <w:rFonts w:asciiTheme="minorHAnsi" w:hAnsiTheme="minorHAnsi" w:cstheme="minorHAnsi"/>
                <w:szCs w:val="18"/>
              </w:rPr>
            </w:pPr>
            <w:r>
              <w:rPr>
                <w:rFonts w:asciiTheme="minorHAnsi" w:hAnsiTheme="minorHAnsi" w:cstheme="minorHAnsi"/>
                <w:color w:val="000000"/>
                <w:szCs w:val="18"/>
              </w:rPr>
              <w:t>23,3</w:t>
            </w:r>
            <w:r w:rsidR="00EA5F70" w:rsidRPr="006D2113">
              <w:rPr>
                <w:rFonts w:asciiTheme="minorHAnsi" w:hAnsiTheme="minorHAnsi" w:cstheme="minorHAnsi"/>
                <w:color w:val="000000"/>
                <w:szCs w:val="18"/>
              </w:rPr>
              <w:t>%</w:t>
            </w:r>
          </w:p>
        </w:tc>
      </w:tr>
      <w:tr w:rsidR="00EA5F70" w:rsidRPr="006D2113" w14:paraId="65C16D89" w14:textId="77777777" w:rsidTr="00EA5F70">
        <w:tc>
          <w:tcPr>
            <w:tcW w:w="682" w:type="dxa"/>
          </w:tcPr>
          <w:p w14:paraId="7F75FCF0" w14:textId="77777777" w:rsidR="00EA5F70" w:rsidRPr="006D2113" w:rsidRDefault="00EA5F70" w:rsidP="00231945">
            <w:pPr>
              <w:ind w:left="0"/>
              <w:contextualSpacing/>
              <w:rPr>
                <w:rFonts w:asciiTheme="minorHAnsi" w:hAnsiTheme="minorHAnsi" w:cstheme="minorHAnsi"/>
                <w:szCs w:val="18"/>
              </w:rPr>
            </w:pPr>
            <w:r w:rsidRPr="006D2113">
              <w:rPr>
                <w:rFonts w:asciiTheme="minorHAnsi" w:hAnsiTheme="minorHAnsi" w:cstheme="minorHAnsi"/>
                <w:color w:val="000000"/>
                <w:szCs w:val="18"/>
              </w:rPr>
              <w:t xml:space="preserve">ČR </w:t>
            </w:r>
          </w:p>
        </w:tc>
        <w:tc>
          <w:tcPr>
            <w:tcW w:w="736" w:type="dxa"/>
          </w:tcPr>
          <w:p w14:paraId="6C757959" w14:textId="77777777" w:rsidR="00EA5F70" w:rsidRPr="006D2113" w:rsidRDefault="00EA5F70" w:rsidP="00231945">
            <w:pPr>
              <w:ind w:left="0"/>
              <w:contextualSpacing/>
              <w:rPr>
                <w:rFonts w:asciiTheme="minorHAnsi" w:hAnsiTheme="minorHAnsi" w:cstheme="minorHAnsi"/>
                <w:szCs w:val="18"/>
              </w:rPr>
            </w:pPr>
            <w:r w:rsidRPr="006D2113">
              <w:rPr>
                <w:rFonts w:asciiTheme="minorHAnsi" w:hAnsiTheme="minorHAnsi" w:cstheme="minorHAnsi"/>
                <w:color w:val="000000"/>
                <w:szCs w:val="18"/>
              </w:rPr>
              <w:t>Počet</w:t>
            </w:r>
          </w:p>
        </w:tc>
        <w:tc>
          <w:tcPr>
            <w:tcW w:w="1134" w:type="dxa"/>
          </w:tcPr>
          <w:p w14:paraId="71BD3667" w14:textId="6ED91E5C" w:rsidR="00EA5F70" w:rsidRPr="006D2113" w:rsidRDefault="00EA5F70" w:rsidP="00231945">
            <w:pPr>
              <w:ind w:left="0"/>
              <w:contextualSpacing/>
              <w:rPr>
                <w:rFonts w:asciiTheme="minorHAnsi" w:hAnsiTheme="minorHAnsi" w:cstheme="minorHAnsi"/>
                <w:color w:val="000000"/>
                <w:szCs w:val="18"/>
              </w:rPr>
            </w:pPr>
            <w:r w:rsidRPr="006D2113">
              <w:rPr>
                <w:rFonts w:asciiTheme="minorHAnsi" w:hAnsiTheme="minorHAnsi" w:cstheme="minorHAnsi"/>
                <w:color w:val="000000"/>
                <w:szCs w:val="18"/>
              </w:rPr>
              <w:t>10 5</w:t>
            </w:r>
            <w:r>
              <w:rPr>
                <w:rFonts w:asciiTheme="minorHAnsi" w:hAnsiTheme="minorHAnsi" w:cstheme="minorHAnsi"/>
                <w:color w:val="000000"/>
                <w:szCs w:val="18"/>
              </w:rPr>
              <w:t>1</w:t>
            </w:r>
            <w:r w:rsidR="00ED34AF">
              <w:rPr>
                <w:rFonts w:asciiTheme="minorHAnsi" w:hAnsiTheme="minorHAnsi" w:cstheme="minorHAnsi"/>
                <w:color w:val="000000"/>
                <w:szCs w:val="18"/>
              </w:rPr>
              <w:t xml:space="preserve"> mil.</w:t>
            </w:r>
          </w:p>
        </w:tc>
        <w:tc>
          <w:tcPr>
            <w:tcW w:w="1134" w:type="dxa"/>
          </w:tcPr>
          <w:p w14:paraId="02DCFCFE" w14:textId="7E2D64B6" w:rsidR="00EA5F70" w:rsidRPr="006D2113" w:rsidRDefault="00EA5F70" w:rsidP="00231945">
            <w:pPr>
              <w:ind w:left="0"/>
              <w:contextualSpacing/>
              <w:rPr>
                <w:rFonts w:asciiTheme="minorHAnsi" w:hAnsiTheme="minorHAnsi" w:cstheme="minorHAnsi"/>
                <w:color w:val="000000"/>
                <w:szCs w:val="18"/>
              </w:rPr>
            </w:pPr>
            <w:r>
              <w:rPr>
                <w:rFonts w:asciiTheme="minorHAnsi" w:hAnsiTheme="minorHAnsi" w:cstheme="minorHAnsi"/>
                <w:color w:val="000000"/>
                <w:szCs w:val="18"/>
              </w:rPr>
              <w:t>5,16 mil.</w:t>
            </w:r>
          </w:p>
        </w:tc>
        <w:tc>
          <w:tcPr>
            <w:tcW w:w="992" w:type="dxa"/>
          </w:tcPr>
          <w:p w14:paraId="72E23B37" w14:textId="1A682244" w:rsidR="00EA5F70" w:rsidRPr="006D2113" w:rsidRDefault="00EA5F70" w:rsidP="00231945">
            <w:pPr>
              <w:ind w:left="0"/>
              <w:contextualSpacing/>
              <w:rPr>
                <w:rFonts w:asciiTheme="minorHAnsi" w:hAnsiTheme="minorHAnsi" w:cstheme="minorHAnsi"/>
                <w:color w:val="000000"/>
                <w:szCs w:val="18"/>
              </w:rPr>
            </w:pPr>
            <w:r>
              <w:rPr>
                <w:rFonts w:asciiTheme="minorHAnsi" w:hAnsiTheme="minorHAnsi" w:cstheme="minorHAnsi"/>
                <w:color w:val="000000"/>
                <w:szCs w:val="18"/>
              </w:rPr>
              <w:t>5,35 mil.</w:t>
            </w:r>
          </w:p>
        </w:tc>
        <w:tc>
          <w:tcPr>
            <w:tcW w:w="992" w:type="dxa"/>
          </w:tcPr>
          <w:p w14:paraId="6C06ADDB" w14:textId="52DD66E9" w:rsidR="00EA5F70" w:rsidRPr="006D2113" w:rsidRDefault="00EA5F70" w:rsidP="00231945">
            <w:pPr>
              <w:ind w:left="0"/>
              <w:contextualSpacing/>
              <w:rPr>
                <w:rFonts w:asciiTheme="minorHAnsi" w:hAnsiTheme="minorHAnsi" w:cstheme="minorHAnsi"/>
                <w:szCs w:val="18"/>
              </w:rPr>
            </w:pPr>
            <w:r>
              <w:rPr>
                <w:rFonts w:asciiTheme="minorHAnsi" w:hAnsiTheme="minorHAnsi" w:cstheme="minorHAnsi"/>
                <w:color w:val="000000"/>
                <w:szCs w:val="18"/>
              </w:rPr>
              <w:t>1, 69 mil.</w:t>
            </w:r>
          </w:p>
        </w:tc>
        <w:tc>
          <w:tcPr>
            <w:tcW w:w="992" w:type="dxa"/>
          </w:tcPr>
          <w:p w14:paraId="5748ABA9" w14:textId="65966890" w:rsidR="00EA5F70" w:rsidRPr="006D2113" w:rsidRDefault="00EA5F70" w:rsidP="00231945">
            <w:pPr>
              <w:ind w:left="0"/>
              <w:contextualSpacing/>
              <w:rPr>
                <w:rFonts w:asciiTheme="minorHAnsi" w:hAnsiTheme="minorHAnsi" w:cstheme="minorHAnsi"/>
                <w:szCs w:val="18"/>
              </w:rPr>
            </w:pPr>
            <w:r>
              <w:rPr>
                <w:rFonts w:asciiTheme="minorHAnsi" w:hAnsiTheme="minorHAnsi" w:cstheme="minorHAnsi"/>
                <w:szCs w:val="18"/>
              </w:rPr>
              <w:t>6,96 mil.</w:t>
            </w:r>
          </w:p>
        </w:tc>
        <w:tc>
          <w:tcPr>
            <w:tcW w:w="1134" w:type="dxa"/>
          </w:tcPr>
          <w:p w14:paraId="19EE4B0A" w14:textId="51BC3956" w:rsidR="00EA5F70" w:rsidRPr="006D2113" w:rsidRDefault="00EA5F70" w:rsidP="00231945">
            <w:pPr>
              <w:ind w:left="0"/>
              <w:contextualSpacing/>
              <w:rPr>
                <w:rFonts w:asciiTheme="minorHAnsi" w:hAnsiTheme="minorHAnsi" w:cstheme="minorHAnsi"/>
                <w:szCs w:val="18"/>
              </w:rPr>
            </w:pPr>
            <w:r>
              <w:rPr>
                <w:rFonts w:asciiTheme="minorHAnsi" w:hAnsiTheme="minorHAnsi" w:cstheme="minorHAnsi"/>
                <w:szCs w:val="18"/>
              </w:rPr>
              <w:t>2,27 mil.</w:t>
            </w:r>
          </w:p>
        </w:tc>
      </w:tr>
      <w:tr w:rsidR="00EA5F70" w:rsidRPr="006D2113" w14:paraId="2E8E3641" w14:textId="77777777" w:rsidTr="00EA5F70">
        <w:tc>
          <w:tcPr>
            <w:tcW w:w="682" w:type="dxa"/>
          </w:tcPr>
          <w:p w14:paraId="489415BB" w14:textId="77777777" w:rsidR="00EA5F70" w:rsidRPr="006D2113" w:rsidRDefault="00EA5F70" w:rsidP="00231945">
            <w:pPr>
              <w:ind w:left="0"/>
              <w:contextualSpacing/>
              <w:rPr>
                <w:rFonts w:asciiTheme="minorHAnsi" w:hAnsiTheme="minorHAnsi" w:cstheme="minorHAnsi"/>
                <w:szCs w:val="18"/>
              </w:rPr>
            </w:pPr>
          </w:p>
        </w:tc>
        <w:tc>
          <w:tcPr>
            <w:tcW w:w="736" w:type="dxa"/>
          </w:tcPr>
          <w:p w14:paraId="74129586" w14:textId="77777777" w:rsidR="00EA5F70" w:rsidRPr="006D2113" w:rsidRDefault="00EA5F70" w:rsidP="00231945">
            <w:pPr>
              <w:ind w:left="0"/>
              <w:contextualSpacing/>
              <w:rPr>
                <w:rFonts w:asciiTheme="minorHAnsi" w:hAnsiTheme="minorHAnsi" w:cstheme="minorHAnsi"/>
                <w:szCs w:val="18"/>
              </w:rPr>
            </w:pPr>
            <w:r w:rsidRPr="006D2113">
              <w:rPr>
                <w:rFonts w:asciiTheme="minorHAnsi" w:hAnsiTheme="minorHAnsi" w:cstheme="minorHAnsi"/>
                <w:color w:val="000000"/>
                <w:szCs w:val="18"/>
              </w:rPr>
              <w:t>Podíl</w:t>
            </w:r>
          </w:p>
        </w:tc>
        <w:tc>
          <w:tcPr>
            <w:tcW w:w="1134" w:type="dxa"/>
          </w:tcPr>
          <w:p w14:paraId="07FF39C8" w14:textId="77777777" w:rsidR="00EA5F70" w:rsidRPr="006D2113" w:rsidRDefault="00EA5F70" w:rsidP="00231945">
            <w:pPr>
              <w:ind w:left="0"/>
              <w:contextualSpacing/>
              <w:rPr>
                <w:rFonts w:asciiTheme="minorHAnsi" w:hAnsiTheme="minorHAnsi" w:cstheme="minorHAnsi"/>
                <w:szCs w:val="18"/>
              </w:rPr>
            </w:pPr>
            <w:r w:rsidRPr="006D2113">
              <w:rPr>
                <w:rFonts w:asciiTheme="minorHAnsi" w:hAnsiTheme="minorHAnsi" w:cstheme="minorHAnsi"/>
                <w:color w:val="000000"/>
                <w:szCs w:val="18"/>
              </w:rPr>
              <w:t>100,0%</w:t>
            </w:r>
          </w:p>
        </w:tc>
        <w:tc>
          <w:tcPr>
            <w:tcW w:w="1134" w:type="dxa"/>
          </w:tcPr>
          <w:p w14:paraId="65586A1F" w14:textId="77777777" w:rsidR="00EA5F70" w:rsidRPr="006D2113" w:rsidRDefault="00EA5F70" w:rsidP="00231945">
            <w:pPr>
              <w:ind w:left="0"/>
              <w:contextualSpacing/>
              <w:rPr>
                <w:rFonts w:asciiTheme="minorHAnsi" w:hAnsiTheme="minorHAnsi" w:cstheme="minorHAnsi"/>
                <w:szCs w:val="18"/>
              </w:rPr>
            </w:pPr>
            <w:r w:rsidRPr="006D2113">
              <w:rPr>
                <w:rFonts w:asciiTheme="minorHAnsi" w:hAnsiTheme="minorHAnsi" w:cstheme="minorHAnsi"/>
                <w:color w:val="000000"/>
                <w:szCs w:val="18"/>
              </w:rPr>
              <w:t>49,2%</w:t>
            </w:r>
          </w:p>
        </w:tc>
        <w:tc>
          <w:tcPr>
            <w:tcW w:w="992" w:type="dxa"/>
          </w:tcPr>
          <w:p w14:paraId="0BEC1782" w14:textId="77777777" w:rsidR="00EA5F70" w:rsidRPr="006D2113" w:rsidRDefault="00EA5F70" w:rsidP="00231945">
            <w:pPr>
              <w:ind w:left="0"/>
              <w:contextualSpacing/>
              <w:rPr>
                <w:rFonts w:asciiTheme="minorHAnsi" w:hAnsiTheme="minorHAnsi" w:cstheme="minorHAnsi"/>
                <w:szCs w:val="18"/>
              </w:rPr>
            </w:pPr>
            <w:r w:rsidRPr="006D2113">
              <w:rPr>
                <w:rFonts w:asciiTheme="minorHAnsi" w:hAnsiTheme="minorHAnsi" w:cstheme="minorHAnsi"/>
                <w:color w:val="000000"/>
                <w:szCs w:val="18"/>
              </w:rPr>
              <w:t>50,8%</w:t>
            </w:r>
          </w:p>
        </w:tc>
        <w:tc>
          <w:tcPr>
            <w:tcW w:w="992" w:type="dxa"/>
          </w:tcPr>
          <w:p w14:paraId="7B4E8D72" w14:textId="0C1FD38A" w:rsidR="00EA5F70" w:rsidRPr="006D2113" w:rsidRDefault="00EA5F70" w:rsidP="00231945">
            <w:pPr>
              <w:ind w:left="0"/>
              <w:contextualSpacing/>
              <w:rPr>
                <w:rFonts w:asciiTheme="minorHAnsi" w:hAnsiTheme="minorHAnsi" w:cstheme="minorHAnsi"/>
                <w:szCs w:val="18"/>
              </w:rPr>
            </w:pPr>
            <w:r w:rsidRPr="00EA5F70">
              <w:rPr>
                <w:rFonts w:asciiTheme="minorHAnsi" w:hAnsiTheme="minorHAnsi" w:cstheme="minorHAnsi"/>
                <w:color w:val="000000"/>
                <w:szCs w:val="18"/>
              </w:rPr>
              <w:t>15,5</w:t>
            </w:r>
            <w:r w:rsidRPr="006D2113">
              <w:rPr>
                <w:rFonts w:asciiTheme="minorHAnsi" w:hAnsiTheme="minorHAnsi" w:cstheme="minorHAnsi"/>
                <w:color w:val="000000"/>
                <w:szCs w:val="18"/>
              </w:rPr>
              <w:t>%</w:t>
            </w:r>
          </w:p>
        </w:tc>
        <w:tc>
          <w:tcPr>
            <w:tcW w:w="992" w:type="dxa"/>
          </w:tcPr>
          <w:p w14:paraId="0F954999" w14:textId="155B4219" w:rsidR="00EA5F70" w:rsidRPr="006D2113" w:rsidRDefault="00EA5F70" w:rsidP="00231945">
            <w:pPr>
              <w:ind w:left="0"/>
              <w:contextualSpacing/>
              <w:rPr>
                <w:rFonts w:asciiTheme="minorHAnsi" w:hAnsiTheme="minorHAnsi" w:cstheme="minorHAnsi"/>
                <w:szCs w:val="18"/>
              </w:rPr>
            </w:pPr>
            <w:r w:rsidRPr="00EA5F70">
              <w:rPr>
                <w:rFonts w:asciiTheme="minorHAnsi" w:hAnsiTheme="minorHAnsi" w:cstheme="minorHAnsi"/>
                <w:color w:val="000000"/>
                <w:szCs w:val="18"/>
              </w:rPr>
              <w:t>63,8</w:t>
            </w:r>
            <w:r w:rsidRPr="006D2113">
              <w:rPr>
                <w:rFonts w:asciiTheme="minorHAnsi" w:hAnsiTheme="minorHAnsi" w:cstheme="minorHAnsi"/>
                <w:color w:val="000000"/>
                <w:szCs w:val="18"/>
              </w:rPr>
              <w:t>%</w:t>
            </w:r>
          </w:p>
        </w:tc>
        <w:tc>
          <w:tcPr>
            <w:tcW w:w="1134" w:type="dxa"/>
          </w:tcPr>
          <w:p w14:paraId="6D353DBC" w14:textId="35D2DF57" w:rsidR="00EA5F70" w:rsidRPr="006D2113" w:rsidRDefault="00EA5F70" w:rsidP="00231945">
            <w:pPr>
              <w:ind w:left="0"/>
              <w:contextualSpacing/>
              <w:rPr>
                <w:rFonts w:asciiTheme="minorHAnsi" w:hAnsiTheme="minorHAnsi" w:cstheme="minorHAnsi"/>
                <w:szCs w:val="18"/>
              </w:rPr>
            </w:pPr>
            <w:r w:rsidRPr="00EA5F70">
              <w:rPr>
                <w:rFonts w:asciiTheme="minorHAnsi" w:hAnsiTheme="minorHAnsi" w:cstheme="minorHAnsi"/>
                <w:color w:val="000000"/>
                <w:szCs w:val="18"/>
              </w:rPr>
              <w:t>20,7</w:t>
            </w:r>
            <w:r w:rsidRPr="006D2113">
              <w:rPr>
                <w:rFonts w:asciiTheme="minorHAnsi" w:hAnsiTheme="minorHAnsi" w:cstheme="minorHAnsi"/>
                <w:color w:val="000000"/>
                <w:szCs w:val="18"/>
              </w:rPr>
              <w:t>%</w:t>
            </w:r>
          </w:p>
        </w:tc>
      </w:tr>
    </w:tbl>
    <w:p w14:paraId="5BCFDB58" w14:textId="77777777" w:rsidR="00C02B69" w:rsidRDefault="00D20BF6" w:rsidP="00EA5F70">
      <w:r>
        <w:t xml:space="preserve">Z věkové struktury obyvatelstva je ve srovnání s celorepublikovým průměrem zřejmé, že je zde vyšší podíl populace starší 65 let a nižší podél populace mladší než 14 let. </w:t>
      </w:r>
    </w:p>
    <w:p w14:paraId="3746FD7A" w14:textId="16DA9D43" w:rsidR="00EA5F70" w:rsidRDefault="00D20BF6" w:rsidP="00EA5F70">
      <w:r>
        <w:t>U uvedeného vyplývá, že pro stabilizaci demografického vývoje obce je nezbytné nabídnout přiměřený rozsah ploch pro rozvoj bydlení a není vhodná jejich výrazná až úplná redukce.</w:t>
      </w:r>
    </w:p>
    <w:p w14:paraId="106BF5F9" w14:textId="155FA7D9" w:rsidR="004561E7" w:rsidRDefault="004561E7" w:rsidP="008A41F9">
      <w:pPr>
        <w:pStyle w:val="Nadpis4"/>
      </w:pPr>
      <w:r>
        <w:t>Shrnutí</w:t>
      </w:r>
    </w:p>
    <w:p w14:paraId="752F72C4" w14:textId="77777777" w:rsidR="00902FA7" w:rsidRDefault="004561E7" w:rsidP="00EA5F70">
      <w:r>
        <w:t xml:space="preserve">Zpráva o uplatňování předpokládá stabilizaci rozvoje obce a případné přehodnocení rozsahu zastavitelných ploch. V návrhovém horizontu územního plánu ( 4 plánovací období, tedy 16 let) může růst počet obyvatel obce v pozitivním scénáři obdobně jako v mezi </w:t>
      </w:r>
      <w:r w:rsidR="00E41894">
        <w:t>roky 2011</w:t>
      </w:r>
      <w:r>
        <w:t xml:space="preserve"> </w:t>
      </w:r>
      <w:r w:rsidR="000C37C0">
        <w:t>-</w:t>
      </w:r>
      <w:r>
        <w:t xml:space="preserve"> 2022, kdy byl zaznamenán meziroční nárůst cca</w:t>
      </w:r>
      <w:r w:rsidR="000C37C0">
        <w:t> </w:t>
      </w:r>
      <w:r>
        <w:t xml:space="preserve">25 </w:t>
      </w:r>
      <w:r w:rsidR="000C37C0">
        <w:t xml:space="preserve">-56 </w:t>
      </w:r>
      <w:r>
        <w:t xml:space="preserve">obyvatel. </w:t>
      </w:r>
    </w:p>
    <w:p w14:paraId="34824E19" w14:textId="65C29733" w:rsidR="004561E7" w:rsidRDefault="004561E7" w:rsidP="00EA5F70">
      <w:r w:rsidRPr="00902FA7">
        <w:rPr>
          <w:b/>
          <w:bCs/>
        </w:rPr>
        <w:t>V</w:t>
      </w:r>
      <w:r w:rsidR="000C37C0" w:rsidRPr="00902FA7">
        <w:rPr>
          <w:b/>
          <w:bCs/>
        </w:rPr>
        <w:t> rámci návrhových ploch je tedy vhodné vymezit kapacitu pro cca 500–800 obyvatel</w:t>
      </w:r>
      <w:r w:rsidR="00F26D41" w:rsidRPr="00902FA7">
        <w:rPr>
          <w:b/>
          <w:bCs/>
        </w:rPr>
        <w:t xml:space="preserve">, což je při průměrné hustotě obyvatel </w:t>
      </w:r>
      <w:r w:rsidR="00C96D3E" w:rsidRPr="00902FA7">
        <w:rPr>
          <w:b/>
          <w:bCs/>
        </w:rPr>
        <w:t>40</w:t>
      </w:r>
      <w:r w:rsidR="00F26D41" w:rsidRPr="00902FA7">
        <w:rPr>
          <w:b/>
          <w:bCs/>
        </w:rPr>
        <w:t xml:space="preserve"> obyv./ha cca 16ha ploch pro bydlení</w:t>
      </w:r>
      <w:r w:rsidR="00DA3714" w:rsidRPr="00902FA7">
        <w:rPr>
          <w:b/>
          <w:bCs/>
        </w:rPr>
        <w:t>, resp. 10-12 nových zastavitelných ploch pro bydlení.</w:t>
      </w:r>
    </w:p>
    <w:p w14:paraId="46695E56" w14:textId="34BF2853" w:rsidR="00816728" w:rsidRDefault="00816728" w:rsidP="00816728">
      <w:pPr>
        <w:pStyle w:val="Nadpis3"/>
      </w:pPr>
      <w:bookmarkStart w:id="158" w:name="_Toc232612664"/>
      <w:r>
        <w:t>Bydlení</w:t>
      </w:r>
      <w:bookmarkEnd w:id="158"/>
    </w:p>
    <w:p w14:paraId="7DA75587" w14:textId="1095B2E1" w:rsidR="00342EED" w:rsidRDefault="00342EED" w:rsidP="00342EED">
      <w:r w:rsidRPr="004C256C">
        <w:t>Domovní fond tvoří převážně rodinné domy v soukromém vlastnictví</w:t>
      </w:r>
      <w:r w:rsidR="00035231">
        <w:t xml:space="preserve"> a dále bytové domy v podílovém vlastnictví</w:t>
      </w:r>
      <w:r w:rsidRPr="004C256C">
        <w:t xml:space="preserve">. Nejvíce domů pochází z let 1920-1970. </w:t>
      </w:r>
      <w:r w:rsidR="00035231">
        <w:t>Rodinné domy jsou obydlené v</w:t>
      </w:r>
      <w:r w:rsidR="00D91924">
        <w:t> 88% případů, bytové domy ve 100% př</w:t>
      </w:r>
      <w:r w:rsidR="00635CB5">
        <w:t>ípadů</w:t>
      </w:r>
      <w:r>
        <w:t xml:space="preserve">. </w:t>
      </w:r>
    </w:p>
    <w:p w14:paraId="17892936" w14:textId="4C40C796" w:rsidR="00342EED" w:rsidRPr="004C256C" w:rsidRDefault="00342EED" w:rsidP="00342EED">
      <w:r>
        <w:t xml:space="preserve">Průběh vývoje počtu dokončených bytů </w:t>
      </w:r>
      <w:r w:rsidR="00F20095">
        <w:t>je v posledních dvou dekádách ustálený v rozsahu 35 až 60 za 5 let. Rozvoj bytových domů po roce 1990 prakticky až na výjimky neprobíhá</w:t>
      </w:r>
      <w:r>
        <w:t xml:space="preserve">. </w:t>
      </w:r>
    </w:p>
    <w:p w14:paraId="03FEB830" w14:textId="77777777" w:rsidR="00342EED" w:rsidRPr="00F90A07" w:rsidRDefault="00342EED" w:rsidP="00342EED">
      <w:r w:rsidRPr="00F90A07">
        <w:t xml:space="preserve">Domovní fond </w:t>
      </w:r>
    </w:p>
    <w:tbl>
      <w:tblPr>
        <w:tblStyle w:val="Mkatabulky1"/>
        <w:tblW w:w="7801" w:type="dxa"/>
        <w:tblInd w:w="709" w:type="dxa"/>
        <w:tblBorders>
          <w:top w:val="dashSmallGap" w:sz="4" w:space="0" w:color="000000"/>
          <w:left w:val="none" w:sz="0" w:space="0" w:color="auto"/>
          <w:bottom w:val="dashSmallGap" w:sz="4" w:space="0" w:color="000000"/>
          <w:right w:val="none" w:sz="0" w:space="0" w:color="auto"/>
          <w:insideH w:val="dashSmallGap" w:sz="4" w:space="0" w:color="000000"/>
          <w:insideV w:val="none" w:sz="0" w:space="0" w:color="auto"/>
        </w:tblBorders>
        <w:tblLayout w:type="fixed"/>
        <w:tblLook w:val="04A0" w:firstRow="1" w:lastRow="0" w:firstColumn="1" w:lastColumn="0" w:noHBand="0" w:noVBand="1"/>
      </w:tblPr>
      <w:tblGrid>
        <w:gridCol w:w="992"/>
        <w:gridCol w:w="3261"/>
        <w:gridCol w:w="851"/>
        <w:gridCol w:w="850"/>
        <w:gridCol w:w="992"/>
        <w:gridCol w:w="855"/>
      </w:tblGrid>
      <w:tr w:rsidR="00342EED" w:rsidRPr="00841EF2" w14:paraId="07FECB6D" w14:textId="77777777" w:rsidTr="00EB139C">
        <w:tc>
          <w:tcPr>
            <w:tcW w:w="4253" w:type="dxa"/>
            <w:gridSpan w:val="2"/>
            <w:hideMark/>
          </w:tcPr>
          <w:p w14:paraId="5DECCC6C" w14:textId="77777777" w:rsidR="00342EED" w:rsidRPr="00841EF2" w:rsidRDefault="00342EED" w:rsidP="00231945">
            <w:pPr>
              <w:pStyle w:val="Normlnbezmezer"/>
              <w:ind w:left="0"/>
              <w:contextualSpacing/>
              <w:rPr>
                <w:rFonts w:cs="Arial"/>
                <w:b/>
                <w:bCs/>
                <w:szCs w:val="18"/>
              </w:rPr>
            </w:pPr>
            <w:r w:rsidRPr="00841EF2">
              <w:rPr>
                <w:rFonts w:cs="Arial"/>
                <w:b/>
                <w:bCs/>
                <w:szCs w:val="18"/>
              </w:rPr>
              <w:t>Domovní fond</w:t>
            </w:r>
          </w:p>
        </w:tc>
        <w:tc>
          <w:tcPr>
            <w:tcW w:w="851" w:type="dxa"/>
            <w:hideMark/>
          </w:tcPr>
          <w:p w14:paraId="606B33E8" w14:textId="77777777" w:rsidR="00342EED" w:rsidRPr="00841EF2" w:rsidRDefault="00342EED" w:rsidP="00231945">
            <w:pPr>
              <w:pStyle w:val="Normlnbezmezer"/>
              <w:ind w:left="0"/>
              <w:contextualSpacing/>
              <w:jc w:val="left"/>
              <w:rPr>
                <w:rFonts w:cs="Arial"/>
                <w:b/>
                <w:bCs/>
                <w:szCs w:val="18"/>
              </w:rPr>
            </w:pPr>
            <w:r w:rsidRPr="00841EF2">
              <w:rPr>
                <w:rFonts w:cs="Arial"/>
                <w:b/>
                <w:bCs/>
                <w:szCs w:val="18"/>
              </w:rPr>
              <w:t>celkem</w:t>
            </w:r>
          </w:p>
        </w:tc>
        <w:tc>
          <w:tcPr>
            <w:tcW w:w="850" w:type="dxa"/>
            <w:hideMark/>
          </w:tcPr>
          <w:p w14:paraId="0BB341F9" w14:textId="77777777" w:rsidR="00342EED" w:rsidRPr="00841EF2" w:rsidRDefault="00342EED" w:rsidP="00231945">
            <w:pPr>
              <w:pStyle w:val="Normlnbezmezer"/>
              <w:ind w:left="0"/>
              <w:contextualSpacing/>
              <w:jc w:val="left"/>
              <w:rPr>
                <w:rFonts w:cs="Arial"/>
                <w:b/>
                <w:bCs/>
                <w:szCs w:val="18"/>
              </w:rPr>
            </w:pPr>
            <w:r w:rsidRPr="00841EF2">
              <w:rPr>
                <w:rFonts w:cs="Arial"/>
                <w:b/>
                <w:bCs/>
                <w:szCs w:val="18"/>
              </w:rPr>
              <w:t>rodinné domy</w:t>
            </w:r>
          </w:p>
        </w:tc>
        <w:tc>
          <w:tcPr>
            <w:tcW w:w="992" w:type="dxa"/>
            <w:hideMark/>
          </w:tcPr>
          <w:p w14:paraId="76F69624" w14:textId="77777777" w:rsidR="00342EED" w:rsidRPr="00841EF2" w:rsidRDefault="00342EED" w:rsidP="00231945">
            <w:pPr>
              <w:pStyle w:val="Normlnbezmezer"/>
              <w:ind w:left="0"/>
              <w:contextualSpacing/>
              <w:jc w:val="left"/>
              <w:rPr>
                <w:rFonts w:cs="Arial"/>
                <w:b/>
                <w:bCs/>
                <w:szCs w:val="18"/>
              </w:rPr>
            </w:pPr>
            <w:r w:rsidRPr="00841EF2">
              <w:rPr>
                <w:rFonts w:cs="Arial"/>
                <w:b/>
                <w:bCs/>
                <w:szCs w:val="18"/>
              </w:rPr>
              <w:t>bytové domy</w:t>
            </w:r>
          </w:p>
        </w:tc>
        <w:tc>
          <w:tcPr>
            <w:tcW w:w="855" w:type="dxa"/>
          </w:tcPr>
          <w:p w14:paraId="6CEAD51E" w14:textId="77777777" w:rsidR="00342EED" w:rsidRPr="00841EF2" w:rsidRDefault="00342EED" w:rsidP="00231945">
            <w:pPr>
              <w:pStyle w:val="Normlnbezmezer"/>
              <w:ind w:left="0"/>
              <w:contextualSpacing/>
              <w:jc w:val="left"/>
              <w:rPr>
                <w:rFonts w:cs="Arial"/>
                <w:b/>
                <w:bCs/>
                <w:szCs w:val="18"/>
              </w:rPr>
            </w:pPr>
            <w:r w:rsidRPr="00841EF2">
              <w:rPr>
                <w:rFonts w:cs="Arial"/>
                <w:b/>
                <w:bCs/>
                <w:szCs w:val="18"/>
              </w:rPr>
              <w:t>ostatní budovy</w:t>
            </w:r>
          </w:p>
        </w:tc>
      </w:tr>
      <w:tr w:rsidR="00EB139C" w:rsidRPr="00841EF2" w14:paraId="45552310" w14:textId="77777777" w:rsidTr="00EB139C">
        <w:tc>
          <w:tcPr>
            <w:tcW w:w="4253" w:type="dxa"/>
            <w:gridSpan w:val="2"/>
            <w:hideMark/>
          </w:tcPr>
          <w:p w14:paraId="54CEBAE3" w14:textId="12D66B60" w:rsidR="00EB139C" w:rsidRPr="00841EF2" w:rsidRDefault="00EB139C" w:rsidP="00EB139C">
            <w:pPr>
              <w:pStyle w:val="Normlnbezmezer"/>
              <w:ind w:left="0"/>
              <w:contextualSpacing/>
              <w:rPr>
                <w:rFonts w:cs="Arial"/>
                <w:szCs w:val="18"/>
              </w:rPr>
            </w:pPr>
            <w:r w:rsidRPr="004950EB">
              <w:t>Domy celkem</w:t>
            </w:r>
          </w:p>
        </w:tc>
        <w:tc>
          <w:tcPr>
            <w:tcW w:w="851" w:type="dxa"/>
            <w:noWrap/>
            <w:hideMark/>
          </w:tcPr>
          <w:p w14:paraId="19E46957" w14:textId="4549737A" w:rsidR="00EB139C" w:rsidRPr="00841EF2" w:rsidRDefault="00EB139C" w:rsidP="00EB139C">
            <w:pPr>
              <w:pStyle w:val="Normlnbezmezer"/>
              <w:ind w:left="0"/>
              <w:contextualSpacing/>
              <w:jc w:val="left"/>
              <w:rPr>
                <w:rFonts w:cs="Arial"/>
                <w:szCs w:val="18"/>
              </w:rPr>
            </w:pPr>
            <w:r w:rsidRPr="00C57AC5">
              <w:t>691</w:t>
            </w:r>
          </w:p>
        </w:tc>
        <w:tc>
          <w:tcPr>
            <w:tcW w:w="850" w:type="dxa"/>
            <w:noWrap/>
            <w:hideMark/>
          </w:tcPr>
          <w:p w14:paraId="6AA9DE08" w14:textId="04620027" w:rsidR="00EB139C" w:rsidRPr="00841EF2" w:rsidRDefault="00EB139C" w:rsidP="00EB139C">
            <w:pPr>
              <w:pStyle w:val="Normlnbezmezer"/>
              <w:ind w:left="0"/>
              <w:contextualSpacing/>
              <w:jc w:val="left"/>
              <w:rPr>
                <w:rFonts w:cs="Arial"/>
                <w:szCs w:val="18"/>
              </w:rPr>
            </w:pPr>
            <w:r w:rsidRPr="00C57AC5">
              <w:t>568</w:t>
            </w:r>
          </w:p>
        </w:tc>
        <w:tc>
          <w:tcPr>
            <w:tcW w:w="992" w:type="dxa"/>
            <w:noWrap/>
            <w:hideMark/>
          </w:tcPr>
          <w:p w14:paraId="11B7D84A" w14:textId="7DB23C62" w:rsidR="00EB139C" w:rsidRPr="00841EF2" w:rsidRDefault="00EB139C" w:rsidP="00EB139C">
            <w:pPr>
              <w:pStyle w:val="Normlnbezmezer"/>
              <w:ind w:left="0"/>
              <w:contextualSpacing/>
              <w:jc w:val="left"/>
              <w:rPr>
                <w:rFonts w:cs="Arial"/>
                <w:szCs w:val="18"/>
              </w:rPr>
            </w:pPr>
            <w:r w:rsidRPr="00C57AC5">
              <w:t>107</w:t>
            </w:r>
          </w:p>
        </w:tc>
        <w:tc>
          <w:tcPr>
            <w:tcW w:w="855" w:type="dxa"/>
          </w:tcPr>
          <w:p w14:paraId="54F13A44" w14:textId="1C6E5434" w:rsidR="00EB139C" w:rsidRPr="00841EF2" w:rsidRDefault="00EB139C" w:rsidP="00EB139C">
            <w:pPr>
              <w:pStyle w:val="Normlnbezmezer"/>
              <w:ind w:left="0"/>
              <w:contextualSpacing/>
              <w:jc w:val="left"/>
              <w:rPr>
                <w:rFonts w:cs="Arial"/>
                <w:szCs w:val="18"/>
              </w:rPr>
            </w:pPr>
            <w:r w:rsidRPr="00C57AC5">
              <w:t>16</w:t>
            </w:r>
          </w:p>
        </w:tc>
      </w:tr>
      <w:tr w:rsidR="00EB139C" w:rsidRPr="00841EF2" w14:paraId="04980F43" w14:textId="77777777" w:rsidTr="00EB139C">
        <w:tc>
          <w:tcPr>
            <w:tcW w:w="4253" w:type="dxa"/>
            <w:gridSpan w:val="2"/>
            <w:hideMark/>
          </w:tcPr>
          <w:p w14:paraId="6E2EE6EA" w14:textId="64A859B6" w:rsidR="00EB139C" w:rsidRPr="00841EF2" w:rsidRDefault="00EB139C" w:rsidP="00EB139C">
            <w:pPr>
              <w:pStyle w:val="Normlnbezmezer"/>
              <w:ind w:left="0"/>
              <w:contextualSpacing/>
              <w:rPr>
                <w:rFonts w:cs="Arial"/>
                <w:szCs w:val="18"/>
              </w:rPr>
            </w:pPr>
            <w:r w:rsidRPr="004950EB">
              <w:t>Obydlené domy celkem</w:t>
            </w:r>
          </w:p>
        </w:tc>
        <w:tc>
          <w:tcPr>
            <w:tcW w:w="851" w:type="dxa"/>
            <w:noWrap/>
            <w:hideMark/>
          </w:tcPr>
          <w:p w14:paraId="185D9180" w14:textId="736E0560" w:rsidR="00EB139C" w:rsidRPr="00841EF2" w:rsidRDefault="00EB139C" w:rsidP="00EB139C">
            <w:pPr>
              <w:pStyle w:val="Normlnbezmezer"/>
              <w:ind w:left="0"/>
              <w:contextualSpacing/>
              <w:jc w:val="left"/>
              <w:rPr>
                <w:rFonts w:cs="Arial"/>
                <w:szCs w:val="18"/>
              </w:rPr>
            </w:pPr>
            <w:r w:rsidRPr="00D74E9B">
              <w:t>622</w:t>
            </w:r>
          </w:p>
        </w:tc>
        <w:tc>
          <w:tcPr>
            <w:tcW w:w="850" w:type="dxa"/>
            <w:noWrap/>
            <w:hideMark/>
          </w:tcPr>
          <w:p w14:paraId="58A3A3F4" w14:textId="199CC277" w:rsidR="00EB139C" w:rsidRPr="00841EF2" w:rsidRDefault="00EB139C" w:rsidP="00EB139C">
            <w:pPr>
              <w:pStyle w:val="Normlnbezmezer"/>
              <w:ind w:left="0"/>
              <w:contextualSpacing/>
              <w:jc w:val="left"/>
              <w:rPr>
                <w:rFonts w:cs="Arial"/>
                <w:szCs w:val="18"/>
              </w:rPr>
            </w:pPr>
            <w:r w:rsidRPr="00D74E9B">
              <w:t>502</w:t>
            </w:r>
          </w:p>
        </w:tc>
        <w:tc>
          <w:tcPr>
            <w:tcW w:w="992" w:type="dxa"/>
            <w:noWrap/>
            <w:hideMark/>
          </w:tcPr>
          <w:p w14:paraId="18D5BA49" w14:textId="14B4B4CC" w:rsidR="00EB139C" w:rsidRPr="00841EF2" w:rsidRDefault="00EB139C" w:rsidP="00EB139C">
            <w:pPr>
              <w:pStyle w:val="Normlnbezmezer"/>
              <w:ind w:left="0"/>
              <w:contextualSpacing/>
              <w:jc w:val="left"/>
              <w:rPr>
                <w:rFonts w:cs="Arial"/>
                <w:szCs w:val="18"/>
              </w:rPr>
            </w:pPr>
            <w:r w:rsidRPr="00D74E9B">
              <w:t>107</w:t>
            </w:r>
          </w:p>
        </w:tc>
        <w:tc>
          <w:tcPr>
            <w:tcW w:w="855" w:type="dxa"/>
          </w:tcPr>
          <w:p w14:paraId="5A58328C" w14:textId="5DF5849E" w:rsidR="00EB139C" w:rsidRPr="00841EF2" w:rsidRDefault="00EB139C" w:rsidP="00EB139C">
            <w:pPr>
              <w:pStyle w:val="Normlnbezmezer"/>
              <w:ind w:left="0"/>
              <w:contextualSpacing/>
              <w:jc w:val="left"/>
              <w:rPr>
                <w:rFonts w:cs="Arial"/>
                <w:szCs w:val="18"/>
              </w:rPr>
            </w:pPr>
            <w:r w:rsidRPr="00D74E9B">
              <w:t>13</w:t>
            </w:r>
          </w:p>
        </w:tc>
      </w:tr>
      <w:tr w:rsidR="00EB139C" w:rsidRPr="00841EF2" w14:paraId="73099718" w14:textId="77777777" w:rsidTr="00EB139C">
        <w:tc>
          <w:tcPr>
            <w:tcW w:w="992" w:type="dxa"/>
            <w:vMerge w:val="restart"/>
            <w:hideMark/>
          </w:tcPr>
          <w:p w14:paraId="588E2E1E" w14:textId="77777777" w:rsidR="00EB139C" w:rsidRPr="00841EF2" w:rsidRDefault="00EB139C" w:rsidP="00EB139C">
            <w:pPr>
              <w:pStyle w:val="Normlnbezmezer"/>
              <w:ind w:left="0"/>
              <w:contextualSpacing/>
              <w:jc w:val="left"/>
              <w:rPr>
                <w:rFonts w:cs="Arial"/>
                <w:szCs w:val="18"/>
              </w:rPr>
            </w:pPr>
            <w:r w:rsidRPr="00841EF2">
              <w:rPr>
                <w:rFonts w:cs="Arial"/>
                <w:szCs w:val="18"/>
              </w:rPr>
              <w:t>z toho podle vlastnictví domu</w:t>
            </w:r>
          </w:p>
        </w:tc>
        <w:tc>
          <w:tcPr>
            <w:tcW w:w="3261" w:type="dxa"/>
            <w:hideMark/>
          </w:tcPr>
          <w:p w14:paraId="618C1840" w14:textId="29AED391" w:rsidR="00EB139C" w:rsidRPr="00841EF2" w:rsidRDefault="00EB139C" w:rsidP="00EB139C">
            <w:pPr>
              <w:pStyle w:val="Normlnbezmezer"/>
              <w:ind w:left="0"/>
              <w:contextualSpacing/>
              <w:rPr>
                <w:rFonts w:cs="Arial"/>
                <w:szCs w:val="18"/>
              </w:rPr>
            </w:pPr>
            <w:r w:rsidRPr="006238DF">
              <w:t>fyzická osoba</w:t>
            </w:r>
          </w:p>
        </w:tc>
        <w:tc>
          <w:tcPr>
            <w:tcW w:w="851" w:type="dxa"/>
            <w:noWrap/>
            <w:hideMark/>
          </w:tcPr>
          <w:p w14:paraId="568B49E8" w14:textId="6091FDFC" w:rsidR="00EB139C" w:rsidRPr="00841EF2" w:rsidRDefault="00EB139C" w:rsidP="00EB139C">
            <w:pPr>
              <w:pStyle w:val="Normlnbezmezer"/>
              <w:ind w:left="0"/>
              <w:contextualSpacing/>
              <w:jc w:val="left"/>
              <w:rPr>
                <w:rFonts w:cs="Arial"/>
                <w:szCs w:val="18"/>
              </w:rPr>
            </w:pPr>
            <w:r w:rsidRPr="001601B0">
              <w:t>503</w:t>
            </w:r>
          </w:p>
        </w:tc>
        <w:tc>
          <w:tcPr>
            <w:tcW w:w="850" w:type="dxa"/>
            <w:noWrap/>
            <w:hideMark/>
          </w:tcPr>
          <w:p w14:paraId="389F3062" w14:textId="61B04209" w:rsidR="00EB139C" w:rsidRPr="00841EF2" w:rsidRDefault="00EB139C" w:rsidP="00EB139C">
            <w:pPr>
              <w:pStyle w:val="Normlnbezmezer"/>
              <w:ind w:left="0"/>
              <w:contextualSpacing/>
              <w:jc w:val="left"/>
              <w:rPr>
                <w:rFonts w:cs="Arial"/>
                <w:szCs w:val="18"/>
              </w:rPr>
            </w:pPr>
            <w:r w:rsidRPr="001601B0">
              <w:t>492</w:t>
            </w:r>
          </w:p>
        </w:tc>
        <w:tc>
          <w:tcPr>
            <w:tcW w:w="992" w:type="dxa"/>
            <w:noWrap/>
            <w:hideMark/>
          </w:tcPr>
          <w:p w14:paraId="4E0FF70B" w14:textId="1DA43471" w:rsidR="00EB139C" w:rsidRPr="00841EF2" w:rsidRDefault="00EB139C" w:rsidP="00EB139C">
            <w:pPr>
              <w:pStyle w:val="Normlnbezmezer"/>
              <w:ind w:left="0"/>
              <w:contextualSpacing/>
              <w:jc w:val="left"/>
              <w:rPr>
                <w:rFonts w:cs="Arial"/>
                <w:szCs w:val="18"/>
              </w:rPr>
            </w:pPr>
            <w:r w:rsidRPr="001601B0">
              <w:t>4</w:t>
            </w:r>
          </w:p>
        </w:tc>
        <w:tc>
          <w:tcPr>
            <w:tcW w:w="855" w:type="dxa"/>
          </w:tcPr>
          <w:p w14:paraId="558539DC" w14:textId="274A5A54" w:rsidR="00EB139C" w:rsidRPr="00841EF2" w:rsidRDefault="00EB139C" w:rsidP="00EB139C">
            <w:pPr>
              <w:pStyle w:val="Normlnbezmezer"/>
              <w:ind w:left="0"/>
              <w:contextualSpacing/>
              <w:jc w:val="left"/>
              <w:rPr>
                <w:rFonts w:cs="Arial"/>
                <w:szCs w:val="18"/>
              </w:rPr>
            </w:pPr>
            <w:r w:rsidRPr="001601B0">
              <w:t>7</w:t>
            </w:r>
          </w:p>
        </w:tc>
      </w:tr>
      <w:tr w:rsidR="00EB139C" w:rsidRPr="00841EF2" w14:paraId="48C04A0B" w14:textId="77777777" w:rsidTr="00EB139C">
        <w:tc>
          <w:tcPr>
            <w:tcW w:w="992" w:type="dxa"/>
            <w:vMerge/>
            <w:hideMark/>
          </w:tcPr>
          <w:p w14:paraId="51F65C51" w14:textId="77777777" w:rsidR="00EB139C" w:rsidRPr="00841EF2" w:rsidRDefault="00EB139C" w:rsidP="00EB139C">
            <w:pPr>
              <w:pStyle w:val="Normlnbezmezer"/>
              <w:ind w:left="0"/>
              <w:contextualSpacing/>
              <w:rPr>
                <w:rFonts w:cs="Arial"/>
                <w:szCs w:val="18"/>
              </w:rPr>
            </w:pPr>
          </w:p>
        </w:tc>
        <w:tc>
          <w:tcPr>
            <w:tcW w:w="3261" w:type="dxa"/>
            <w:hideMark/>
          </w:tcPr>
          <w:p w14:paraId="73407F24" w14:textId="4C9CE336" w:rsidR="00EB139C" w:rsidRPr="00841EF2" w:rsidRDefault="00EB139C" w:rsidP="00EB139C">
            <w:pPr>
              <w:pStyle w:val="Normlnbezmezer"/>
              <w:ind w:left="0"/>
              <w:contextualSpacing/>
              <w:rPr>
                <w:rFonts w:cs="Arial"/>
                <w:szCs w:val="18"/>
              </w:rPr>
            </w:pPr>
            <w:r w:rsidRPr="006238DF">
              <w:t>obec, stát</w:t>
            </w:r>
          </w:p>
        </w:tc>
        <w:tc>
          <w:tcPr>
            <w:tcW w:w="851" w:type="dxa"/>
            <w:noWrap/>
            <w:hideMark/>
          </w:tcPr>
          <w:p w14:paraId="0C5A819E" w14:textId="482FA0D2" w:rsidR="00EB139C" w:rsidRPr="00841EF2" w:rsidRDefault="00EB139C" w:rsidP="00EB139C">
            <w:pPr>
              <w:pStyle w:val="Normlnbezmezer"/>
              <w:ind w:left="0"/>
              <w:contextualSpacing/>
              <w:jc w:val="left"/>
              <w:rPr>
                <w:rFonts w:cs="Arial"/>
                <w:szCs w:val="18"/>
              </w:rPr>
            </w:pPr>
            <w:r w:rsidRPr="004976A5">
              <w:t>10</w:t>
            </w:r>
          </w:p>
        </w:tc>
        <w:tc>
          <w:tcPr>
            <w:tcW w:w="850" w:type="dxa"/>
            <w:noWrap/>
            <w:hideMark/>
          </w:tcPr>
          <w:p w14:paraId="072B2F7E" w14:textId="43A5BBA1" w:rsidR="00EB139C" w:rsidRPr="00841EF2" w:rsidRDefault="00EB139C" w:rsidP="00EB139C">
            <w:pPr>
              <w:pStyle w:val="Normlnbezmezer"/>
              <w:ind w:left="0"/>
              <w:contextualSpacing/>
              <w:jc w:val="left"/>
              <w:rPr>
                <w:rFonts w:cs="Arial"/>
                <w:szCs w:val="18"/>
              </w:rPr>
            </w:pPr>
            <w:r w:rsidRPr="004976A5">
              <w:t>2</w:t>
            </w:r>
          </w:p>
        </w:tc>
        <w:tc>
          <w:tcPr>
            <w:tcW w:w="992" w:type="dxa"/>
            <w:noWrap/>
            <w:hideMark/>
          </w:tcPr>
          <w:p w14:paraId="1EC9A4E1" w14:textId="6F776858" w:rsidR="00EB139C" w:rsidRPr="00841EF2" w:rsidRDefault="00EB139C" w:rsidP="00EB139C">
            <w:pPr>
              <w:pStyle w:val="Normlnbezmezer"/>
              <w:ind w:left="0"/>
              <w:contextualSpacing/>
              <w:jc w:val="left"/>
              <w:rPr>
                <w:rFonts w:cs="Arial"/>
                <w:szCs w:val="18"/>
              </w:rPr>
            </w:pPr>
            <w:r w:rsidRPr="004976A5">
              <w:t>4</w:t>
            </w:r>
          </w:p>
        </w:tc>
        <w:tc>
          <w:tcPr>
            <w:tcW w:w="855" w:type="dxa"/>
          </w:tcPr>
          <w:p w14:paraId="38C716BE" w14:textId="18A49FBD" w:rsidR="00EB139C" w:rsidRPr="00841EF2" w:rsidRDefault="00EB139C" w:rsidP="00EB139C">
            <w:pPr>
              <w:pStyle w:val="Normlnbezmezer"/>
              <w:ind w:left="0"/>
              <w:contextualSpacing/>
              <w:jc w:val="left"/>
              <w:rPr>
                <w:rFonts w:cs="Arial"/>
                <w:szCs w:val="18"/>
              </w:rPr>
            </w:pPr>
            <w:r w:rsidRPr="004976A5">
              <w:t>4</w:t>
            </w:r>
          </w:p>
        </w:tc>
      </w:tr>
      <w:tr w:rsidR="00EB139C" w:rsidRPr="00841EF2" w14:paraId="4F988A88" w14:textId="77777777" w:rsidTr="00EB139C">
        <w:tc>
          <w:tcPr>
            <w:tcW w:w="992" w:type="dxa"/>
            <w:vMerge/>
            <w:hideMark/>
          </w:tcPr>
          <w:p w14:paraId="13E56BBB" w14:textId="77777777" w:rsidR="00EB139C" w:rsidRPr="00841EF2" w:rsidRDefault="00EB139C" w:rsidP="00EB139C">
            <w:pPr>
              <w:pStyle w:val="Normlnbezmezer"/>
              <w:ind w:left="0"/>
              <w:contextualSpacing/>
              <w:rPr>
                <w:rFonts w:cs="Arial"/>
                <w:szCs w:val="18"/>
              </w:rPr>
            </w:pPr>
          </w:p>
        </w:tc>
        <w:tc>
          <w:tcPr>
            <w:tcW w:w="3261" w:type="dxa"/>
            <w:hideMark/>
          </w:tcPr>
          <w:p w14:paraId="63628F57" w14:textId="63429953" w:rsidR="00EB139C" w:rsidRPr="00841EF2" w:rsidRDefault="00EB139C" w:rsidP="00EB139C">
            <w:pPr>
              <w:pStyle w:val="Normlnbezmezer"/>
              <w:ind w:left="0"/>
              <w:contextualSpacing/>
              <w:rPr>
                <w:rFonts w:cs="Arial"/>
                <w:szCs w:val="18"/>
              </w:rPr>
            </w:pPr>
            <w:r w:rsidRPr="006238DF">
              <w:t>bytové družstvo</w:t>
            </w:r>
          </w:p>
        </w:tc>
        <w:tc>
          <w:tcPr>
            <w:tcW w:w="851" w:type="dxa"/>
            <w:noWrap/>
            <w:hideMark/>
          </w:tcPr>
          <w:p w14:paraId="5721F577" w14:textId="0A25CD76" w:rsidR="00EB139C" w:rsidRPr="00841EF2" w:rsidRDefault="00EB139C" w:rsidP="00EB139C">
            <w:pPr>
              <w:pStyle w:val="Normlnbezmezer"/>
              <w:ind w:left="0"/>
              <w:contextualSpacing/>
              <w:jc w:val="left"/>
              <w:rPr>
                <w:rFonts w:cs="Arial"/>
                <w:szCs w:val="18"/>
              </w:rPr>
            </w:pPr>
            <w:r w:rsidRPr="002C3B7A">
              <w:t>-</w:t>
            </w:r>
          </w:p>
        </w:tc>
        <w:tc>
          <w:tcPr>
            <w:tcW w:w="850" w:type="dxa"/>
            <w:noWrap/>
            <w:hideMark/>
          </w:tcPr>
          <w:p w14:paraId="4CD2AF8B" w14:textId="49C7FB60" w:rsidR="00EB139C" w:rsidRPr="00841EF2" w:rsidRDefault="00EB139C" w:rsidP="00EB139C">
            <w:pPr>
              <w:pStyle w:val="Normlnbezmezer"/>
              <w:ind w:left="0"/>
              <w:contextualSpacing/>
              <w:jc w:val="left"/>
              <w:rPr>
                <w:rFonts w:cs="Arial"/>
                <w:szCs w:val="18"/>
              </w:rPr>
            </w:pPr>
            <w:r w:rsidRPr="002C3B7A">
              <w:t>-</w:t>
            </w:r>
          </w:p>
        </w:tc>
        <w:tc>
          <w:tcPr>
            <w:tcW w:w="992" w:type="dxa"/>
            <w:noWrap/>
            <w:hideMark/>
          </w:tcPr>
          <w:p w14:paraId="49A5551E" w14:textId="55BB437D" w:rsidR="00EB139C" w:rsidRPr="00841EF2" w:rsidRDefault="00EB139C" w:rsidP="00EB139C">
            <w:pPr>
              <w:pStyle w:val="Normlnbezmezer"/>
              <w:ind w:left="0"/>
              <w:contextualSpacing/>
              <w:jc w:val="left"/>
              <w:rPr>
                <w:rFonts w:cs="Arial"/>
                <w:szCs w:val="18"/>
              </w:rPr>
            </w:pPr>
            <w:r w:rsidRPr="002C3B7A">
              <w:t>-</w:t>
            </w:r>
          </w:p>
        </w:tc>
        <w:tc>
          <w:tcPr>
            <w:tcW w:w="855" w:type="dxa"/>
          </w:tcPr>
          <w:p w14:paraId="66BF2FC5" w14:textId="349EF43D" w:rsidR="00EB139C" w:rsidRPr="00841EF2" w:rsidRDefault="00EB139C" w:rsidP="00EB139C">
            <w:pPr>
              <w:pStyle w:val="Normlnbezmezer"/>
              <w:ind w:left="0"/>
              <w:contextualSpacing/>
              <w:jc w:val="left"/>
              <w:rPr>
                <w:rFonts w:cs="Arial"/>
                <w:szCs w:val="18"/>
              </w:rPr>
            </w:pPr>
            <w:r w:rsidRPr="002C3B7A">
              <w:t>-</w:t>
            </w:r>
          </w:p>
        </w:tc>
      </w:tr>
      <w:tr w:rsidR="00EB139C" w:rsidRPr="00841EF2" w14:paraId="731043B6" w14:textId="77777777" w:rsidTr="00EB139C">
        <w:tc>
          <w:tcPr>
            <w:tcW w:w="992" w:type="dxa"/>
            <w:vMerge/>
          </w:tcPr>
          <w:p w14:paraId="3A76FE23" w14:textId="77777777" w:rsidR="00EB139C" w:rsidRPr="00841EF2" w:rsidRDefault="00EB139C" w:rsidP="00EB139C">
            <w:pPr>
              <w:pStyle w:val="Normlnbezmezer"/>
              <w:ind w:left="0"/>
              <w:contextualSpacing/>
              <w:rPr>
                <w:rFonts w:cs="Arial"/>
                <w:szCs w:val="18"/>
              </w:rPr>
            </w:pPr>
          </w:p>
        </w:tc>
        <w:tc>
          <w:tcPr>
            <w:tcW w:w="3261" w:type="dxa"/>
          </w:tcPr>
          <w:p w14:paraId="0200477B" w14:textId="0D00E750" w:rsidR="00EB139C" w:rsidRPr="00841EF2" w:rsidRDefault="00EB139C" w:rsidP="00EB139C">
            <w:pPr>
              <w:pStyle w:val="Normlnbezmezer"/>
              <w:ind w:left="0"/>
              <w:contextualSpacing/>
              <w:rPr>
                <w:rFonts w:cs="Arial"/>
                <w:szCs w:val="18"/>
              </w:rPr>
            </w:pPr>
            <w:r w:rsidRPr="006238DF">
              <w:t>jiná právnická osoba</w:t>
            </w:r>
          </w:p>
        </w:tc>
        <w:tc>
          <w:tcPr>
            <w:tcW w:w="851" w:type="dxa"/>
            <w:noWrap/>
          </w:tcPr>
          <w:p w14:paraId="5FC2E717" w14:textId="018E4A97" w:rsidR="00EB139C" w:rsidRPr="00841EF2" w:rsidRDefault="00EB139C" w:rsidP="00EB139C">
            <w:pPr>
              <w:pStyle w:val="Normlnbezmezer"/>
              <w:ind w:left="0"/>
              <w:contextualSpacing/>
              <w:jc w:val="left"/>
              <w:rPr>
                <w:rFonts w:cs="Arial"/>
                <w:szCs w:val="18"/>
              </w:rPr>
            </w:pPr>
            <w:r w:rsidRPr="00DE4DA5">
              <w:t>4</w:t>
            </w:r>
          </w:p>
        </w:tc>
        <w:tc>
          <w:tcPr>
            <w:tcW w:w="850" w:type="dxa"/>
            <w:noWrap/>
          </w:tcPr>
          <w:p w14:paraId="53283A0B" w14:textId="4AD042C5" w:rsidR="00EB139C" w:rsidRPr="00841EF2" w:rsidRDefault="00EB139C" w:rsidP="00EB139C">
            <w:pPr>
              <w:pStyle w:val="Normlnbezmezer"/>
              <w:ind w:left="0"/>
              <w:contextualSpacing/>
              <w:jc w:val="left"/>
              <w:rPr>
                <w:rFonts w:cs="Arial"/>
                <w:szCs w:val="18"/>
              </w:rPr>
            </w:pPr>
            <w:r w:rsidRPr="00DE4DA5">
              <w:t>2</w:t>
            </w:r>
          </w:p>
        </w:tc>
        <w:tc>
          <w:tcPr>
            <w:tcW w:w="992" w:type="dxa"/>
            <w:noWrap/>
          </w:tcPr>
          <w:p w14:paraId="49479CED" w14:textId="329E5716" w:rsidR="00EB139C" w:rsidRPr="00841EF2" w:rsidRDefault="00EB139C" w:rsidP="00EB139C">
            <w:pPr>
              <w:pStyle w:val="Normlnbezmezer"/>
              <w:ind w:left="0"/>
              <w:contextualSpacing/>
              <w:jc w:val="left"/>
              <w:rPr>
                <w:rFonts w:cs="Arial"/>
                <w:szCs w:val="18"/>
              </w:rPr>
            </w:pPr>
            <w:r w:rsidRPr="00DE4DA5">
              <w:t>-</w:t>
            </w:r>
          </w:p>
        </w:tc>
        <w:tc>
          <w:tcPr>
            <w:tcW w:w="855" w:type="dxa"/>
          </w:tcPr>
          <w:p w14:paraId="5B5BFD46" w14:textId="7F7FABEC" w:rsidR="00EB139C" w:rsidRPr="00841EF2" w:rsidRDefault="00EB139C" w:rsidP="00EB139C">
            <w:pPr>
              <w:pStyle w:val="Normlnbezmezer"/>
              <w:ind w:left="0"/>
              <w:contextualSpacing/>
              <w:jc w:val="left"/>
              <w:rPr>
                <w:rFonts w:cs="Arial"/>
                <w:szCs w:val="18"/>
              </w:rPr>
            </w:pPr>
            <w:r w:rsidRPr="00DE4DA5">
              <w:t>2</w:t>
            </w:r>
          </w:p>
        </w:tc>
      </w:tr>
      <w:tr w:rsidR="00EB139C" w:rsidRPr="00841EF2" w14:paraId="30BE5581" w14:textId="77777777" w:rsidTr="00EB139C">
        <w:tc>
          <w:tcPr>
            <w:tcW w:w="992" w:type="dxa"/>
            <w:vMerge/>
          </w:tcPr>
          <w:p w14:paraId="7FBCB4F2" w14:textId="77777777" w:rsidR="00EB139C" w:rsidRPr="00841EF2" w:rsidRDefault="00EB139C" w:rsidP="00EB139C">
            <w:pPr>
              <w:pStyle w:val="Normlnbezmezer"/>
              <w:ind w:left="0"/>
              <w:contextualSpacing/>
              <w:rPr>
                <w:rFonts w:cs="Arial"/>
                <w:szCs w:val="18"/>
              </w:rPr>
            </w:pPr>
          </w:p>
        </w:tc>
        <w:tc>
          <w:tcPr>
            <w:tcW w:w="3261" w:type="dxa"/>
          </w:tcPr>
          <w:p w14:paraId="0576A0A1" w14:textId="76B69996" w:rsidR="00EB139C" w:rsidRPr="00841EF2" w:rsidRDefault="00EB139C" w:rsidP="00EB139C">
            <w:pPr>
              <w:pStyle w:val="Normlnbezmezer"/>
              <w:ind w:left="0"/>
              <w:contextualSpacing/>
              <w:rPr>
                <w:rFonts w:cs="Arial"/>
                <w:szCs w:val="18"/>
              </w:rPr>
            </w:pPr>
            <w:r w:rsidRPr="006238DF">
              <w:t>spoluvlastnictví vlastníků bytů</w:t>
            </w:r>
          </w:p>
        </w:tc>
        <w:tc>
          <w:tcPr>
            <w:tcW w:w="851" w:type="dxa"/>
            <w:noWrap/>
          </w:tcPr>
          <w:p w14:paraId="32FCE594" w14:textId="2F403EBC" w:rsidR="00EB139C" w:rsidRPr="00841EF2" w:rsidRDefault="00EB139C" w:rsidP="00EB139C">
            <w:pPr>
              <w:pStyle w:val="Normlnbezmezer"/>
              <w:ind w:left="0"/>
              <w:contextualSpacing/>
              <w:jc w:val="left"/>
              <w:rPr>
                <w:rFonts w:cs="Arial"/>
                <w:szCs w:val="18"/>
              </w:rPr>
            </w:pPr>
            <w:r w:rsidRPr="00166299">
              <w:t>103</w:t>
            </w:r>
          </w:p>
        </w:tc>
        <w:tc>
          <w:tcPr>
            <w:tcW w:w="850" w:type="dxa"/>
            <w:noWrap/>
          </w:tcPr>
          <w:p w14:paraId="2B00353C" w14:textId="4EB37AFA" w:rsidR="00EB139C" w:rsidRPr="00841EF2" w:rsidRDefault="00EB139C" w:rsidP="00EB139C">
            <w:pPr>
              <w:pStyle w:val="Normlnbezmezer"/>
              <w:ind w:left="0"/>
              <w:contextualSpacing/>
              <w:jc w:val="left"/>
              <w:rPr>
                <w:rFonts w:cs="Arial"/>
                <w:szCs w:val="18"/>
              </w:rPr>
            </w:pPr>
            <w:r w:rsidRPr="00166299">
              <w:t>4</w:t>
            </w:r>
          </w:p>
        </w:tc>
        <w:tc>
          <w:tcPr>
            <w:tcW w:w="992" w:type="dxa"/>
            <w:noWrap/>
          </w:tcPr>
          <w:p w14:paraId="420709CD" w14:textId="5681AA00" w:rsidR="00EB139C" w:rsidRPr="00841EF2" w:rsidRDefault="00EB139C" w:rsidP="00EB139C">
            <w:pPr>
              <w:pStyle w:val="Normlnbezmezer"/>
              <w:ind w:left="0"/>
              <w:contextualSpacing/>
              <w:jc w:val="left"/>
              <w:rPr>
                <w:rFonts w:cs="Arial"/>
                <w:szCs w:val="18"/>
              </w:rPr>
            </w:pPr>
            <w:r w:rsidRPr="00166299">
              <w:t>99</w:t>
            </w:r>
          </w:p>
        </w:tc>
        <w:tc>
          <w:tcPr>
            <w:tcW w:w="855" w:type="dxa"/>
          </w:tcPr>
          <w:p w14:paraId="230FD07F" w14:textId="4763B264" w:rsidR="00EB139C" w:rsidRPr="00841EF2" w:rsidRDefault="00EB139C" w:rsidP="00EB139C">
            <w:pPr>
              <w:pStyle w:val="Normlnbezmezer"/>
              <w:ind w:left="0"/>
              <w:contextualSpacing/>
              <w:jc w:val="left"/>
              <w:rPr>
                <w:rFonts w:cs="Arial"/>
                <w:szCs w:val="18"/>
              </w:rPr>
            </w:pPr>
            <w:r w:rsidRPr="00166299">
              <w:t>-</w:t>
            </w:r>
          </w:p>
        </w:tc>
      </w:tr>
      <w:tr w:rsidR="00EB139C" w:rsidRPr="00841EF2" w14:paraId="0300265C" w14:textId="77777777" w:rsidTr="00EB139C">
        <w:tc>
          <w:tcPr>
            <w:tcW w:w="992" w:type="dxa"/>
            <w:vMerge/>
          </w:tcPr>
          <w:p w14:paraId="6EEB6E42" w14:textId="77777777" w:rsidR="00EB139C" w:rsidRPr="00841EF2" w:rsidRDefault="00EB139C" w:rsidP="00EB139C">
            <w:pPr>
              <w:pStyle w:val="Normlnbezmezer"/>
              <w:ind w:left="0"/>
              <w:contextualSpacing/>
              <w:rPr>
                <w:rFonts w:cs="Arial"/>
                <w:szCs w:val="18"/>
              </w:rPr>
            </w:pPr>
          </w:p>
        </w:tc>
        <w:tc>
          <w:tcPr>
            <w:tcW w:w="3261" w:type="dxa"/>
          </w:tcPr>
          <w:p w14:paraId="58F1BFBA" w14:textId="562F122B" w:rsidR="00EB139C" w:rsidRPr="00841EF2" w:rsidRDefault="00EB139C" w:rsidP="00EB139C">
            <w:pPr>
              <w:pStyle w:val="Normlnbezmezer"/>
              <w:ind w:left="0"/>
              <w:contextualSpacing/>
              <w:rPr>
                <w:rFonts w:cs="Arial"/>
                <w:szCs w:val="18"/>
              </w:rPr>
            </w:pPr>
            <w:r w:rsidRPr="006238DF">
              <w:t>kombinace vlastníků</w:t>
            </w:r>
          </w:p>
        </w:tc>
        <w:tc>
          <w:tcPr>
            <w:tcW w:w="851" w:type="dxa"/>
            <w:noWrap/>
          </w:tcPr>
          <w:p w14:paraId="4D55362F" w14:textId="46DEBF44" w:rsidR="00EB139C" w:rsidRPr="00841EF2" w:rsidRDefault="00EB139C" w:rsidP="00EB139C">
            <w:pPr>
              <w:pStyle w:val="Normlnbezmezer"/>
              <w:ind w:left="0"/>
              <w:contextualSpacing/>
              <w:jc w:val="left"/>
              <w:rPr>
                <w:rFonts w:cs="Arial"/>
                <w:szCs w:val="18"/>
              </w:rPr>
            </w:pPr>
            <w:r w:rsidRPr="002C3B7A">
              <w:t>-</w:t>
            </w:r>
          </w:p>
        </w:tc>
        <w:tc>
          <w:tcPr>
            <w:tcW w:w="850" w:type="dxa"/>
            <w:noWrap/>
          </w:tcPr>
          <w:p w14:paraId="590C8D54" w14:textId="6A5C697E" w:rsidR="00EB139C" w:rsidRPr="00841EF2" w:rsidRDefault="00EB139C" w:rsidP="00EB139C">
            <w:pPr>
              <w:pStyle w:val="Normlnbezmezer"/>
              <w:ind w:left="0"/>
              <w:contextualSpacing/>
              <w:jc w:val="left"/>
              <w:rPr>
                <w:rFonts w:cs="Arial"/>
                <w:szCs w:val="18"/>
              </w:rPr>
            </w:pPr>
            <w:r w:rsidRPr="002C3B7A">
              <w:t>-</w:t>
            </w:r>
          </w:p>
        </w:tc>
        <w:tc>
          <w:tcPr>
            <w:tcW w:w="992" w:type="dxa"/>
            <w:noWrap/>
          </w:tcPr>
          <w:p w14:paraId="5196AAB4" w14:textId="76480626" w:rsidR="00EB139C" w:rsidRPr="00841EF2" w:rsidRDefault="00EB139C" w:rsidP="00EB139C">
            <w:pPr>
              <w:pStyle w:val="Normlnbezmezer"/>
              <w:ind w:left="0"/>
              <w:contextualSpacing/>
              <w:jc w:val="left"/>
              <w:rPr>
                <w:rFonts w:cs="Arial"/>
                <w:szCs w:val="18"/>
              </w:rPr>
            </w:pPr>
            <w:r w:rsidRPr="002C3B7A">
              <w:t>-</w:t>
            </w:r>
          </w:p>
        </w:tc>
        <w:tc>
          <w:tcPr>
            <w:tcW w:w="855" w:type="dxa"/>
          </w:tcPr>
          <w:p w14:paraId="1C1F9768" w14:textId="4420D7EA" w:rsidR="00EB139C" w:rsidRPr="00841EF2" w:rsidRDefault="00EB139C" w:rsidP="00EB139C">
            <w:pPr>
              <w:pStyle w:val="Normlnbezmezer"/>
              <w:ind w:left="0"/>
              <w:contextualSpacing/>
              <w:jc w:val="left"/>
              <w:rPr>
                <w:rFonts w:cs="Arial"/>
                <w:szCs w:val="18"/>
              </w:rPr>
            </w:pPr>
            <w:r w:rsidRPr="002C3B7A">
              <w:t>-</w:t>
            </w:r>
          </w:p>
        </w:tc>
      </w:tr>
      <w:tr w:rsidR="00EB139C" w:rsidRPr="00841EF2" w14:paraId="390FC995" w14:textId="77777777" w:rsidTr="00EB139C">
        <w:tc>
          <w:tcPr>
            <w:tcW w:w="992" w:type="dxa"/>
            <w:vMerge/>
            <w:hideMark/>
          </w:tcPr>
          <w:p w14:paraId="2A0767D0" w14:textId="77777777" w:rsidR="00EB139C" w:rsidRPr="00841EF2" w:rsidRDefault="00EB139C" w:rsidP="00EB139C">
            <w:pPr>
              <w:pStyle w:val="Normlnbezmezer"/>
              <w:ind w:left="0"/>
              <w:contextualSpacing/>
              <w:rPr>
                <w:rFonts w:cs="Arial"/>
                <w:szCs w:val="18"/>
              </w:rPr>
            </w:pPr>
          </w:p>
        </w:tc>
        <w:tc>
          <w:tcPr>
            <w:tcW w:w="3261" w:type="dxa"/>
            <w:hideMark/>
          </w:tcPr>
          <w:p w14:paraId="79265952" w14:textId="263FF007" w:rsidR="00EB139C" w:rsidRPr="00841EF2" w:rsidRDefault="00EB139C" w:rsidP="00EB139C">
            <w:pPr>
              <w:pStyle w:val="Normlnbezmezer"/>
              <w:ind w:left="0"/>
              <w:contextualSpacing/>
              <w:rPr>
                <w:rFonts w:cs="Arial"/>
                <w:szCs w:val="18"/>
              </w:rPr>
            </w:pPr>
            <w:r w:rsidRPr="006238DF">
              <w:t>nezjištěno</w:t>
            </w:r>
          </w:p>
        </w:tc>
        <w:tc>
          <w:tcPr>
            <w:tcW w:w="851" w:type="dxa"/>
            <w:noWrap/>
            <w:hideMark/>
          </w:tcPr>
          <w:p w14:paraId="4F3D98EC" w14:textId="70E410D0" w:rsidR="00EB139C" w:rsidRPr="00841EF2" w:rsidRDefault="00EB139C" w:rsidP="00EB139C">
            <w:pPr>
              <w:pStyle w:val="Normlnbezmezer"/>
              <w:ind w:left="0"/>
              <w:contextualSpacing/>
              <w:jc w:val="left"/>
              <w:rPr>
                <w:rFonts w:cs="Arial"/>
                <w:szCs w:val="18"/>
              </w:rPr>
            </w:pPr>
            <w:r w:rsidRPr="006258CC">
              <w:t>2</w:t>
            </w:r>
          </w:p>
        </w:tc>
        <w:tc>
          <w:tcPr>
            <w:tcW w:w="850" w:type="dxa"/>
            <w:noWrap/>
            <w:hideMark/>
          </w:tcPr>
          <w:p w14:paraId="09207293" w14:textId="778A4D36" w:rsidR="00EB139C" w:rsidRPr="00841EF2" w:rsidRDefault="00EB139C" w:rsidP="00EB139C">
            <w:pPr>
              <w:pStyle w:val="Normlnbezmezer"/>
              <w:ind w:left="0"/>
              <w:contextualSpacing/>
              <w:jc w:val="left"/>
              <w:rPr>
                <w:rFonts w:cs="Arial"/>
                <w:szCs w:val="18"/>
              </w:rPr>
            </w:pPr>
            <w:r w:rsidRPr="006258CC">
              <w:t>2</w:t>
            </w:r>
          </w:p>
        </w:tc>
        <w:tc>
          <w:tcPr>
            <w:tcW w:w="992" w:type="dxa"/>
            <w:noWrap/>
            <w:hideMark/>
          </w:tcPr>
          <w:p w14:paraId="3CD826E7" w14:textId="7B5BE94B" w:rsidR="00EB139C" w:rsidRPr="00841EF2" w:rsidRDefault="00EB139C" w:rsidP="00EB139C">
            <w:pPr>
              <w:pStyle w:val="Normlnbezmezer"/>
              <w:ind w:left="0"/>
              <w:contextualSpacing/>
              <w:jc w:val="left"/>
              <w:rPr>
                <w:rFonts w:cs="Arial"/>
                <w:szCs w:val="18"/>
              </w:rPr>
            </w:pPr>
            <w:r w:rsidRPr="006258CC">
              <w:t>-</w:t>
            </w:r>
          </w:p>
        </w:tc>
        <w:tc>
          <w:tcPr>
            <w:tcW w:w="855" w:type="dxa"/>
          </w:tcPr>
          <w:p w14:paraId="4B5939EB" w14:textId="184611AB" w:rsidR="00EB139C" w:rsidRPr="00841EF2" w:rsidRDefault="00EB139C" w:rsidP="00EB139C">
            <w:pPr>
              <w:pStyle w:val="Normlnbezmezer"/>
              <w:ind w:left="0"/>
              <w:contextualSpacing/>
              <w:jc w:val="left"/>
              <w:rPr>
                <w:rFonts w:cs="Arial"/>
                <w:szCs w:val="18"/>
              </w:rPr>
            </w:pPr>
            <w:r w:rsidRPr="006258CC">
              <w:t>-</w:t>
            </w:r>
          </w:p>
        </w:tc>
      </w:tr>
      <w:tr w:rsidR="00D17515" w:rsidRPr="00841EF2" w14:paraId="59277F86" w14:textId="77777777" w:rsidTr="00EB139C">
        <w:tc>
          <w:tcPr>
            <w:tcW w:w="992" w:type="dxa"/>
            <w:vMerge w:val="restart"/>
            <w:hideMark/>
          </w:tcPr>
          <w:p w14:paraId="2DB53179" w14:textId="77777777" w:rsidR="00D17515" w:rsidRPr="00841EF2" w:rsidRDefault="00D17515" w:rsidP="00D17515">
            <w:pPr>
              <w:pStyle w:val="Normlnbezmezer"/>
              <w:ind w:left="0"/>
              <w:contextualSpacing/>
              <w:jc w:val="left"/>
              <w:rPr>
                <w:rFonts w:cs="Arial"/>
                <w:szCs w:val="18"/>
              </w:rPr>
            </w:pPr>
            <w:r w:rsidRPr="00841EF2">
              <w:rPr>
                <w:rFonts w:cs="Arial"/>
                <w:szCs w:val="18"/>
              </w:rPr>
              <w:t xml:space="preserve">z toho podle období výstavby </w:t>
            </w:r>
          </w:p>
        </w:tc>
        <w:tc>
          <w:tcPr>
            <w:tcW w:w="3261" w:type="dxa"/>
            <w:hideMark/>
          </w:tcPr>
          <w:p w14:paraId="1B37A85B" w14:textId="59200FCB" w:rsidR="00D17515" w:rsidRPr="00841EF2" w:rsidRDefault="00D17515" w:rsidP="00D17515">
            <w:pPr>
              <w:pStyle w:val="Normlnbezmezer"/>
              <w:ind w:left="0"/>
              <w:contextualSpacing/>
              <w:rPr>
                <w:rFonts w:cs="Arial"/>
                <w:szCs w:val="18"/>
              </w:rPr>
            </w:pPr>
            <w:r w:rsidRPr="0046451B">
              <w:t>1919 a dříve</w:t>
            </w:r>
          </w:p>
        </w:tc>
        <w:tc>
          <w:tcPr>
            <w:tcW w:w="851" w:type="dxa"/>
            <w:noWrap/>
            <w:hideMark/>
          </w:tcPr>
          <w:p w14:paraId="414263C8" w14:textId="1A8EE854" w:rsidR="00D17515" w:rsidRPr="00841EF2" w:rsidRDefault="00D17515" w:rsidP="00D17515">
            <w:pPr>
              <w:pStyle w:val="Normlnbezmezer"/>
              <w:ind w:left="0"/>
              <w:contextualSpacing/>
              <w:jc w:val="left"/>
              <w:rPr>
                <w:rFonts w:cs="Arial"/>
                <w:szCs w:val="18"/>
              </w:rPr>
            </w:pPr>
            <w:r w:rsidRPr="00803925">
              <w:t>45</w:t>
            </w:r>
          </w:p>
        </w:tc>
        <w:tc>
          <w:tcPr>
            <w:tcW w:w="850" w:type="dxa"/>
            <w:noWrap/>
            <w:hideMark/>
          </w:tcPr>
          <w:p w14:paraId="2AFAB664" w14:textId="2A2FD25E" w:rsidR="00D17515" w:rsidRPr="00841EF2" w:rsidRDefault="00D17515" w:rsidP="00D17515">
            <w:pPr>
              <w:pStyle w:val="Normlnbezmezer"/>
              <w:ind w:left="0"/>
              <w:contextualSpacing/>
              <w:jc w:val="left"/>
              <w:rPr>
                <w:rFonts w:cs="Arial"/>
                <w:szCs w:val="18"/>
              </w:rPr>
            </w:pPr>
            <w:r w:rsidRPr="00803925">
              <w:t>42</w:t>
            </w:r>
          </w:p>
        </w:tc>
        <w:tc>
          <w:tcPr>
            <w:tcW w:w="992" w:type="dxa"/>
            <w:noWrap/>
            <w:hideMark/>
          </w:tcPr>
          <w:p w14:paraId="6F33DFC9" w14:textId="0ABBA23F" w:rsidR="00D17515" w:rsidRPr="00841EF2" w:rsidRDefault="00D17515" w:rsidP="00D17515">
            <w:pPr>
              <w:pStyle w:val="Normlnbezmezer"/>
              <w:ind w:left="0"/>
              <w:contextualSpacing/>
              <w:jc w:val="left"/>
              <w:rPr>
                <w:rFonts w:cs="Arial"/>
                <w:szCs w:val="18"/>
              </w:rPr>
            </w:pPr>
            <w:r w:rsidRPr="00803925">
              <w:t>2</w:t>
            </w:r>
          </w:p>
        </w:tc>
        <w:tc>
          <w:tcPr>
            <w:tcW w:w="855" w:type="dxa"/>
          </w:tcPr>
          <w:p w14:paraId="341D0A78" w14:textId="0EC8B7AF" w:rsidR="00D17515" w:rsidRPr="00841EF2" w:rsidRDefault="00D17515" w:rsidP="00D17515">
            <w:pPr>
              <w:pStyle w:val="Normlnbezmezer"/>
              <w:ind w:left="0"/>
              <w:contextualSpacing/>
              <w:jc w:val="left"/>
              <w:rPr>
                <w:rFonts w:cs="Arial"/>
                <w:szCs w:val="18"/>
              </w:rPr>
            </w:pPr>
            <w:r w:rsidRPr="00803925">
              <w:t>1</w:t>
            </w:r>
          </w:p>
        </w:tc>
      </w:tr>
      <w:tr w:rsidR="00D17515" w:rsidRPr="00841EF2" w14:paraId="6F6B9818" w14:textId="77777777" w:rsidTr="00EB139C">
        <w:tc>
          <w:tcPr>
            <w:tcW w:w="992" w:type="dxa"/>
            <w:vMerge/>
            <w:hideMark/>
          </w:tcPr>
          <w:p w14:paraId="5B542107" w14:textId="77777777" w:rsidR="00D17515" w:rsidRPr="00841EF2" w:rsidRDefault="00D17515" w:rsidP="00D17515">
            <w:pPr>
              <w:pStyle w:val="Normlnbezmezer"/>
              <w:ind w:left="0"/>
              <w:contextualSpacing/>
              <w:rPr>
                <w:rFonts w:cs="Arial"/>
                <w:szCs w:val="18"/>
              </w:rPr>
            </w:pPr>
          </w:p>
        </w:tc>
        <w:tc>
          <w:tcPr>
            <w:tcW w:w="3261" w:type="dxa"/>
            <w:hideMark/>
          </w:tcPr>
          <w:p w14:paraId="4583F238" w14:textId="3E4F2D88" w:rsidR="00D17515" w:rsidRPr="00841EF2" w:rsidRDefault="00D17515" w:rsidP="00D17515">
            <w:pPr>
              <w:pStyle w:val="Normlnbezmezer"/>
              <w:ind w:left="0"/>
              <w:contextualSpacing/>
              <w:rPr>
                <w:rFonts w:cs="Arial"/>
                <w:szCs w:val="18"/>
              </w:rPr>
            </w:pPr>
            <w:r w:rsidRPr="0046451B">
              <w:t>1920 - 1945</w:t>
            </w:r>
          </w:p>
        </w:tc>
        <w:tc>
          <w:tcPr>
            <w:tcW w:w="851" w:type="dxa"/>
            <w:noWrap/>
            <w:hideMark/>
          </w:tcPr>
          <w:p w14:paraId="71F01EAA" w14:textId="46B9C349" w:rsidR="00D17515" w:rsidRPr="00841EF2" w:rsidRDefault="00D17515" w:rsidP="00D17515">
            <w:pPr>
              <w:pStyle w:val="Normlnbezmezer"/>
              <w:ind w:left="0"/>
              <w:contextualSpacing/>
              <w:jc w:val="left"/>
              <w:rPr>
                <w:rFonts w:cs="Arial"/>
                <w:szCs w:val="18"/>
              </w:rPr>
            </w:pPr>
            <w:r w:rsidRPr="001A37B9">
              <w:t>102</w:t>
            </w:r>
          </w:p>
        </w:tc>
        <w:tc>
          <w:tcPr>
            <w:tcW w:w="850" w:type="dxa"/>
            <w:noWrap/>
            <w:hideMark/>
          </w:tcPr>
          <w:p w14:paraId="23D5552C" w14:textId="2618C640" w:rsidR="00D17515" w:rsidRPr="00841EF2" w:rsidRDefault="00D17515" w:rsidP="00D17515">
            <w:pPr>
              <w:pStyle w:val="Normlnbezmezer"/>
              <w:ind w:left="0"/>
              <w:contextualSpacing/>
              <w:jc w:val="left"/>
              <w:rPr>
                <w:rFonts w:cs="Arial"/>
                <w:szCs w:val="18"/>
              </w:rPr>
            </w:pPr>
            <w:r w:rsidRPr="001A37B9">
              <w:t>94</w:t>
            </w:r>
          </w:p>
        </w:tc>
        <w:tc>
          <w:tcPr>
            <w:tcW w:w="992" w:type="dxa"/>
            <w:noWrap/>
            <w:hideMark/>
          </w:tcPr>
          <w:p w14:paraId="4A3144BD" w14:textId="2FD07E61" w:rsidR="00D17515" w:rsidRPr="00841EF2" w:rsidRDefault="00D17515" w:rsidP="00D17515">
            <w:pPr>
              <w:pStyle w:val="Normlnbezmezer"/>
              <w:ind w:left="0"/>
              <w:contextualSpacing/>
              <w:jc w:val="left"/>
              <w:rPr>
                <w:rFonts w:cs="Arial"/>
                <w:szCs w:val="18"/>
              </w:rPr>
            </w:pPr>
            <w:r w:rsidRPr="001A37B9">
              <w:t>8</w:t>
            </w:r>
          </w:p>
        </w:tc>
        <w:tc>
          <w:tcPr>
            <w:tcW w:w="855" w:type="dxa"/>
          </w:tcPr>
          <w:p w14:paraId="5F26D2A3" w14:textId="7E39F843" w:rsidR="00D17515" w:rsidRPr="00841EF2" w:rsidRDefault="00D17515" w:rsidP="00D17515">
            <w:pPr>
              <w:pStyle w:val="Normlnbezmezer"/>
              <w:ind w:left="0"/>
              <w:contextualSpacing/>
              <w:jc w:val="left"/>
              <w:rPr>
                <w:rFonts w:cs="Arial"/>
                <w:szCs w:val="18"/>
              </w:rPr>
            </w:pPr>
            <w:r w:rsidRPr="001A37B9">
              <w:t>-</w:t>
            </w:r>
          </w:p>
        </w:tc>
      </w:tr>
      <w:tr w:rsidR="00D17515" w:rsidRPr="00841EF2" w14:paraId="728E4E37" w14:textId="77777777" w:rsidTr="00EB139C">
        <w:tc>
          <w:tcPr>
            <w:tcW w:w="992" w:type="dxa"/>
            <w:vMerge/>
            <w:hideMark/>
          </w:tcPr>
          <w:p w14:paraId="0DB6CB9B" w14:textId="77777777" w:rsidR="00D17515" w:rsidRPr="00841EF2" w:rsidRDefault="00D17515" w:rsidP="00D17515">
            <w:pPr>
              <w:pStyle w:val="Normlnbezmezer"/>
              <w:ind w:left="0"/>
              <w:contextualSpacing/>
              <w:rPr>
                <w:rFonts w:cs="Arial"/>
                <w:szCs w:val="18"/>
              </w:rPr>
            </w:pPr>
          </w:p>
        </w:tc>
        <w:tc>
          <w:tcPr>
            <w:tcW w:w="3261" w:type="dxa"/>
            <w:hideMark/>
          </w:tcPr>
          <w:p w14:paraId="38ADA897" w14:textId="5964DA03" w:rsidR="00D17515" w:rsidRPr="00841EF2" w:rsidRDefault="00D17515" w:rsidP="00D17515">
            <w:pPr>
              <w:pStyle w:val="Normlnbezmezer"/>
              <w:ind w:left="0"/>
              <w:contextualSpacing/>
              <w:rPr>
                <w:rFonts w:cs="Arial"/>
                <w:szCs w:val="18"/>
              </w:rPr>
            </w:pPr>
            <w:r w:rsidRPr="0046451B">
              <w:t>1946 - 1970</w:t>
            </w:r>
          </w:p>
        </w:tc>
        <w:tc>
          <w:tcPr>
            <w:tcW w:w="851" w:type="dxa"/>
            <w:noWrap/>
            <w:hideMark/>
          </w:tcPr>
          <w:p w14:paraId="792973EE" w14:textId="2E37847E" w:rsidR="00D17515" w:rsidRPr="00841EF2" w:rsidRDefault="00D17515" w:rsidP="00D17515">
            <w:pPr>
              <w:pStyle w:val="Normlnbezmezer"/>
              <w:ind w:left="0"/>
              <w:contextualSpacing/>
              <w:jc w:val="left"/>
              <w:rPr>
                <w:rFonts w:cs="Arial"/>
                <w:szCs w:val="18"/>
              </w:rPr>
            </w:pPr>
            <w:r w:rsidRPr="00A21A64">
              <w:t>149</w:t>
            </w:r>
          </w:p>
        </w:tc>
        <w:tc>
          <w:tcPr>
            <w:tcW w:w="850" w:type="dxa"/>
            <w:noWrap/>
            <w:hideMark/>
          </w:tcPr>
          <w:p w14:paraId="465171D0" w14:textId="688164DE" w:rsidR="00D17515" w:rsidRPr="00841EF2" w:rsidRDefault="00D17515" w:rsidP="00D17515">
            <w:pPr>
              <w:pStyle w:val="Normlnbezmezer"/>
              <w:ind w:left="0"/>
              <w:contextualSpacing/>
              <w:jc w:val="left"/>
              <w:rPr>
                <w:rFonts w:cs="Arial"/>
                <w:szCs w:val="18"/>
              </w:rPr>
            </w:pPr>
            <w:r w:rsidRPr="00A21A64">
              <w:t>105</w:t>
            </w:r>
          </w:p>
        </w:tc>
        <w:tc>
          <w:tcPr>
            <w:tcW w:w="992" w:type="dxa"/>
            <w:noWrap/>
            <w:hideMark/>
          </w:tcPr>
          <w:p w14:paraId="3D88183F" w14:textId="0671D80C" w:rsidR="00D17515" w:rsidRPr="00841EF2" w:rsidRDefault="00D17515" w:rsidP="00D17515">
            <w:pPr>
              <w:pStyle w:val="Normlnbezmezer"/>
              <w:ind w:left="0"/>
              <w:contextualSpacing/>
              <w:jc w:val="left"/>
              <w:rPr>
                <w:rFonts w:cs="Arial"/>
                <w:szCs w:val="18"/>
              </w:rPr>
            </w:pPr>
            <w:r w:rsidRPr="00A21A64">
              <w:t>44</w:t>
            </w:r>
          </w:p>
        </w:tc>
        <w:tc>
          <w:tcPr>
            <w:tcW w:w="855" w:type="dxa"/>
          </w:tcPr>
          <w:p w14:paraId="29170101" w14:textId="5B5650B4" w:rsidR="00D17515" w:rsidRPr="00841EF2" w:rsidRDefault="00D17515" w:rsidP="00D17515">
            <w:pPr>
              <w:pStyle w:val="Normlnbezmezer"/>
              <w:ind w:left="0"/>
              <w:contextualSpacing/>
              <w:jc w:val="left"/>
              <w:rPr>
                <w:rFonts w:cs="Arial"/>
                <w:szCs w:val="18"/>
              </w:rPr>
            </w:pPr>
            <w:r w:rsidRPr="00A21A64">
              <w:t>-</w:t>
            </w:r>
          </w:p>
        </w:tc>
      </w:tr>
      <w:tr w:rsidR="00D17515" w:rsidRPr="00841EF2" w14:paraId="7734B5C0" w14:textId="77777777" w:rsidTr="00D17515">
        <w:tc>
          <w:tcPr>
            <w:tcW w:w="992" w:type="dxa"/>
            <w:vMerge/>
            <w:hideMark/>
          </w:tcPr>
          <w:p w14:paraId="585B7F6D" w14:textId="77777777" w:rsidR="00D17515" w:rsidRPr="00841EF2" w:rsidRDefault="00D17515" w:rsidP="00D17515">
            <w:pPr>
              <w:pStyle w:val="Normlnbezmezer"/>
              <w:ind w:left="0"/>
              <w:contextualSpacing/>
              <w:rPr>
                <w:rFonts w:cs="Arial"/>
                <w:szCs w:val="18"/>
              </w:rPr>
            </w:pPr>
          </w:p>
        </w:tc>
        <w:tc>
          <w:tcPr>
            <w:tcW w:w="3261" w:type="dxa"/>
            <w:hideMark/>
          </w:tcPr>
          <w:p w14:paraId="493464B8" w14:textId="36B59C5F" w:rsidR="00D17515" w:rsidRPr="00841EF2" w:rsidRDefault="00D17515" w:rsidP="00D17515">
            <w:pPr>
              <w:pStyle w:val="Normlnbezmezer"/>
              <w:ind w:left="0"/>
              <w:contextualSpacing/>
              <w:rPr>
                <w:rFonts w:cs="Arial"/>
                <w:szCs w:val="18"/>
              </w:rPr>
            </w:pPr>
            <w:r w:rsidRPr="0046451B">
              <w:t>1971 - 1980</w:t>
            </w:r>
          </w:p>
        </w:tc>
        <w:tc>
          <w:tcPr>
            <w:tcW w:w="851" w:type="dxa"/>
            <w:noWrap/>
          </w:tcPr>
          <w:p w14:paraId="7A08C4CD" w14:textId="4192D6AC" w:rsidR="00D17515" w:rsidRPr="00841EF2" w:rsidRDefault="00D17515" w:rsidP="00D17515">
            <w:pPr>
              <w:pStyle w:val="Normlnbezmezer"/>
              <w:ind w:left="0"/>
              <w:contextualSpacing/>
              <w:jc w:val="left"/>
              <w:rPr>
                <w:rFonts w:cs="Arial"/>
                <w:szCs w:val="18"/>
              </w:rPr>
            </w:pPr>
            <w:r w:rsidRPr="002E31A5">
              <w:t>87</w:t>
            </w:r>
          </w:p>
        </w:tc>
        <w:tc>
          <w:tcPr>
            <w:tcW w:w="850" w:type="dxa"/>
            <w:noWrap/>
          </w:tcPr>
          <w:p w14:paraId="3D72E422" w14:textId="394250E9" w:rsidR="00D17515" w:rsidRPr="00841EF2" w:rsidRDefault="00D17515" w:rsidP="00D17515">
            <w:pPr>
              <w:pStyle w:val="Normlnbezmezer"/>
              <w:ind w:left="0"/>
              <w:contextualSpacing/>
              <w:jc w:val="left"/>
              <w:rPr>
                <w:rFonts w:cs="Arial"/>
                <w:szCs w:val="18"/>
              </w:rPr>
            </w:pPr>
            <w:r w:rsidRPr="002E31A5">
              <w:t>43</w:t>
            </w:r>
          </w:p>
        </w:tc>
        <w:tc>
          <w:tcPr>
            <w:tcW w:w="992" w:type="dxa"/>
            <w:noWrap/>
          </w:tcPr>
          <w:p w14:paraId="7BA6C956" w14:textId="4026DEF9" w:rsidR="00D17515" w:rsidRPr="00841EF2" w:rsidRDefault="00D17515" w:rsidP="00D17515">
            <w:pPr>
              <w:pStyle w:val="Normlnbezmezer"/>
              <w:ind w:left="0"/>
              <w:contextualSpacing/>
              <w:jc w:val="left"/>
              <w:rPr>
                <w:rFonts w:cs="Arial"/>
                <w:szCs w:val="18"/>
              </w:rPr>
            </w:pPr>
            <w:r w:rsidRPr="002E31A5">
              <w:t>43</w:t>
            </w:r>
          </w:p>
        </w:tc>
        <w:tc>
          <w:tcPr>
            <w:tcW w:w="855" w:type="dxa"/>
          </w:tcPr>
          <w:p w14:paraId="4886D20A" w14:textId="2E44D89D" w:rsidR="00D17515" w:rsidRPr="00841EF2" w:rsidRDefault="00D17515" w:rsidP="00D17515">
            <w:pPr>
              <w:pStyle w:val="Normlnbezmezer"/>
              <w:ind w:left="0"/>
              <w:contextualSpacing/>
              <w:jc w:val="left"/>
              <w:rPr>
                <w:rFonts w:cs="Arial"/>
                <w:szCs w:val="18"/>
              </w:rPr>
            </w:pPr>
            <w:r w:rsidRPr="002E31A5">
              <w:t>1</w:t>
            </w:r>
          </w:p>
        </w:tc>
      </w:tr>
      <w:tr w:rsidR="00D17515" w:rsidRPr="00841EF2" w14:paraId="18F14462" w14:textId="77777777" w:rsidTr="00D17515">
        <w:tc>
          <w:tcPr>
            <w:tcW w:w="992" w:type="dxa"/>
            <w:vMerge/>
            <w:hideMark/>
          </w:tcPr>
          <w:p w14:paraId="3C2D8B13" w14:textId="77777777" w:rsidR="00D17515" w:rsidRPr="00841EF2" w:rsidRDefault="00D17515" w:rsidP="00D17515">
            <w:pPr>
              <w:pStyle w:val="Normlnbezmezer"/>
              <w:ind w:left="0"/>
              <w:contextualSpacing/>
              <w:rPr>
                <w:rFonts w:cs="Arial"/>
                <w:szCs w:val="18"/>
              </w:rPr>
            </w:pPr>
          </w:p>
        </w:tc>
        <w:tc>
          <w:tcPr>
            <w:tcW w:w="3261" w:type="dxa"/>
            <w:hideMark/>
          </w:tcPr>
          <w:p w14:paraId="3A3D295A" w14:textId="63CB2174" w:rsidR="00D17515" w:rsidRPr="00841EF2" w:rsidRDefault="00D17515" w:rsidP="00D17515">
            <w:pPr>
              <w:pStyle w:val="Normlnbezmezer"/>
              <w:ind w:left="0"/>
              <w:contextualSpacing/>
              <w:rPr>
                <w:rFonts w:cs="Arial"/>
                <w:szCs w:val="18"/>
              </w:rPr>
            </w:pPr>
            <w:r w:rsidRPr="0046451B">
              <w:t>1981 - 1990</w:t>
            </w:r>
          </w:p>
        </w:tc>
        <w:tc>
          <w:tcPr>
            <w:tcW w:w="851" w:type="dxa"/>
            <w:noWrap/>
          </w:tcPr>
          <w:p w14:paraId="5768262E" w14:textId="0BD5EAF2" w:rsidR="00D17515" w:rsidRPr="00841EF2" w:rsidRDefault="00D17515" w:rsidP="00D17515">
            <w:pPr>
              <w:pStyle w:val="Normlnbezmezer"/>
              <w:ind w:left="0"/>
              <w:contextualSpacing/>
              <w:jc w:val="left"/>
              <w:rPr>
                <w:rFonts w:cs="Arial"/>
                <w:szCs w:val="18"/>
              </w:rPr>
            </w:pPr>
            <w:r w:rsidRPr="003A07FC">
              <w:t>41</w:t>
            </w:r>
          </w:p>
        </w:tc>
        <w:tc>
          <w:tcPr>
            <w:tcW w:w="850" w:type="dxa"/>
            <w:noWrap/>
          </w:tcPr>
          <w:p w14:paraId="518D8D4C" w14:textId="28A30D79" w:rsidR="00D17515" w:rsidRPr="00841EF2" w:rsidRDefault="00D17515" w:rsidP="00D17515">
            <w:pPr>
              <w:pStyle w:val="Normlnbezmezer"/>
              <w:ind w:left="0"/>
              <w:contextualSpacing/>
              <w:jc w:val="left"/>
              <w:rPr>
                <w:rFonts w:cs="Arial"/>
                <w:szCs w:val="18"/>
              </w:rPr>
            </w:pPr>
            <w:r w:rsidRPr="003A07FC">
              <w:t>32</w:t>
            </w:r>
          </w:p>
        </w:tc>
        <w:tc>
          <w:tcPr>
            <w:tcW w:w="992" w:type="dxa"/>
            <w:noWrap/>
          </w:tcPr>
          <w:p w14:paraId="3E728D9A" w14:textId="1248A058" w:rsidR="00D17515" w:rsidRPr="00841EF2" w:rsidRDefault="00D17515" w:rsidP="00D17515">
            <w:pPr>
              <w:pStyle w:val="Normlnbezmezer"/>
              <w:ind w:left="0"/>
              <w:contextualSpacing/>
              <w:jc w:val="left"/>
              <w:rPr>
                <w:rFonts w:cs="Arial"/>
                <w:szCs w:val="18"/>
              </w:rPr>
            </w:pPr>
            <w:r w:rsidRPr="003A07FC">
              <w:t>7</w:t>
            </w:r>
          </w:p>
        </w:tc>
        <w:tc>
          <w:tcPr>
            <w:tcW w:w="855" w:type="dxa"/>
          </w:tcPr>
          <w:p w14:paraId="4BAF237D" w14:textId="073C0B17" w:rsidR="00D17515" w:rsidRPr="00841EF2" w:rsidRDefault="00D17515" w:rsidP="00D17515">
            <w:pPr>
              <w:pStyle w:val="Normlnbezmezer"/>
              <w:ind w:left="0"/>
              <w:contextualSpacing/>
              <w:jc w:val="left"/>
              <w:rPr>
                <w:rFonts w:cs="Arial"/>
                <w:szCs w:val="18"/>
              </w:rPr>
            </w:pPr>
            <w:r w:rsidRPr="003A07FC">
              <w:t>2</w:t>
            </w:r>
          </w:p>
        </w:tc>
      </w:tr>
      <w:tr w:rsidR="00D17515" w:rsidRPr="00841EF2" w14:paraId="0AC42340" w14:textId="77777777" w:rsidTr="00EB139C">
        <w:tc>
          <w:tcPr>
            <w:tcW w:w="992" w:type="dxa"/>
            <w:vMerge/>
          </w:tcPr>
          <w:p w14:paraId="68D4D8F8" w14:textId="77777777" w:rsidR="00D17515" w:rsidRPr="00841EF2" w:rsidRDefault="00D17515" w:rsidP="00D17515">
            <w:pPr>
              <w:pStyle w:val="Normlnbezmezer"/>
              <w:ind w:left="0"/>
              <w:contextualSpacing/>
              <w:rPr>
                <w:rFonts w:cs="Arial"/>
                <w:szCs w:val="18"/>
              </w:rPr>
            </w:pPr>
          </w:p>
        </w:tc>
        <w:tc>
          <w:tcPr>
            <w:tcW w:w="3261" w:type="dxa"/>
          </w:tcPr>
          <w:p w14:paraId="48948BF8" w14:textId="02CF58C1" w:rsidR="00D17515" w:rsidRPr="00841EF2" w:rsidRDefault="00D17515" w:rsidP="00D17515">
            <w:pPr>
              <w:pStyle w:val="Normlnbezmezer"/>
              <w:ind w:left="0"/>
              <w:contextualSpacing/>
              <w:rPr>
                <w:rFonts w:cs="Arial"/>
                <w:szCs w:val="18"/>
              </w:rPr>
            </w:pPr>
            <w:r w:rsidRPr="0046451B">
              <w:t>1991 - 2000</w:t>
            </w:r>
          </w:p>
        </w:tc>
        <w:tc>
          <w:tcPr>
            <w:tcW w:w="851" w:type="dxa"/>
            <w:noWrap/>
          </w:tcPr>
          <w:p w14:paraId="05CA75D3" w14:textId="41EC3DCF" w:rsidR="00D17515" w:rsidRPr="00841EF2" w:rsidRDefault="00D17515" w:rsidP="00D17515">
            <w:pPr>
              <w:pStyle w:val="Normlnbezmezer"/>
              <w:ind w:left="0"/>
              <w:contextualSpacing/>
              <w:jc w:val="left"/>
              <w:rPr>
                <w:rFonts w:cs="Arial"/>
                <w:szCs w:val="18"/>
              </w:rPr>
            </w:pPr>
            <w:r w:rsidRPr="00A41C3B">
              <w:t>50</w:t>
            </w:r>
          </w:p>
        </w:tc>
        <w:tc>
          <w:tcPr>
            <w:tcW w:w="850" w:type="dxa"/>
            <w:noWrap/>
          </w:tcPr>
          <w:p w14:paraId="4316D321" w14:textId="1F0BF5FC" w:rsidR="00D17515" w:rsidRPr="00841EF2" w:rsidRDefault="00D17515" w:rsidP="00D17515">
            <w:pPr>
              <w:pStyle w:val="Normlnbezmezer"/>
              <w:ind w:left="0"/>
              <w:contextualSpacing/>
              <w:jc w:val="left"/>
              <w:rPr>
                <w:rFonts w:cs="Arial"/>
                <w:szCs w:val="18"/>
              </w:rPr>
            </w:pPr>
            <w:r w:rsidRPr="00A41C3B">
              <w:t>48</w:t>
            </w:r>
          </w:p>
        </w:tc>
        <w:tc>
          <w:tcPr>
            <w:tcW w:w="992" w:type="dxa"/>
            <w:noWrap/>
          </w:tcPr>
          <w:p w14:paraId="5DAE6AA9" w14:textId="28E87879" w:rsidR="00D17515" w:rsidRPr="00841EF2" w:rsidRDefault="00D17515" w:rsidP="00D17515">
            <w:pPr>
              <w:pStyle w:val="Normlnbezmezer"/>
              <w:ind w:left="0"/>
              <w:contextualSpacing/>
              <w:jc w:val="left"/>
              <w:rPr>
                <w:rFonts w:cs="Arial"/>
                <w:szCs w:val="18"/>
              </w:rPr>
            </w:pPr>
            <w:r w:rsidRPr="00A41C3B">
              <w:t>2</w:t>
            </w:r>
          </w:p>
        </w:tc>
        <w:tc>
          <w:tcPr>
            <w:tcW w:w="855" w:type="dxa"/>
          </w:tcPr>
          <w:p w14:paraId="073EAECA" w14:textId="79628F13" w:rsidR="00D17515" w:rsidRPr="00841EF2" w:rsidRDefault="00D17515" w:rsidP="00D17515">
            <w:pPr>
              <w:pStyle w:val="Normlnbezmezer"/>
              <w:ind w:left="0"/>
              <w:contextualSpacing/>
              <w:jc w:val="left"/>
              <w:rPr>
                <w:rFonts w:cs="Arial"/>
                <w:szCs w:val="18"/>
              </w:rPr>
            </w:pPr>
            <w:r w:rsidRPr="00A41C3B">
              <w:t>-</w:t>
            </w:r>
          </w:p>
        </w:tc>
      </w:tr>
      <w:tr w:rsidR="00D17515" w:rsidRPr="00841EF2" w14:paraId="3ED52227" w14:textId="77777777" w:rsidTr="00EB139C">
        <w:tc>
          <w:tcPr>
            <w:tcW w:w="992" w:type="dxa"/>
            <w:vMerge/>
          </w:tcPr>
          <w:p w14:paraId="5C8DB913" w14:textId="77777777" w:rsidR="00D17515" w:rsidRPr="00841EF2" w:rsidRDefault="00D17515" w:rsidP="00D17515">
            <w:pPr>
              <w:pStyle w:val="Normlnbezmezer"/>
              <w:ind w:left="0"/>
              <w:contextualSpacing/>
              <w:rPr>
                <w:rFonts w:cs="Arial"/>
                <w:szCs w:val="18"/>
              </w:rPr>
            </w:pPr>
          </w:p>
        </w:tc>
        <w:tc>
          <w:tcPr>
            <w:tcW w:w="3261" w:type="dxa"/>
          </w:tcPr>
          <w:p w14:paraId="4401EA10" w14:textId="678C9005" w:rsidR="00D17515" w:rsidRPr="00841EF2" w:rsidRDefault="00D17515" w:rsidP="00D17515">
            <w:pPr>
              <w:pStyle w:val="Normlnbezmezer"/>
              <w:ind w:left="0"/>
              <w:contextualSpacing/>
              <w:rPr>
                <w:rFonts w:cs="Arial"/>
                <w:szCs w:val="18"/>
              </w:rPr>
            </w:pPr>
            <w:r w:rsidRPr="0046451B">
              <w:t>2001 - 2010</w:t>
            </w:r>
          </w:p>
        </w:tc>
        <w:tc>
          <w:tcPr>
            <w:tcW w:w="851" w:type="dxa"/>
            <w:noWrap/>
          </w:tcPr>
          <w:p w14:paraId="187D51B0" w14:textId="4CA2284F" w:rsidR="00D17515" w:rsidRPr="00841EF2" w:rsidRDefault="00D17515" w:rsidP="00D17515">
            <w:pPr>
              <w:pStyle w:val="Normlnbezmezer"/>
              <w:ind w:left="0"/>
              <w:contextualSpacing/>
              <w:jc w:val="left"/>
              <w:rPr>
                <w:rFonts w:cs="Arial"/>
                <w:szCs w:val="18"/>
              </w:rPr>
            </w:pPr>
            <w:r w:rsidRPr="00471FFE">
              <w:t>60</w:t>
            </w:r>
          </w:p>
        </w:tc>
        <w:tc>
          <w:tcPr>
            <w:tcW w:w="850" w:type="dxa"/>
            <w:noWrap/>
          </w:tcPr>
          <w:p w14:paraId="1AB399AB" w14:textId="03F14AE6" w:rsidR="00D17515" w:rsidRPr="00841EF2" w:rsidRDefault="00D17515" w:rsidP="00D17515">
            <w:pPr>
              <w:pStyle w:val="Normlnbezmezer"/>
              <w:ind w:left="0"/>
              <w:contextualSpacing/>
              <w:jc w:val="left"/>
              <w:rPr>
                <w:rFonts w:cs="Arial"/>
                <w:szCs w:val="18"/>
              </w:rPr>
            </w:pPr>
            <w:r w:rsidRPr="00471FFE">
              <w:t>57</w:t>
            </w:r>
          </w:p>
        </w:tc>
        <w:tc>
          <w:tcPr>
            <w:tcW w:w="992" w:type="dxa"/>
            <w:noWrap/>
          </w:tcPr>
          <w:p w14:paraId="771AE898" w14:textId="5AD3181E" w:rsidR="00D17515" w:rsidRPr="00841EF2" w:rsidRDefault="00D17515" w:rsidP="00D17515">
            <w:pPr>
              <w:pStyle w:val="Normlnbezmezer"/>
              <w:ind w:left="0"/>
              <w:contextualSpacing/>
              <w:jc w:val="left"/>
              <w:rPr>
                <w:rFonts w:cs="Arial"/>
                <w:szCs w:val="18"/>
              </w:rPr>
            </w:pPr>
            <w:r w:rsidRPr="00471FFE">
              <w:t>1</w:t>
            </w:r>
          </w:p>
        </w:tc>
        <w:tc>
          <w:tcPr>
            <w:tcW w:w="855" w:type="dxa"/>
          </w:tcPr>
          <w:p w14:paraId="5E5A0741" w14:textId="6F512A6F" w:rsidR="00D17515" w:rsidRPr="00841EF2" w:rsidRDefault="00D17515" w:rsidP="00D17515">
            <w:pPr>
              <w:pStyle w:val="Normlnbezmezer"/>
              <w:ind w:left="0"/>
              <w:contextualSpacing/>
              <w:jc w:val="left"/>
              <w:rPr>
                <w:rFonts w:cs="Arial"/>
                <w:szCs w:val="18"/>
              </w:rPr>
            </w:pPr>
            <w:r w:rsidRPr="00471FFE">
              <w:t>2</w:t>
            </w:r>
          </w:p>
        </w:tc>
      </w:tr>
      <w:tr w:rsidR="00D17515" w:rsidRPr="00841EF2" w14:paraId="4D55FBE3" w14:textId="77777777" w:rsidTr="00EB139C">
        <w:tc>
          <w:tcPr>
            <w:tcW w:w="992" w:type="dxa"/>
            <w:vMerge/>
          </w:tcPr>
          <w:p w14:paraId="7463389D" w14:textId="77777777" w:rsidR="00D17515" w:rsidRPr="00841EF2" w:rsidRDefault="00D17515" w:rsidP="00D17515">
            <w:pPr>
              <w:pStyle w:val="Normlnbezmezer"/>
              <w:ind w:left="0"/>
              <w:contextualSpacing/>
              <w:rPr>
                <w:rFonts w:cs="Arial"/>
                <w:szCs w:val="18"/>
              </w:rPr>
            </w:pPr>
          </w:p>
        </w:tc>
        <w:tc>
          <w:tcPr>
            <w:tcW w:w="3261" w:type="dxa"/>
          </w:tcPr>
          <w:p w14:paraId="1D7FCC48" w14:textId="167DFA98" w:rsidR="00D17515" w:rsidRPr="00841EF2" w:rsidRDefault="00D17515" w:rsidP="00D17515">
            <w:pPr>
              <w:pStyle w:val="Normlnbezmezer"/>
              <w:ind w:left="0"/>
              <w:contextualSpacing/>
              <w:rPr>
                <w:rFonts w:cs="Arial"/>
                <w:szCs w:val="18"/>
              </w:rPr>
            </w:pPr>
            <w:r w:rsidRPr="0046451B">
              <w:t>2011 - 2015</w:t>
            </w:r>
          </w:p>
        </w:tc>
        <w:tc>
          <w:tcPr>
            <w:tcW w:w="851" w:type="dxa"/>
            <w:noWrap/>
          </w:tcPr>
          <w:p w14:paraId="4ACCB9B3" w14:textId="6C54922A" w:rsidR="00D17515" w:rsidRPr="00841EF2" w:rsidRDefault="00D17515" w:rsidP="00D17515">
            <w:pPr>
              <w:pStyle w:val="Normlnbezmezer"/>
              <w:ind w:left="0"/>
              <w:contextualSpacing/>
              <w:jc w:val="left"/>
              <w:rPr>
                <w:rFonts w:cs="Arial"/>
                <w:szCs w:val="18"/>
              </w:rPr>
            </w:pPr>
            <w:r w:rsidRPr="00E73357">
              <w:t>34</w:t>
            </w:r>
          </w:p>
        </w:tc>
        <w:tc>
          <w:tcPr>
            <w:tcW w:w="850" w:type="dxa"/>
            <w:noWrap/>
          </w:tcPr>
          <w:p w14:paraId="2AFCF62C" w14:textId="03784DF9" w:rsidR="00D17515" w:rsidRPr="00841EF2" w:rsidRDefault="00D17515" w:rsidP="00D17515">
            <w:pPr>
              <w:pStyle w:val="Normlnbezmezer"/>
              <w:ind w:left="0"/>
              <w:contextualSpacing/>
              <w:jc w:val="left"/>
              <w:rPr>
                <w:rFonts w:cs="Arial"/>
                <w:szCs w:val="18"/>
              </w:rPr>
            </w:pPr>
            <w:r w:rsidRPr="00E73357">
              <w:t>33</w:t>
            </w:r>
          </w:p>
        </w:tc>
        <w:tc>
          <w:tcPr>
            <w:tcW w:w="992" w:type="dxa"/>
            <w:noWrap/>
          </w:tcPr>
          <w:p w14:paraId="457CD046" w14:textId="3953EE8C" w:rsidR="00D17515" w:rsidRPr="00841EF2" w:rsidRDefault="00D17515" w:rsidP="00D17515">
            <w:pPr>
              <w:pStyle w:val="Normlnbezmezer"/>
              <w:ind w:left="0"/>
              <w:contextualSpacing/>
              <w:jc w:val="left"/>
              <w:rPr>
                <w:rFonts w:cs="Arial"/>
                <w:szCs w:val="18"/>
              </w:rPr>
            </w:pPr>
            <w:r w:rsidRPr="00E73357">
              <w:t>-</w:t>
            </w:r>
          </w:p>
        </w:tc>
        <w:tc>
          <w:tcPr>
            <w:tcW w:w="855" w:type="dxa"/>
          </w:tcPr>
          <w:p w14:paraId="604EE28C" w14:textId="63F34753" w:rsidR="00D17515" w:rsidRPr="00841EF2" w:rsidRDefault="00D17515" w:rsidP="00D17515">
            <w:pPr>
              <w:pStyle w:val="Normlnbezmezer"/>
              <w:ind w:left="0"/>
              <w:contextualSpacing/>
              <w:jc w:val="left"/>
              <w:rPr>
                <w:rFonts w:cs="Arial"/>
                <w:szCs w:val="18"/>
              </w:rPr>
            </w:pPr>
            <w:r w:rsidRPr="00E73357">
              <w:t>1</w:t>
            </w:r>
          </w:p>
        </w:tc>
      </w:tr>
      <w:tr w:rsidR="00D17515" w:rsidRPr="00841EF2" w14:paraId="4181DDE6" w14:textId="77777777" w:rsidTr="00EB139C">
        <w:tc>
          <w:tcPr>
            <w:tcW w:w="992" w:type="dxa"/>
            <w:vMerge/>
          </w:tcPr>
          <w:p w14:paraId="0815CCE1" w14:textId="77777777" w:rsidR="00D17515" w:rsidRPr="00841EF2" w:rsidRDefault="00D17515" w:rsidP="00D17515">
            <w:pPr>
              <w:pStyle w:val="Normlnbezmezer"/>
              <w:ind w:left="0"/>
              <w:contextualSpacing/>
              <w:rPr>
                <w:rFonts w:cs="Arial"/>
                <w:szCs w:val="18"/>
              </w:rPr>
            </w:pPr>
          </w:p>
        </w:tc>
        <w:tc>
          <w:tcPr>
            <w:tcW w:w="3261" w:type="dxa"/>
          </w:tcPr>
          <w:p w14:paraId="47618BEF" w14:textId="7A035D7A" w:rsidR="00D17515" w:rsidRPr="00841EF2" w:rsidRDefault="00D17515" w:rsidP="00D17515">
            <w:pPr>
              <w:pStyle w:val="Normlnbezmezer"/>
              <w:ind w:left="0"/>
              <w:contextualSpacing/>
              <w:rPr>
                <w:rFonts w:cs="Arial"/>
                <w:szCs w:val="18"/>
              </w:rPr>
            </w:pPr>
            <w:r w:rsidRPr="0046451B">
              <w:t>2016 a později</w:t>
            </w:r>
          </w:p>
        </w:tc>
        <w:tc>
          <w:tcPr>
            <w:tcW w:w="851" w:type="dxa"/>
            <w:noWrap/>
          </w:tcPr>
          <w:p w14:paraId="04423282" w14:textId="5C4285B2" w:rsidR="00D17515" w:rsidRPr="00841EF2" w:rsidRDefault="00D17515" w:rsidP="00D17515">
            <w:pPr>
              <w:pStyle w:val="Normlnbezmezer"/>
              <w:ind w:left="0"/>
              <w:contextualSpacing/>
              <w:jc w:val="left"/>
              <w:rPr>
                <w:rFonts w:cs="Arial"/>
                <w:szCs w:val="18"/>
              </w:rPr>
            </w:pPr>
            <w:r w:rsidRPr="00F309B2">
              <w:t>35</w:t>
            </w:r>
          </w:p>
        </w:tc>
        <w:tc>
          <w:tcPr>
            <w:tcW w:w="850" w:type="dxa"/>
            <w:noWrap/>
          </w:tcPr>
          <w:p w14:paraId="7A98612A" w14:textId="7F0FF565" w:rsidR="00D17515" w:rsidRPr="00841EF2" w:rsidRDefault="00D17515" w:rsidP="00D17515">
            <w:pPr>
              <w:pStyle w:val="Normlnbezmezer"/>
              <w:ind w:left="0"/>
              <w:contextualSpacing/>
              <w:jc w:val="left"/>
              <w:rPr>
                <w:rFonts w:cs="Arial"/>
                <w:szCs w:val="18"/>
              </w:rPr>
            </w:pPr>
            <w:r w:rsidRPr="00F309B2">
              <w:t>34</w:t>
            </w:r>
          </w:p>
        </w:tc>
        <w:tc>
          <w:tcPr>
            <w:tcW w:w="992" w:type="dxa"/>
            <w:noWrap/>
          </w:tcPr>
          <w:p w14:paraId="42D49473" w14:textId="22462DF0" w:rsidR="00D17515" w:rsidRPr="00841EF2" w:rsidRDefault="00D17515" w:rsidP="00D17515">
            <w:pPr>
              <w:pStyle w:val="Normlnbezmezer"/>
              <w:ind w:left="0"/>
              <w:contextualSpacing/>
              <w:jc w:val="left"/>
              <w:rPr>
                <w:rFonts w:cs="Arial"/>
                <w:szCs w:val="18"/>
              </w:rPr>
            </w:pPr>
            <w:r w:rsidRPr="00F309B2">
              <w:t>-</w:t>
            </w:r>
          </w:p>
        </w:tc>
        <w:tc>
          <w:tcPr>
            <w:tcW w:w="855" w:type="dxa"/>
          </w:tcPr>
          <w:p w14:paraId="704FD3EB" w14:textId="795D089B" w:rsidR="00D17515" w:rsidRPr="00841EF2" w:rsidRDefault="00D17515" w:rsidP="00D17515">
            <w:pPr>
              <w:pStyle w:val="Normlnbezmezer"/>
              <w:ind w:left="0"/>
              <w:contextualSpacing/>
              <w:jc w:val="left"/>
              <w:rPr>
                <w:rFonts w:cs="Arial"/>
                <w:szCs w:val="18"/>
              </w:rPr>
            </w:pPr>
            <w:r w:rsidRPr="00F309B2">
              <w:t>1</w:t>
            </w:r>
          </w:p>
        </w:tc>
      </w:tr>
      <w:tr w:rsidR="00D17515" w:rsidRPr="00841EF2" w14:paraId="7621A8EC" w14:textId="77777777" w:rsidTr="00D17515">
        <w:tc>
          <w:tcPr>
            <w:tcW w:w="992" w:type="dxa"/>
            <w:vMerge/>
            <w:hideMark/>
          </w:tcPr>
          <w:p w14:paraId="7AD9327F" w14:textId="77777777" w:rsidR="00D17515" w:rsidRPr="00841EF2" w:rsidRDefault="00D17515" w:rsidP="00D17515">
            <w:pPr>
              <w:pStyle w:val="Normlnbezmezer"/>
              <w:ind w:left="0"/>
              <w:contextualSpacing/>
              <w:rPr>
                <w:rFonts w:cs="Arial"/>
                <w:szCs w:val="18"/>
              </w:rPr>
            </w:pPr>
          </w:p>
        </w:tc>
        <w:tc>
          <w:tcPr>
            <w:tcW w:w="3261" w:type="dxa"/>
            <w:hideMark/>
          </w:tcPr>
          <w:p w14:paraId="79733C9A" w14:textId="4275D64A" w:rsidR="00D17515" w:rsidRPr="00841EF2" w:rsidRDefault="00D17515" w:rsidP="00D17515">
            <w:pPr>
              <w:pStyle w:val="Normlnbezmezer"/>
              <w:ind w:left="0"/>
              <w:contextualSpacing/>
              <w:rPr>
                <w:rFonts w:cs="Arial"/>
                <w:szCs w:val="18"/>
              </w:rPr>
            </w:pPr>
            <w:r w:rsidRPr="0046451B">
              <w:t>nezjištěno</w:t>
            </w:r>
          </w:p>
        </w:tc>
        <w:tc>
          <w:tcPr>
            <w:tcW w:w="851" w:type="dxa"/>
            <w:noWrap/>
          </w:tcPr>
          <w:p w14:paraId="54E8D38F" w14:textId="73B9C682" w:rsidR="00D17515" w:rsidRPr="00841EF2" w:rsidRDefault="00D17515" w:rsidP="00D17515">
            <w:pPr>
              <w:pStyle w:val="Normlnbezmezer"/>
              <w:ind w:left="0"/>
              <w:contextualSpacing/>
              <w:jc w:val="left"/>
              <w:rPr>
                <w:rFonts w:cs="Arial"/>
                <w:szCs w:val="18"/>
              </w:rPr>
            </w:pPr>
            <w:r w:rsidRPr="00276E3E">
              <w:t>19</w:t>
            </w:r>
          </w:p>
        </w:tc>
        <w:tc>
          <w:tcPr>
            <w:tcW w:w="850" w:type="dxa"/>
            <w:noWrap/>
          </w:tcPr>
          <w:p w14:paraId="0308F948" w14:textId="39016203" w:rsidR="00D17515" w:rsidRPr="00841EF2" w:rsidRDefault="00D17515" w:rsidP="00D17515">
            <w:pPr>
              <w:pStyle w:val="Normlnbezmezer"/>
              <w:ind w:left="0"/>
              <w:contextualSpacing/>
              <w:jc w:val="left"/>
              <w:rPr>
                <w:rFonts w:cs="Arial"/>
                <w:szCs w:val="18"/>
              </w:rPr>
            </w:pPr>
            <w:r w:rsidRPr="00276E3E">
              <w:t>14</w:t>
            </w:r>
          </w:p>
        </w:tc>
        <w:tc>
          <w:tcPr>
            <w:tcW w:w="992" w:type="dxa"/>
            <w:noWrap/>
          </w:tcPr>
          <w:p w14:paraId="0A4FFAF4" w14:textId="0519DF71" w:rsidR="00D17515" w:rsidRPr="00841EF2" w:rsidRDefault="00D17515" w:rsidP="00D17515">
            <w:pPr>
              <w:pStyle w:val="Normlnbezmezer"/>
              <w:ind w:left="0"/>
              <w:contextualSpacing/>
              <w:jc w:val="left"/>
              <w:rPr>
                <w:rFonts w:cs="Arial"/>
                <w:szCs w:val="18"/>
              </w:rPr>
            </w:pPr>
            <w:r w:rsidRPr="00276E3E">
              <w:t>-</w:t>
            </w:r>
          </w:p>
        </w:tc>
        <w:tc>
          <w:tcPr>
            <w:tcW w:w="855" w:type="dxa"/>
          </w:tcPr>
          <w:p w14:paraId="395B142C" w14:textId="4C9D9711" w:rsidR="00D17515" w:rsidRPr="00841EF2" w:rsidRDefault="00D17515" w:rsidP="00D17515">
            <w:pPr>
              <w:pStyle w:val="Normlnbezmezer"/>
              <w:ind w:left="0"/>
              <w:contextualSpacing/>
              <w:jc w:val="left"/>
              <w:rPr>
                <w:rFonts w:cs="Arial"/>
                <w:szCs w:val="18"/>
              </w:rPr>
            </w:pPr>
            <w:r w:rsidRPr="00276E3E">
              <w:t>5</w:t>
            </w:r>
          </w:p>
        </w:tc>
      </w:tr>
    </w:tbl>
    <w:p w14:paraId="045A6B8F" w14:textId="0314598F" w:rsidR="00342EED" w:rsidRDefault="00342EED" w:rsidP="00EB139C">
      <w:pPr>
        <w:pStyle w:val="Citt"/>
        <w:jc w:val="left"/>
      </w:pPr>
      <w:r w:rsidRPr="00F90A07">
        <w:t>(zdroj: ČSÚ, SLDB 20</w:t>
      </w:r>
      <w:r w:rsidR="00E84814">
        <w:t>2</w:t>
      </w:r>
      <w:r w:rsidRPr="00F90A07">
        <w:t>1)</w:t>
      </w:r>
    </w:p>
    <w:p w14:paraId="60D6460D" w14:textId="77777777" w:rsidR="009C7F87" w:rsidRDefault="009C7F87">
      <w:pPr>
        <w:spacing w:before="0" w:after="0"/>
        <w:ind w:left="0"/>
        <w:jc w:val="left"/>
      </w:pPr>
      <w:r>
        <w:br w:type="page"/>
      </w:r>
    </w:p>
    <w:p w14:paraId="1BDD1050" w14:textId="2D1384B1" w:rsidR="00342EED" w:rsidRDefault="00342EED" w:rsidP="00342EED">
      <w:r>
        <w:lastRenderedPageBreak/>
        <w:t>Dokončené byty</w:t>
      </w:r>
      <w:r w:rsidRPr="006C66C2">
        <w:t xml:space="preserve"> </w:t>
      </w:r>
    </w:p>
    <w:tbl>
      <w:tblPr>
        <w:tblW w:w="7796" w:type="dxa"/>
        <w:tblInd w:w="709" w:type="dxa"/>
        <w:tblBorders>
          <w:top w:val="dashSmallGap" w:sz="4" w:space="0" w:color="auto"/>
          <w:bottom w:val="dashSmallGap" w:sz="4" w:space="0" w:color="auto"/>
          <w:insideH w:val="dashSmallGap" w:sz="4" w:space="0" w:color="auto"/>
        </w:tblBorders>
        <w:tblCellMar>
          <w:left w:w="70" w:type="dxa"/>
          <w:right w:w="70" w:type="dxa"/>
        </w:tblCellMar>
        <w:tblLook w:val="04A0" w:firstRow="1" w:lastRow="0" w:firstColumn="1" w:lastColumn="0" w:noHBand="0" w:noVBand="1"/>
      </w:tblPr>
      <w:tblGrid>
        <w:gridCol w:w="960"/>
        <w:gridCol w:w="2017"/>
        <w:gridCol w:w="2126"/>
        <w:gridCol w:w="2693"/>
      </w:tblGrid>
      <w:tr w:rsidR="00342EED" w:rsidRPr="00A10269" w14:paraId="610ACE14" w14:textId="77777777" w:rsidTr="00EB139C">
        <w:trPr>
          <w:trHeight w:val="290"/>
          <w:tblHeader/>
        </w:trPr>
        <w:tc>
          <w:tcPr>
            <w:tcW w:w="960" w:type="dxa"/>
            <w:noWrap/>
            <w:vAlign w:val="center"/>
            <w:hideMark/>
          </w:tcPr>
          <w:p w14:paraId="0AC78BDB" w14:textId="77777777" w:rsidR="00342EED" w:rsidRPr="00A10269" w:rsidRDefault="00342EED" w:rsidP="00231945">
            <w:pPr>
              <w:spacing w:before="40" w:after="40"/>
              <w:ind w:left="0"/>
              <w:contextualSpacing/>
              <w:jc w:val="left"/>
              <w:rPr>
                <w:rFonts w:ascii="Times New Roman" w:hAnsi="Times New Roman"/>
                <w:b/>
                <w:bCs/>
                <w:szCs w:val="18"/>
              </w:rPr>
            </w:pPr>
          </w:p>
        </w:tc>
        <w:tc>
          <w:tcPr>
            <w:tcW w:w="2017" w:type="dxa"/>
            <w:noWrap/>
            <w:vAlign w:val="center"/>
            <w:hideMark/>
          </w:tcPr>
          <w:p w14:paraId="244D0C47" w14:textId="77777777" w:rsidR="00342EED" w:rsidRPr="00A10269" w:rsidRDefault="00342EED" w:rsidP="00231945">
            <w:pPr>
              <w:spacing w:before="40" w:after="40"/>
              <w:ind w:left="0"/>
              <w:contextualSpacing/>
              <w:jc w:val="left"/>
              <w:rPr>
                <w:rFonts w:cs="Calibri"/>
                <w:b/>
                <w:bCs/>
                <w:color w:val="000000"/>
                <w:szCs w:val="18"/>
              </w:rPr>
            </w:pPr>
            <w:r w:rsidRPr="00A10269">
              <w:rPr>
                <w:rFonts w:cs="Calibri"/>
                <w:b/>
                <w:bCs/>
                <w:color w:val="000000"/>
                <w:szCs w:val="18"/>
              </w:rPr>
              <w:t>byty celkem</w:t>
            </w:r>
          </w:p>
        </w:tc>
        <w:tc>
          <w:tcPr>
            <w:tcW w:w="2126" w:type="dxa"/>
            <w:noWrap/>
            <w:vAlign w:val="center"/>
            <w:hideMark/>
          </w:tcPr>
          <w:p w14:paraId="3ADCD0B7" w14:textId="77777777" w:rsidR="00342EED" w:rsidRPr="00A10269" w:rsidRDefault="00342EED" w:rsidP="00231945">
            <w:pPr>
              <w:spacing w:before="40" w:after="40"/>
              <w:ind w:left="0"/>
              <w:contextualSpacing/>
              <w:jc w:val="left"/>
              <w:rPr>
                <w:rFonts w:cs="Calibri"/>
                <w:b/>
                <w:bCs/>
                <w:color w:val="000000"/>
                <w:szCs w:val="18"/>
              </w:rPr>
            </w:pPr>
            <w:r w:rsidRPr="00A10269">
              <w:rPr>
                <w:rFonts w:cs="Calibri"/>
                <w:b/>
                <w:bCs/>
                <w:color w:val="000000"/>
                <w:szCs w:val="18"/>
              </w:rPr>
              <w:t>v rodinných domech</w:t>
            </w:r>
          </w:p>
        </w:tc>
        <w:tc>
          <w:tcPr>
            <w:tcW w:w="2693" w:type="dxa"/>
            <w:noWrap/>
            <w:vAlign w:val="center"/>
            <w:hideMark/>
          </w:tcPr>
          <w:p w14:paraId="443FDCEA" w14:textId="77777777" w:rsidR="00342EED" w:rsidRPr="00A10269" w:rsidRDefault="00342EED" w:rsidP="00231945">
            <w:pPr>
              <w:spacing w:before="40" w:after="40"/>
              <w:ind w:left="0"/>
              <w:contextualSpacing/>
              <w:jc w:val="left"/>
              <w:rPr>
                <w:rFonts w:cs="Calibri"/>
                <w:b/>
                <w:bCs/>
                <w:color w:val="000000"/>
                <w:szCs w:val="18"/>
              </w:rPr>
            </w:pPr>
            <w:r w:rsidRPr="00A10269">
              <w:rPr>
                <w:rFonts w:cs="Calibri"/>
                <w:b/>
                <w:bCs/>
                <w:color w:val="000000"/>
                <w:szCs w:val="18"/>
              </w:rPr>
              <w:t>v bytových domech</w:t>
            </w:r>
          </w:p>
        </w:tc>
      </w:tr>
      <w:tr w:rsidR="00342EED" w:rsidRPr="00A10269" w14:paraId="10028D4C" w14:textId="77777777" w:rsidTr="00EB139C">
        <w:trPr>
          <w:trHeight w:val="290"/>
        </w:trPr>
        <w:tc>
          <w:tcPr>
            <w:tcW w:w="960" w:type="dxa"/>
            <w:noWrap/>
            <w:vAlign w:val="center"/>
            <w:hideMark/>
          </w:tcPr>
          <w:p w14:paraId="25DA115B" w14:textId="77777777" w:rsidR="00342EED" w:rsidRPr="00A10269" w:rsidRDefault="00342EED" w:rsidP="00231945">
            <w:pPr>
              <w:spacing w:before="40" w:after="40"/>
              <w:ind w:left="0"/>
              <w:contextualSpacing/>
              <w:jc w:val="left"/>
              <w:rPr>
                <w:rFonts w:cs="Calibri"/>
                <w:color w:val="000000"/>
                <w:szCs w:val="18"/>
              </w:rPr>
            </w:pPr>
            <w:r w:rsidRPr="00A10269">
              <w:rPr>
                <w:rFonts w:cs="Calibri"/>
                <w:color w:val="000000"/>
                <w:szCs w:val="18"/>
              </w:rPr>
              <w:t>2020</w:t>
            </w:r>
          </w:p>
        </w:tc>
        <w:tc>
          <w:tcPr>
            <w:tcW w:w="2017" w:type="dxa"/>
            <w:noWrap/>
            <w:vAlign w:val="center"/>
            <w:hideMark/>
          </w:tcPr>
          <w:p w14:paraId="39D8A9F9" w14:textId="78312876" w:rsidR="00342EED" w:rsidRPr="00A10269" w:rsidRDefault="00EB139C" w:rsidP="00231945">
            <w:pPr>
              <w:spacing w:before="40" w:after="40"/>
              <w:ind w:left="0"/>
              <w:contextualSpacing/>
              <w:jc w:val="left"/>
              <w:rPr>
                <w:rFonts w:cs="Calibri"/>
                <w:color w:val="000000"/>
                <w:szCs w:val="18"/>
              </w:rPr>
            </w:pPr>
            <w:r>
              <w:rPr>
                <w:rFonts w:cs="Calibri"/>
                <w:color w:val="000000"/>
                <w:szCs w:val="18"/>
              </w:rPr>
              <w:t>4</w:t>
            </w:r>
          </w:p>
        </w:tc>
        <w:tc>
          <w:tcPr>
            <w:tcW w:w="2126" w:type="dxa"/>
            <w:noWrap/>
            <w:vAlign w:val="center"/>
            <w:hideMark/>
          </w:tcPr>
          <w:p w14:paraId="47FD8E19" w14:textId="023BB74A" w:rsidR="00342EED" w:rsidRPr="00A10269" w:rsidRDefault="00EB139C" w:rsidP="00231945">
            <w:pPr>
              <w:spacing w:before="40" w:after="40"/>
              <w:ind w:left="0"/>
              <w:contextualSpacing/>
              <w:jc w:val="left"/>
              <w:rPr>
                <w:rFonts w:cs="Calibri"/>
                <w:color w:val="000000"/>
                <w:szCs w:val="18"/>
              </w:rPr>
            </w:pPr>
            <w:r>
              <w:rPr>
                <w:rFonts w:cs="Calibri"/>
                <w:color w:val="000000"/>
                <w:szCs w:val="18"/>
              </w:rPr>
              <w:t>3</w:t>
            </w:r>
          </w:p>
        </w:tc>
        <w:tc>
          <w:tcPr>
            <w:tcW w:w="2693" w:type="dxa"/>
            <w:noWrap/>
            <w:vAlign w:val="center"/>
            <w:hideMark/>
          </w:tcPr>
          <w:p w14:paraId="65412A59" w14:textId="77777777" w:rsidR="00342EED" w:rsidRPr="00A10269" w:rsidRDefault="00342EED" w:rsidP="00231945">
            <w:pPr>
              <w:spacing w:before="40" w:after="40"/>
              <w:ind w:left="0"/>
              <w:contextualSpacing/>
              <w:jc w:val="left"/>
              <w:rPr>
                <w:rFonts w:cs="Calibri"/>
                <w:color w:val="000000"/>
                <w:szCs w:val="18"/>
              </w:rPr>
            </w:pPr>
            <w:r w:rsidRPr="00A10269">
              <w:rPr>
                <w:rFonts w:cs="Calibri"/>
                <w:color w:val="000000"/>
                <w:szCs w:val="18"/>
              </w:rPr>
              <w:t>-</w:t>
            </w:r>
          </w:p>
        </w:tc>
      </w:tr>
      <w:tr w:rsidR="00342EED" w:rsidRPr="00A10269" w14:paraId="21FA93DF" w14:textId="77777777" w:rsidTr="00EB139C">
        <w:trPr>
          <w:trHeight w:val="290"/>
        </w:trPr>
        <w:tc>
          <w:tcPr>
            <w:tcW w:w="960" w:type="dxa"/>
            <w:noWrap/>
            <w:vAlign w:val="center"/>
            <w:hideMark/>
          </w:tcPr>
          <w:p w14:paraId="4CF364D7" w14:textId="77777777" w:rsidR="00342EED" w:rsidRPr="00A10269" w:rsidRDefault="00342EED" w:rsidP="00231945">
            <w:pPr>
              <w:spacing w:before="40" w:after="40"/>
              <w:ind w:left="0"/>
              <w:contextualSpacing/>
              <w:jc w:val="left"/>
              <w:rPr>
                <w:rFonts w:cs="Calibri"/>
                <w:color w:val="000000"/>
                <w:szCs w:val="18"/>
              </w:rPr>
            </w:pPr>
            <w:r w:rsidRPr="00A10269">
              <w:rPr>
                <w:rFonts w:cs="Calibri"/>
                <w:color w:val="000000"/>
                <w:szCs w:val="18"/>
              </w:rPr>
              <w:t>2021</w:t>
            </w:r>
          </w:p>
        </w:tc>
        <w:tc>
          <w:tcPr>
            <w:tcW w:w="2017" w:type="dxa"/>
            <w:noWrap/>
            <w:vAlign w:val="center"/>
            <w:hideMark/>
          </w:tcPr>
          <w:p w14:paraId="307069D8" w14:textId="5C033D39" w:rsidR="00342EED" w:rsidRPr="00A10269" w:rsidRDefault="00EB139C" w:rsidP="00231945">
            <w:pPr>
              <w:spacing w:before="40" w:after="40"/>
              <w:ind w:left="0"/>
              <w:contextualSpacing/>
              <w:jc w:val="left"/>
              <w:rPr>
                <w:rFonts w:cs="Calibri"/>
                <w:color w:val="000000"/>
                <w:szCs w:val="18"/>
              </w:rPr>
            </w:pPr>
            <w:r>
              <w:rPr>
                <w:rFonts w:cs="Calibri"/>
                <w:color w:val="000000"/>
                <w:szCs w:val="18"/>
              </w:rPr>
              <w:t>3</w:t>
            </w:r>
          </w:p>
        </w:tc>
        <w:tc>
          <w:tcPr>
            <w:tcW w:w="2126" w:type="dxa"/>
            <w:noWrap/>
            <w:vAlign w:val="center"/>
            <w:hideMark/>
          </w:tcPr>
          <w:p w14:paraId="63993FDC" w14:textId="45ABF603" w:rsidR="00342EED" w:rsidRPr="00A10269" w:rsidRDefault="00EB139C" w:rsidP="00231945">
            <w:pPr>
              <w:spacing w:before="40" w:after="40"/>
              <w:ind w:left="0"/>
              <w:contextualSpacing/>
              <w:jc w:val="left"/>
              <w:rPr>
                <w:rFonts w:cs="Calibri"/>
                <w:color w:val="000000"/>
                <w:szCs w:val="18"/>
              </w:rPr>
            </w:pPr>
            <w:r>
              <w:rPr>
                <w:rFonts w:cs="Calibri"/>
                <w:color w:val="000000"/>
                <w:szCs w:val="18"/>
              </w:rPr>
              <w:t>1</w:t>
            </w:r>
          </w:p>
        </w:tc>
        <w:tc>
          <w:tcPr>
            <w:tcW w:w="2693" w:type="dxa"/>
            <w:noWrap/>
            <w:vAlign w:val="center"/>
            <w:hideMark/>
          </w:tcPr>
          <w:p w14:paraId="0933C433" w14:textId="77777777" w:rsidR="00342EED" w:rsidRPr="00A10269" w:rsidRDefault="00342EED" w:rsidP="00231945">
            <w:pPr>
              <w:spacing w:before="40" w:after="40"/>
              <w:ind w:left="0"/>
              <w:contextualSpacing/>
              <w:jc w:val="left"/>
              <w:rPr>
                <w:rFonts w:cs="Calibri"/>
                <w:color w:val="000000"/>
                <w:szCs w:val="18"/>
              </w:rPr>
            </w:pPr>
            <w:r w:rsidRPr="00A10269">
              <w:rPr>
                <w:rFonts w:cs="Calibri"/>
                <w:color w:val="000000"/>
                <w:szCs w:val="18"/>
              </w:rPr>
              <w:t>-</w:t>
            </w:r>
          </w:p>
        </w:tc>
      </w:tr>
      <w:tr w:rsidR="00342EED" w:rsidRPr="00A10269" w14:paraId="6CBFBF1B" w14:textId="77777777" w:rsidTr="00EB139C">
        <w:trPr>
          <w:trHeight w:val="290"/>
        </w:trPr>
        <w:tc>
          <w:tcPr>
            <w:tcW w:w="960" w:type="dxa"/>
            <w:noWrap/>
            <w:vAlign w:val="center"/>
            <w:hideMark/>
          </w:tcPr>
          <w:p w14:paraId="2507A675" w14:textId="77777777" w:rsidR="00342EED" w:rsidRPr="00A10269" w:rsidRDefault="00342EED" w:rsidP="00231945">
            <w:pPr>
              <w:spacing w:before="40" w:after="40"/>
              <w:ind w:left="0"/>
              <w:contextualSpacing/>
              <w:jc w:val="left"/>
              <w:rPr>
                <w:rFonts w:cs="Calibri"/>
                <w:color w:val="000000"/>
                <w:szCs w:val="18"/>
              </w:rPr>
            </w:pPr>
            <w:r w:rsidRPr="00A10269">
              <w:rPr>
                <w:rFonts w:cs="Calibri"/>
                <w:color w:val="000000"/>
                <w:szCs w:val="18"/>
              </w:rPr>
              <w:t>2022</w:t>
            </w:r>
          </w:p>
        </w:tc>
        <w:tc>
          <w:tcPr>
            <w:tcW w:w="2017" w:type="dxa"/>
            <w:noWrap/>
            <w:vAlign w:val="center"/>
            <w:hideMark/>
          </w:tcPr>
          <w:p w14:paraId="3189A52E" w14:textId="1B7F0EAC" w:rsidR="00342EED" w:rsidRPr="00A10269" w:rsidRDefault="00EB139C" w:rsidP="00231945">
            <w:pPr>
              <w:spacing w:before="40" w:after="40"/>
              <w:ind w:left="0"/>
              <w:contextualSpacing/>
              <w:jc w:val="left"/>
              <w:rPr>
                <w:rFonts w:cs="Calibri"/>
                <w:color w:val="000000"/>
                <w:szCs w:val="18"/>
              </w:rPr>
            </w:pPr>
            <w:r>
              <w:rPr>
                <w:rFonts w:cs="Calibri"/>
                <w:color w:val="000000"/>
                <w:szCs w:val="18"/>
              </w:rPr>
              <w:t>4</w:t>
            </w:r>
          </w:p>
        </w:tc>
        <w:tc>
          <w:tcPr>
            <w:tcW w:w="2126" w:type="dxa"/>
            <w:noWrap/>
            <w:vAlign w:val="center"/>
            <w:hideMark/>
          </w:tcPr>
          <w:p w14:paraId="0892A4EA" w14:textId="066D08B2" w:rsidR="00342EED" w:rsidRPr="00A10269" w:rsidRDefault="00EB139C" w:rsidP="00231945">
            <w:pPr>
              <w:spacing w:before="40" w:after="40"/>
              <w:ind w:left="0"/>
              <w:contextualSpacing/>
              <w:jc w:val="left"/>
              <w:rPr>
                <w:rFonts w:cs="Calibri"/>
                <w:color w:val="000000"/>
                <w:szCs w:val="18"/>
              </w:rPr>
            </w:pPr>
            <w:r>
              <w:rPr>
                <w:rFonts w:cs="Calibri"/>
                <w:color w:val="000000"/>
                <w:szCs w:val="18"/>
              </w:rPr>
              <w:t>1</w:t>
            </w:r>
          </w:p>
        </w:tc>
        <w:tc>
          <w:tcPr>
            <w:tcW w:w="2693" w:type="dxa"/>
            <w:noWrap/>
            <w:vAlign w:val="center"/>
            <w:hideMark/>
          </w:tcPr>
          <w:p w14:paraId="7CCD5841" w14:textId="77777777" w:rsidR="00342EED" w:rsidRPr="00A10269" w:rsidRDefault="00342EED" w:rsidP="00231945">
            <w:pPr>
              <w:spacing w:before="40" w:after="40"/>
              <w:ind w:left="0"/>
              <w:contextualSpacing/>
              <w:jc w:val="left"/>
              <w:rPr>
                <w:rFonts w:cs="Calibri"/>
                <w:color w:val="000000"/>
                <w:szCs w:val="18"/>
              </w:rPr>
            </w:pPr>
            <w:r w:rsidRPr="00A10269">
              <w:rPr>
                <w:rFonts w:cs="Calibri"/>
                <w:color w:val="000000"/>
                <w:szCs w:val="18"/>
              </w:rPr>
              <w:t>-</w:t>
            </w:r>
          </w:p>
        </w:tc>
      </w:tr>
      <w:tr w:rsidR="00342EED" w:rsidRPr="00A10269" w14:paraId="14E05377" w14:textId="77777777" w:rsidTr="00EB139C">
        <w:trPr>
          <w:trHeight w:val="290"/>
        </w:trPr>
        <w:tc>
          <w:tcPr>
            <w:tcW w:w="960" w:type="dxa"/>
            <w:noWrap/>
            <w:vAlign w:val="center"/>
            <w:hideMark/>
          </w:tcPr>
          <w:p w14:paraId="131354A4" w14:textId="77777777" w:rsidR="00342EED" w:rsidRPr="00A10269" w:rsidRDefault="00342EED" w:rsidP="00231945">
            <w:pPr>
              <w:spacing w:before="40" w:after="40"/>
              <w:ind w:left="0"/>
              <w:contextualSpacing/>
              <w:jc w:val="left"/>
              <w:rPr>
                <w:rFonts w:cs="Calibri"/>
                <w:color w:val="000000"/>
                <w:szCs w:val="18"/>
              </w:rPr>
            </w:pPr>
            <w:r w:rsidRPr="00A10269">
              <w:rPr>
                <w:rFonts w:cs="Calibri"/>
                <w:color w:val="000000"/>
                <w:szCs w:val="18"/>
              </w:rPr>
              <w:t>2023</w:t>
            </w:r>
          </w:p>
        </w:tc>
        <w:tc>
          <w:tcPr>
            <w:tcW w:w="2017" w:type="dxa"/>
            <w:noWrap/>
            <w:vAlign w:val="center"/>
            <w:hideMark/>
          </w:tcPr>
          <w:p w14:paraId="67A2C55B" w14:textId="52C762E3" w:rsidR="00342EED" w:rsidRPr="00A10269" w:rsidRDefault="00EB139C" w:rsidP="00231945">
            <w:pPr>
              <w:spacing w:before="40" w:after="40"/>
              <w:ind w:left="0"/>
              <w:contextualSpacing/>
              <w:jc w:val="left"/>
              <w:rPr>
                <w:rFonts w:cs="Calibri"/>
                <w:color w:val="000000"/>
                <w:szCs w:val="18"/>
              </w:rPr>
            </w:pPr>
            <w:r>
              <w:rPr>
                <w:rFonts w:cs="Calibri"/>
                <w:color w:val="000000"/>
                <w:szCs w:val="18"/>
              </w:rPr>
              <w:t>4</w:t>
            </w:r>
          </w:p>
        </w:tc>
        <w:tc>
          <w:tcPr>
            <w:tcW w:w="2126" w:type="dxa"/>
            <w:noWrap/>
            <w:vAlign w:val="center"/>
            <w:hideMark/>
          </w:tcPr>
          <w:p w14:paraId="6A7A3396" w14:textId="426BBDD1" w:rsidR="00342EED" w:rsidRPr="00A10269" w:rsidRDefault="00EB139C" w:rsidP="00231945">
            <w:pPr>
              <w:spacing w:before="40" w:after="40"/>
              <w:ind w:left="0"/>
              <w:contextualSpacing/>
              <w:jc w:val="left"/>
              <w:rPr>
                <w:rFonts w:cs="Calibri"/>
                <w:color w:val="000000"/>
                <w:szCs w:val="18"/>
              </w:rPr>
            </w:pPr>
            <w:r>
              <w:rPr>
                <w:rFonts w:cs="Calibri"/>
                <w:color w:val="000000"/>
                <w:szCs w:val="18"/>
              </w:rPr>
              <w:t>4</w:t>
            </w:r>
          </w:p>
        </w:tc>
        <w:tc>
          <w:tcPr>
            <w:tcW w:w="2693" w:type="dxa"/>
            <w:noWrap/>
            <w:vAlign w:val="center"/>
            <w:hideMark/>
          </w:tcPr>
          <w:p w14:paraId="6D19E12C" w14:textId="77777777" w:rsidR="00342EED" w:rsidRPr="00A10269" w:rsidRDefault="00342EED" w:rsidP="00231945">
            <w:pPr>
              <w:spacing w:before="40" w:after="40"/>
              <w:ind w:left="0"/>
              <w:contextualSpacing/>
              <w:jc w:val="left"/>
              <w:rPr>
                <w:rFonts w:cs="Calibri"/>
                <w:color w:val="000000"/>
                <w:szCs w:val="18"/>
              </w:rPr>
            </w:pPr>
            <w:r w:rsidRPr="00A10269">
              <w:rPr>
                <w:rFonts w:cs="Calibri"/>
                <w:color w:val="000000"/>
                <w:szCs w:val="18"/>
              </w:rPr>
              <w:t>-</w:t>
            </w:r>
          </w:p>
        </w:tc>
      </w:tr>
      <w:tr w:rsidR="00342EED" w:rsidRPr="00A10269" w14:paraId="6199C33F" w14:textId="77777777" w:rsidTr="00EB139C">
        <w:trPr>
          <w:trHeight w:val="290"/>
        </w:trPr>
        <w:tc>
          <w:tcPr>
            <w:tcW w:w="960" w:type="dxa"/>
            <w:noWrap/>
            <w:vAlign w:val="center"/>
            <w:hideMark/>
          </w:tcPr>
          <w:p w14:paraId="7CEEC715" w14:textId="77777777" w:rsidR="00342EED" w:rsidRPr="00A10269" w:rsidRDefault="00342EED" w:rsidP="00231945">
            <w:pPr>
              <w:spacing w:before="40" w:after="40"/>
              <w:ind w:left="0"/>
              <w:contextualSpacing/>
              <w:jc w:val="left"/>
              <w:rPr>
                <w:rFonts w:cs="Calibri"/>
                <w:color w:val="000000"/>
                <w:szCs w:val="18"/>
              </w:rPr>
            </w:pPr>
            <w:r w:rsidRPr="00A10269">
              <w:rPr>
                <w:rFonts w:cs="Calibri"/>
                <w:color w:val="000000"/>
                <w:szCs w:val="18"/>
              </w:rPr>
              <w:t>2024</w:t>
            </w:r>
          </w:p>
        </w:tc>
        <w:tc>
          <w:tcPr>
            <w:tcW w:w="2017" w:type="dxa"/>
            <w:noWrap/>
            <w:vAlign w:val="center"/>
            <w:hideMark/>
          </w:tcPr>
          <w:p w14:paraId="6F585C13" w14:textId="3A3FD154" w:rsidR="00342EED" w:rsidRPr="00A10269" w:rsidRDefault="00EB139C" w:rsidP="00231945">
            <w:pPr>
              <w:spacing w:before="40" w:after="40"/>
              <w:ind w:left="0"/>
              <w:contextualSpacing/>
              <w:jc w:val="left"/>
              <w:rPr>
                <w:rFonts w:cs="Calibri"/>
                <w:color w:val="000000"/>
                <w:szCs w:val="18"/>
              </w:rPr>
            </w:pPr>
            <w:r>
              <w:rPr>
                <w:rFonts w:cs="Calibri"/>
                <w:color w:val="000000"/>
                <w:szCs w:val="18"/>
              </w:rPr>
              <w:t>3</w:t>
            </w:r>
          </w:p>
        </w:tc>
        <w:tc>
          <w:tcPr>
            <w:tcW w:w="2126" w:type="dxa"/>
            <w:noWrap/>
            <w:vAlign w:val="center"/>
            <w:hideMark/>
          </w:tcPr>
          <w:p w14:paraId="2BD13107" w14:textId="2939B496" w:rsidR="00342EED" w:rsidRPr="00A10269" w:rsidRDefault="00EB139C" w:rsidP="00231945">
            <w:pPr>
              <w:spacing w:before="40" w:after="40"/>
              <w:ind w:left="0"/>
              <w:contextualSpacing/>
              <w:jc w:val="left"/>
              <w:rPr>
                <w:rFonts w:cs="Calibri"/>
                <w:color w:val="000000"/>
                <w:szCs w:val="18"/>
              </w:rPr>
            </w:pPr>
            <w:r>
              <w:rPr>
                <w:rFonts w:cs="Calibri"/>
                <w:color w:val="000000"/>
                <w:szCs w:val="18"/>
              </w:rPr>
              <w:t>2</w:t>
            </w:r>
          </w:p>
        </w:tc>
        <w:tc>
          <w:tcPr>
            <w:tcW w:w="2693" w:type="dxa"/>
            <w:noWrap/>
            <w:vAlign w:val="center"/>
            <w:hideMark/>
          </w:tcPr>
          <w:p w14:paraId="13529138" w14:textId="25D19B56" w:rsidR="00342EED" w:rsidRPr="00A10269" w:rsidRDefault="00EB139C" w:rsidP="00231945">
            <w:pPr>
              <w:spacing w:before="40" w:after="40"/>
              <w:ind w:left="0"/>
              <w:contextualSpacing/>
              <w:jc w:val="left"/>
              <w:rPr>
                <w:rFonts w:cs="Calibri"/>
                <w:color w:val="000000"/>
                <w:szCs w:val="18"/>
              </w:rPr>
            </w:pPr>
            <w:r>
              <w:rPr>
                <w:rFonts w:cs="Calibri"/>
                <w:color w:val="000000"/>
                <w:szCs w:val="18"/>
              </w:rPr>
              <w:t>-</w:t>
            </w:r>
          </w:p>
        </w:tc>
      </w:tr>
    </w:tbl>
    <w:p w14:paraId="62E420AD" w14:textId="77777777" w:rsidR="00342EED" w:rsidRDefault="00342EED" w:rsidP="00EB139C">
      <w:pPr>
        <w:pStyle w:val="Citt"/>
        <w:jc w:val="left"/>
      </w:pPr>
      <w:r w:rsidRPr="006C66C2">
        <w:t>(zdroj: ČSÚ)</w:t>
      </w:r>
    </w:p>
    <w:p w14:paraId="64C6700D" w14:textId="1163E2BA" w:rsidR="00342EED" w:rsidRDefault="00342EED" w:rsidP="00342EED">
      <w:r w:rsidRPr="009E6CF2">
        <w:t xml:space="preserve">Data Českého statistického úřadu prozrazují, že nejintenzivnější rozvoj bytové zástavby na řešeném území proběhl mezi lety </w:t>
      </w:r>
      <w:r w:rsidR="00AC57C1">
        <w:t>1946–1970</w:t>
      </w:r>
      <w:r w:rsidRPr="009E6CF2">
        <w:t xml:space="preserve">, přibylo celkem </w:t>
      </w:r>
      <w:r w:rsidR="00AC57C1">
        <w:t>149</w:t>
      </w:r>
      <w:r w:rsidRPr="009E6CF2">
        <w:t xml:space="preserve"> domů</w:t>
      </w:r>
      <w:r w:rsidR="00AC57C1">
        <w:t>, z toho 105 rodinných domů a 44 bytových domů. Obdobný rozvoj byl zaznamenán v letech 1971–1980. Od roku 1980 dochází k významnému poklesu rozvoje obce a stagnaci rozvoje na řádově nižších ročních přírůstcích.</w:t>
      </w:r>
    </w:p>
    <w:p w14:paraId="2BC58F72" w14:textId="69E5B599" w:rsidR="00342EED" w:rsidRPr="009E6CF2" w:rsidRDefault="00342EED" w:rsidP="00342EED">
      <w:r>
        <w:t>Mezi lety 2</w:t>
      </w:r>
      <w:r w:rsidR="00AC57C1">
        <w:t>020</w:t>
      </w:r>
      <w:r>
        <w:t xml:space="preserve"> a 2024 bylo dokončeno </w:t>
      </w:r>
      <w:r w:rsidR="00AC57C1">
        <w:t>18</w:t>
      </w:r>
      <w:r>
        <w:t xml:space="preserve"> bytů v rodinných domech, tedy průměrně cca </w:t>
      </w:r>
      <w:r w:rsidR="00AC57C1">
        <w:rPr>
          <w:b/>
          <w:bCs/>
        </w:rPr>
        <w:t>3-4</w:t>
      </w:r>
      <w:r w:rsidRPr="00D22FAB">
        <w:rPr>
          <w:b/>
          <w:bCs/>
        </w:rPr>
        <w:t xml:space="preserve"> byt</w:t>
      </w:r>
      <w:r w:rsidR="00AC57C1">
        <w:rPr>
          <w:b/>
          <w:bCs/>
        </w:rPr>
        <w:t>y</w:t>
      </w:r>
      <w:r w:rsidRPr="00D22FAB">
        <w:rPr>
          <w:b/>
          <w:bCs/>
        </w:rPr>
        <w:t xml:space="preserve"> v rodinných domech ročně</w:t>
      </w:r>
      <w:r>
        <w:t>.</w:t>
      </w:r>
    </w:p>
    <w:p w14:paraId="551CD165" w14:textId="6CF640CA" w:rsidR="00342EED" w:rsidRPr="009E6CF2" w:rsidRDefault="00342EED" w:rsidP="00342EED">
      <w:r w:rsidRPr="009E6CF2">
        <w:t>Z dat ČSU SLDB 20</w:t>
      </w:r>
      <w:r w:rsidR="00AC57C1">
        <w:t>2</w:t>
      </w:r>
      <w:r w:rsidRPr="009E6CF2">
        <w:t xml:space="preserve">1 celkového počtu budov </w:t>
      </w:r>
      <w:r w:rsidR="00AC57C1">
        <w:t>691</w:t>
      </w:r>
      <w:r w:rsidRPr="009E6CF2">
        <w:t xml:space="preserve"> je jich </w:t>
      </w:r>
      <w:r w:rsidR="00AC57C1">
        <w:t>622</w:t>
      </w:r>
      <w:r w:rsidRPr="009E6CF2">
        <w:t xml:space="preserve"> (</w:t>
      </w:r>
      <w:r w:rsidR="00AC57C1">
        <w:t>90</w:t>
      </w:r>
      <w:r>
        <w:t xml:space="preserve"> </w:t>
      </w:r>
      <w:r w:rsidRPr="009E6CF2">
        <w:t>%) využito pro bydlení (všechny formy). N</w:t>
      </w:r>
      <w:r>
        <w:t>ejvíce</w:t>
      </w:r>
      <w:r w:rsidRPr="009E6CF2">
        <w:t xml:space="preserve"> zastoupenou formou bydlení jsou rodinné domy (</w:t>
      </w:r>
      <w:r w:rsidR="00AC57C1">
        <w:t xml:space="preserve">80 </w:t>
      </w:r>
      <w:r w:rsidRPr="009E6CF2">
        <w:t xml:space="preserve">% ze všech budov využitých pro bydlení) se zbytkem </w:t>
      </w:r>
      <w:r w:rsidR="00AC57C1">
        <w:t>20</w:t>
      </w:r>
      <w:r>
        <w:t xml:space="preserve"> </w:t>
      </w:r>
      <w:r w:rsidRPr="009E6CF2">
        <w:t>% náležících domům bytovým</w:t>
      </w:r>
      <w:r w:rsidR="00BF5239">
        <w:t xml:space="preserve"> a jiným formám bydlení</w:t>
      </w:r>
      <w:r w:rsidRPr="009E6CF2">
        <w:t xml:space="preserve">. </w:t>
      </w:r>
    </w:p>
    <w:p w14:paraId="6933E2BD" w14:textId="77777777" w:rsidR="00342EED" w:rsidRPr="00D22FAB" w:rsidRDefault="00342EED" w:rsidP="00342EED">
      <w:pPr>
        <w:rPr>
          <w:u w:val="single"/>
        </w:rPr>
      </w:pPr>
      <w:r w:rsidRPr="00D22FAB">
        <w:rPr>
          <w:u w:val="single"/>
        </w:rPr>
        <w:t>Potřebu bytů pro zajištění stagnace, případně mírně pozitivní vývoj počtu obyvatel, bude ovlivňovat zejména:</w:t>
      </w:r>
    </w:p>
    <w:p w14:paraId="068E593C" w14:textId="77777777" w:rsidR="00342EED" w:rsidRPr="00040C21" w:rsidRDefault="00342EED">
      <w:pPr>
        <w:pStyle w:val="Odstavecseseznamem"/>
        <w:numPr>
          <w:ilvl w:val="0"/>
          <w:numId w:val="18"/>
        </w:numPr>
        <w:ind w:left="1134"/>
        <w:jc w:val="left"/>
      </w:pPr>
      <w:r w:rsidRPr="00040C21">
        <w:t>odpad bytového fondu vlivem např. slučování bytů (ve dvoubytových rodinných domech), nebo převod na druhé bydlení, předpokládá se mezi 0,2 – 0,3 % bytů</w:t>
      </w:r>
      <w:r>
        <w:t>,</w:t>
      </w:r>
    </w:p>
    <w:p w14:paraId="1E020DD8" w14:textId="77777777" w:rsidR="00342EED" w:rsidRDefault="00342EED">
      <w:pPr>
        <w:pStyle w:val="Odstavecseseznamem"/>
        <w:numPr>
          <w:ilvl w:val="0"/>
          <w:numId w:val="18"/>
        </w:numPr>
        <w:ind w:left="1134"/>
        <w:jc w:val="left"/>
      </w:pPr>
      <w:r w:rsidRPr="00040C21">
        <w:t>zmenšování průměrné velikosti domácnosti, resp. nárůst podílu m</w:t>
      </w:r>
      <w:r w:rsidRPr="00D22FAB">
        <w:rPr>
          <w:vertAlign w:val="superscript"/>
        </w:rPr>
        <w:t>2</w:t>
      </w:r>
      <w:r w:rsidRPr="00040C21">
        <w:t xml:space="preserve"> bytu</w:t>
      </w:r>
      <w:r>
        <w:t> </w:t>
      </w:r>
      <w:r w:rsidRPr="00040C21">
        <w:t>/ obyvatele, tedy snižování zalidněnosti bytového fondu</w:t>
      </w:r>
      <w:r>
        <w:t>,</w:t>
      </w:r>
    </w:p>
    <w:p w14:paraId="4FD9D00A" w14:textId="77777777" w:rsidR="00342EED" w:rsidRPr="00040C21" w:rsidRDefault="00342EED">
      <w:pPr>
        <w:pStyle w:val="Odstavecseseznamem"/>
        <w:numPr>
          <w:ilvl w:val="0"/>
          <w:numId w:val="18"/>
        </w:numPr>
        <w:ind w:left="1134"/>
        <w:jc w:val="left"/>
      </w:pPr>
      <w:r>
        <w:t>předpokládaný demografický vývoj populace</w:t>
      </w:r>
    </w:p>
    <w:p w14:paraId="720EEECA" w14:textId="43EE269C" w:rsidR="00342EED" w:rsidRPr="00040C21" w:rsidRDefault="00342EED" w:rsidP="00342EED">
      <w:r w:rsidRPr="00040C21">
        <w:t>Průměrná obytná plocha na osobu se neustále zvyšuje, mezi lety 1961 a 2021 se zvýšila o cca 10,6 m</w:t>
      </w:r>
      <w:r w:rsidRPr="0066364E">
        <w:rPr>
          <w:vertAlign w:val="superscript"/>
        </w:rPr>
        <w:t>2</w:t>
      </w:r>
      <w:r w:rsidRPr="00040C21">
        <w:t>/osobu. V roce 20</w:t>
      </w:r>
      <w:r>
        <w:t>3</w:t>
      </w:r>
      <w:r w:rsidRPr="00040C21">
        <w:t>8 se s ohledem na dosavadní vývoj může obytná plocha na osobu zvýšit až o cca 1-2 m</w:t>
      </w:r>
      <w:r w:rsidRPr="0066364E">
        <w:rPr>
          <w:vertAlign w:val="superscript"/>
        </w:rPr>
        <w:t>2</w:t>
      </w:r>
      <w:r w:rsidRPr="00040C21">
        <w:t>/ osobu, tedy o cca 8–18</w:t>
      </w:r>
      <w:r>
        <w:t xml:space="preserve"> </w:t>
      </w:r>
      <w:r w:rsidRPr="00040C21">
        <w:t>%. Zalidněnost bytů se může recipročně snížit na cca 2,18 obyvatel/byt (zdroj: vlastní výpočty).</w:t>
      </w:r>
    </w:p>
    <w:p w14:paraId="106494A6" w14:textId="5F2E3197" w:rsidR="00342EED" w:rsidRPr="00342EED" w:rsidRDefault="00342EED" w:rsidP="00342EED">
      <w:r w:rsidRPr="003B6D09">
        <w:rPr>
          <w:b/>
          <w:bCs/>
        </w:rPr>
        <w:t>Při zohlednění zvyšování průměrné obytné plochy na osobu bude v roce 20</w:t>
      </w:r>
      <w:r w:rsidR="0066364E">
        <w:rPr>
          <w:b/>
          <w:bCs/>
        </w:rPr>
        <w:t>42</w:t>
      </w:r>
      <w:r w:rsidRPr="003B6D09">
        <w:rPr>
          <w:b/>
          <w:bCs/>
        </w:rPr>
        <w:t xml:space="preserve"> pro zajištění mírně pozitivního vývoje počtu obyvatel potřeba cca 150</w:t>
      </w:r>
      <w:r>
        <w:rPr>
          <w:b/>
          <w:bCs/>
        </w:rPr>
        <w:t> </w:t>
      </w:r>
      <w:r w:rsidRPr="003B6D09">
        <w:rPr>
          <w:b/>
          <w:bCs/>
        </w:rPr>
        <w:t>až 250 nových bytů a cca 1</w:t>
      </w:r>
      <w:r w:rsidR="0066364E">
        <w:rPr>
          <w:b/>
          <w:bCs/>
        </w:rPr>
        <w:t>0 až 12</w:t>
      </w:r>
      <w:r w:rsidRPr="003B6D09">
        <w:rPr>
          <w:b/>
          <w:bCs/>
        </w:rPr>
        <w:t xml:space="preserve"> ha ploch pro bydlení.</w:t>
      </w:r>
    </w:p>
    <w:p w14:paraId="1552C068" w14:textId="7F70C18C" w:rsidR="00816728" w:rsidRDefault="00816728" w:rsidP="00816728">
      <w:pPr>
        <w:pStyle w:val="Nadpis3"/>
      </w:pPr>
      <w:bookmarkStart w:id="159" w:name="_Toc232612665"/>
      <w:r>
        <w:t>Hospodářské podmínky</w:t>
      </w:r>
      <w:bookmarkEnd w:id="159"/>
    </w:p>
    <w:p w14:paraId="6EA24997" w14:textId="59EE0F4F" w:rsidR="00F20095" w:rsidRPr="008708F5" w:rsidRDefault="00F20095" w:rsidP="00F20095">
      <w:pPr>
        <w:rPr>
          <w:strike/>
        </w:rPr>
      </w:pPr>
      <w:r w:rsidRPr="008708F5">
        <w:t xml:space="preserve">Ve </w:t>
      </w:r>
      <w:r w:rsidR="0003247F">
        <w:t>Hlubočkách</w:t>
      </w:r>
      <w:r w:rsidRPr="008708F5">
        <w:t xml:space="preserve"> bylo v době posledního sčítání (SLDB 20</w:t>
      </w:r>
      <w:r w:rsidR="00ED7388">
        <w:t>2</w:t>
      </w:r>
      <w:r w:rsidRPr="008708F5">
        <w:t>1) 2 04</w:t>
      </w:r>
      <w:r w:rsidR="00ED7388">
        <w:t>4</w:t>
      </w:r>
      <w:r w:rsidRPr="008708F5">
        <w:t xml:space="preserve"> ekonomicky aktivních obyvatel, z toho </w:t>
      </w:r>
      <w:r w:rsidR="00ED7388">
        <w:t>92</w:t>
      </w:r>
      <w:r w:rsidRPr="008708F5">
        <w:t xml:space="preserve"> nezaměstnaných. Podíl nezaměstnaných (pro rok 20</w:t>
      </w:r>
      <w:r w:rsidR="00ED7388">
        <w:t>2</w:t>
      </w:r>
      <w:r w:rsidRPr="008708F5">
        <w:t xml:space="preserve">1) je pod republikovým průměrem, cca 4 %. </w:t>
      </w:r>
    </w:p>
    <w:p w14:paraId="62EE1FFD" w14:textId="36F1B9D5" w:rsidR="00F20095" w:rsidRPr="006C66C2" w:rsidRDefault="00F20095" w:rsidP="00F20095">
      <w:pPr>
        <w:rPr>
          <w:highlight w:val="green"/>
        </w:rPr>
      </w:pPr>
      <w:r w:rsidRPr="008708F5">
        <w:t>Porovnání ekonomické aktivity s celorepublikovými údaji (zdroj: ČSÚ, SLDB 20</w:t>
      </w:r>
      <w:r w:rsidR="00E84814">
        <w:t>2</w:t>
      </w:r>
      <w:r w:rsidRPr="008708F5">
        <w:t>1</w:t>
      </w:r>
      <w:r w:rsidRPr="006C66C2">
        <w:t xml:space="preserve">) </w:t>
      </w:r>
    </w:p>
    <w:tbl>
      <w:tblPr>
        <w:tblStyle w:val="Mkatabulky1"/>
        <w:tblW w:w="7748" w:type="dxa"/>
        <w:tblInd w:w="709" w:type="dxa"/>
        <w:tblBorders>
          <w:top w:val="dashSmallGap" w:sz="4" w:space="0" w:color="000000"/>
          <w:left w:val="none" w:sz="0" w:space="0" w:color="auto"/>
          <w:bottom w:val="dashSmallGap" w:sz="4" w:space="0" w:color="000000"/>
          <w:right w:val="none" w:sz="0" w:space="0" w:color="auto"/>
          <w:insideH w:val="dashSmallGap" w:sz="4" w:space="0" w:color="000000"/>
          <w:insideV w:val="none" w:sz="0" w:space="0" w:color="auto"/>
        </w:tblBorders>
        <w:tblLayout w:type="fixed"/>
        <w:tblLook w:val="04A0" w:firstRow="1" w:lastRow="0" w:firstColumn="1" w:lastColumn="0" w:noHBand="0" w:noVBand="1"/>
      </w:tblPr>
      <w:tblGrid>
        <w:gridCol w:w="992"/>
        <w:gridCol w:w="734"/>
        <w:gridCol w:w="1700"/>
        <w:gridCol w:w="1394"/>
        <w:gridCol w:w="1393"/>
        <w:gridCol w:w="1535"/>
      </w:tblGrid>
      <w:tr w:rsidR="00F20095" w:rsidRPr="006C66C2" w14:paraId="02DF0016" w14:textId="77777777" w:rsidTr="000261DB">
        <w:tc>
          <w:tcPr>
            <w:tcW w:w="992" w:type="dxa"/>
          </w:tcPr>
          <w:p w14:paraId="644E09BF" w14:textId="77777777" w:rsidR="00F20095" w:rsidRPr="00832BD8" w:rsidRDefault="00F20095" w:rsidP="00881DF7">
            <w:pPr>
              <w:ind w:left="0"/>
              <w:contextualSpacing/>
              <w:jc w:val="left"/>
              <w:rPr>
                <w:b/>
                <w:szCs w:val="18"/>
              </w:rPr>
            </w:pPr>
          </w:p>
        </w:tc>
        <w:tc>
          <w:tcPr>
            <w:tcW w:w="734" w:type="dxa"/>
          </w:tcPr>
          <w:p w14:paraId="20D8C040" w14:textId="77777777" w:rsidR="00F20095" w:rsidRPr="00832BD8" w:rsidRDefault="00F20095" w:rsidP="00881DF7">
            <w:pPr>
              <w:ind w:left="0"/>
              <w:contextualSpacing/>
              <w:jc w:val="left"/>
              <w:rPr>
                <w:b/>
                <w:szCs w:val="18"/>
              </w:rPr>
            </w:pPr>
          </w:p>
        </w:tc>
        <w:tc>
          <w:tcPr>
            <w:tcW w:w="1700" w:type="dxa"/>
          </w:tcPr>
          <w:p w14:paraId="36542540" w14:textId="77777777" w:rsidR="00F20095" w:rsidRPr="00832BD8" w:rsidRDefault="00F20095" w:rsidP="00881DF7">
            <w:pPr>
              <w:ind w:left="0"/>
              <w:contextualSpacing/>
              <w:jc w:val="left"/>
              <w:rPr>
                <w:b/>
                <w:szCs w:val="18"/>
              </w:rPr>
            </w:pPr>
            <w:r w:rsidRPr="00832BD8">
              <w:rPr>
                <w:rFonts w:cs="Calibri"/>
                <w:b/>
                <w:color w:val="000000"/>
                <w:szCs w:val="18"/>
              </w:rPr>
              <w:t>Obyvatelstvo ve</w:t>
            </w:r>
            <w:r w:rsidRPr="00832BD8">
              <w:rPr>
                <w:rFonts w:cs="Calibri"/>
                <w:b/>
                <w:color w:val="000000"/>
                <w:szCs w:val="18"/>
              </w:rPr>
              <w:br/>
              <w:t>věku 16-64 let</w:t>
            </w:r>
          </w:p>
        </w:tc>
        <w:tc>
          <w:tcPr>
            <w:tcW w:w="1394" w:type="dxa"/>
          </w:tcPr>
          <w:p w14:paraId="5525E576" w14:textId="77777777" w:rsidR="00F20095" w:rsidRPr="00832BD8" w:rsidRDefault="00F20095" w:rsidP="00881DF7">
            <w:pPr>
              <w:ind w:left="0"/>
              <w:contextualSpacing/>
              <w:jc w:val="left"/>
              <w:rPr>
                <w:b/>
                <w:szCs w:val="18"/>
              </w:rPr>
            </w:pPr>
            <w:r w:rsidRPr="00832BD8">
              <w:rPr>
                <w:rFonts w:cs="Calibri"/>
                <w:b/>
                <w:color w:val="000000"/>
                <w:szCs w:val="18"/>
              </w:rPr>
              <w:t>Ekonomicky</w:t>
            </w:r>
            <w:r w:rsidRPr="00832BD8">
              <w:rPr>
                <w:rFonts w:cs="Calibri"/>
                <w:b/>
                <w:color w:val="000000"/>
                <w:szCs w:val="18"/>
              </w:rPr>
              <w:br/>
              <w:t>aktivní</w:t>
            </w:r>
            <w:r w:rsidRPr="00832BD8">
              <w:rPr>
                <w:rFonts w:cs="Calibri"/>
                <w:b/>
                <w:color w:val="000000"/>
                <w:szCs w:val="18"/>
              </w:rPr>
              <w:br/>
              <w:t>celkem</w:t>
            </w:r>
          </w:p>
        </w:tc>
        <w:tc>
          <w:tcPr>
            <w:tcW w:w="1393" w:type="dxa"/>
          </w:tcPr>
          <w:p w14:paraId="29E0B836" w14:textId="77777777" w:rsidR="00F20095" w:rsidRPr="00832BD8" w:rsidRDefault="00F20095" w:rsidP="00881DF7">
            <w:pPr>
              <w:ind w:left="0"/>
              <w:contextualSpacing/>
              <w:jc w:val="left"/>
              <w:rPr>
                <w:b/>
                <w:szCs w:val="18"/>
              </w:rPr>
            </w:pPr>
            <w:r w:rsidRPr="00832BD8">
              <w:rPr>
                <w:rFonts w:cs="Calibri"/>
                <w:b/>
                <w:color w:val="000000"/>
                <w:szCs w:val="18"/>
              </w:rPr>
              <w:t>Ekonomicky</w:t>
            </w:r>
            <w:r w:rsidRPr="00832BD8">
              <w:rPr>
                <w:rFonts w:cs="Calibri"/>
                <w:b/>
                <w:color w:val="000000"/>
                <w:szCs w:val="18"/>
              </w:rPr>
              <w:br/>
              <w:t>aktivní</w:t>
            </w:r>
            <w:r w:rsidRPr="00832BD8">
              <w:rPr>
                <w:rFonts w:cs="Calibri"/>
                <w:b/>
                <w:color w:val="000000"/>
                <w:szCs w:val="18"/>
              </w:rPr>
              <w:br/>
              <w:t>zaměstnaní</w:t>
            </w:r>
          </w:p>
        </w:tc>
        <w:tc>
          <w:tcPr>
            <w:tcW w:w="1535" w:type="dxa"/>
          </w:tcPr>
          <w:p w14:paraId="19EBB72D" w14:textId="7B0B609B" w:rsidR="00F20095" w:rsidRPr="00832BD8" w:rsidRDefault="00F20095" w:rsidP="006E644F">
            <w:pPr>
              <w:ind w:left="0"/>
              <w:contextualSpacing/>
              <w:jc w:val="left"/>
              <w:rPr>
                <w:b/>
                <w:szCs w:val="18"/>
              </w:rPr>
            </w:pPr>
            <w:r w:rsidRPr="00832BD8">
              <w:rPr>
                <w:rFonts w:cs="Calibri"/>
                <w:b/>
                <w:color w:val="000000"/>
                <w:szCs w:val="18"/>
              </w:rPr>
              <w:t>Nezaměstnanost</w:t>
            </w:r>
          </w:p>
        </w:tc>
      </w:tr>
      <w:tr w:rsidR="00F20095" w:rsidRPr="006C66C2" w14:paraId="51B40120" w14:textId="77777777" w:rsidTr="000261DB">
        <w:tc>
          <w:tcPr>
            <w:tcW w:w="992" w:type="dxa"/>
          </w:tcPr>
          <w:p w14:paraId="4012EB16" w14:textId="307DC335" w:rsidR="00F20095" w:rsidRPr="00832BD8" w:rsidRDefault="000261DB" w:rsidP="00881DF7">
            <w:pPr>
              <w:ind w:left="0"/>
              <w:contextualSpacing/>
              <w:jc w:val="left"/>
              <w:rPr>
                <w:szCs w:val="18"/>
              </w:rPr>
            </w:pPr>
            <w:r>
              <w:rPr>
                <w:szCs w:val="18"/>
              </w:rPr>
              <w:t>Hlubočky</w:t>
            </w:r>
          </w:p>
        </w:tc>
        <w:tc>
          <w:tcPr>
            <w:tcW w:w="734" w:type="dxa"/>
          </w:tcPr>
          <w:p w14:paraId="30D19372" w14:textId="77777777" w:rsidR="00F20095" w:rsidRPr="00832BD8" w:rsidRDefault="00F20095" w:rsidP="00881DF7">
            <w:pPr>
              <w:ind w:left="0"/>
              <w:contextualSpacing/>
              <w:jc w:val="left"/>
              <w:rPr>
                <w:szCs w:val="18"/>
              </w:rPr>
            </w:pPr>
            <w:r w:rsidRPr="00832BD8">
              <w:rPr>
                <w:rFonts w:cs="Calibri"/>
                <w:color w:val="000000"/>
                <w:szCs w:val="18"/>
              </w:rPr>
              <w:t>Počet</w:t>
            </w:r>
          </w:p>
        </w:tc>
        <w:tc>
          <w:tcPr>
            <w:tcW w:w="1700" w:type="dxa"/>
          </w:tcPr>
          <w:p w14:paraId="73124ED5" w14:textId="5510B9C4" w:rsidR="00F20095" w:rsidRPr="00832BD8" w:rsidRDefault="000261DB" w:rsidP="00881DF7">
            <w:pPr>
              <w:ind w:left="0"/>
              <w:contextualSpacing/>
              <w:jc w:val="left"/>
              <w:rPr>
                <w:szCs w:val="18"/>
              </w:rPr>
            </w:pPr>
            <w:r>
              <w:rPr>
                <w:szCs w:val="18"/>
              </w:rPr>
              <w:t>2 510</w:t>
            </w:r>
          </w:p>
        </w:tc>
        <w:tc>
          <w:tcPr>
            <w:tcW w:w="1394" w:type="dxa"/>
          </w:tcPr>
          <w:p w14:paraId="20673A17" w14:textId="0B7FDF8D" w:rsidR="00F20095" w:rsidRPr="00832BD8" w:rsidRDefault="000261DB" w:rsidP="00881DF7">
            <w:pPr>
              <w:ind w:left="0"/>
              <w:contextualSpacing/>
              <w:jc w:val="left"/>
              <w:rPr>
                <w:szCs w:val="18"/>
              </w:rPr>
            </w:pPr>
            <w:r>
              <w:rPr>
                <w:szCs w:val="18"/>
              </w:rPr>
              <w:t>2 044</w:t>
            </w:r>
          </w:p>
        </w:tc>
        <w:tc>
          <w:tcPr>
            <w:tcW w:w="1393" w:type="dxa"/>
          </w:tcPr>
          <w:p w14:paraId="332C4FCF" w14:textId="347BB363" w:rsidR="00F20095" w:rsidRPr="00832BD8" w:rsidRDefault="000261DB" w:rsidP="00881DF7">
            <w:pPr>
              <w:ind w:left="0"/>
              <w:contextualSpacing/>
              <w:jc w:val="left"/>
              <w:rPr>
                <w:szCs w:val="18"/>
              </w:rPr>
            </w:pPr>
            <w:r>
              <w:rPr>
                <w:szCs w:val="18"/>
              </w:rPr>
              <w:t>1 952</w:t>
            </w:r>
          </w:p>
        </w:tc>
        <w:tc>
          <w:tcPr>
            <w:tcW w:w="1535" w:type="dxa"/>
          </w:tcPr>
          <w:p w14:paraId="45FE8EAB" w14:textId="718963A8" w:rsidR="00F20095" w:rsidRPr="00832BD8" w:rsidRDefault="000261DB" w:rsidP="00881DF7">
            <w:pPr>
              <w:ind w:left="0"/>
              <w:contextualSpacing/>
              <w:jc w:val="left"/>
              <w:rPr>
                <w:szCs w:val="18"/>
              </w:rPr>
            </w:pPr>
            <w:r>
              <w:rPr>
                <w:szCs w:val="18"/>
              </w:rPr>
              <w:t>92</w:t>
            </w:r>
          </w:p>
        </w:tc>
      </w:tr>
      <w:tr w:rsidR="00F20095" w:rsidRPr="006C66C2" w14:paraId="6A1E96D5" w14:textId="77777777" w:rsidTr="000261DB">
        <w:tc>
          <w:tcPr>
            <w:tcW w:w="992" w:type="dxa"/>
          </w:tcPr>
          <w:p w14:paraId="019BFBA6" w14:textId="77777777" w:rsidR="00F20095" w:rsidRPr="00832BD8" w:rsidRDefault="00F20095" w:rsidP="00881DF7">
            <w:pPr>
              <w:ind w:left="0"/>
              <w:contextualSpacing/>
              <w:jc w:val="left"/>
              <w:rPr>
                <w:szCs w:val="18"/>
              </w:rPr>
            </w:pPr>
          </w:p>
        </w:tc>
        <w:tc>
          <w:tcPr>
            <w:tcW w:w="734" w:type="dxa"/>
          </w:tcPr>
          <w:p w14:paraId="5811CCAB" w14:textId="77777777" w:rsidR="00F20095" w:rsidRPr="00832BD8" w:rsidRDefault="00F20095" w:rsidP="00881DF7">
            <w:pPr>
              <w:ind w:left="0"/>
              <w:contextualSpacing/>
              <w:jc w:val="left"/>
              <w:rPr>
                <w:szCs w:val="18"/>
              </w:rPr>
            </w:pPr>
            <w:r w:rsidRPr="00832BD8">
              <w:rPr>
                <w:rFonts w:cs="Calibri"/>
                <w:color w:val="000000"/>
                <w:szCs w:val="18"/>
              </w:rPr>
              <w:t>Podíl</w:t>
            </w:r>
          </w:p>
        </w:tc>
        <w:tc>
          <w:tcPr>
            <w:tcW w:w="1700" w:type="dxa"/>
          </w:tcPr>
          <w:p w14:paraId="3DE5B342" w14:textId="77777777" w:rsidR="00F20095" w:rsidRPr="00832BD8" w:rsidRDefault="00F20095" w:rsidP="00881DF7">
            <w:pPr>
              <w:ind w:left="0"/>
              <w:contextualSpacing/>
              <w:jc w:val="left"/>
              <w:rPr>
                <w:szCs w:val="18"/>
              </w:rPr>
            </w:pPr>
            <w:r w:rsidRPr="00832BD8">
              <w:rPr>
                <w:rFonts w:cs="Calibri"/>
                <w:color w:val="000000"/>
                <w:szCs w:val="18"/>
              </w:rPr>
              <w:t>100,0%</w:t>
            </w:r>
          </w:p>
        </w:tc>
        <w:tc>
          <w:tcPr>
            <w:tcW w:w="1394" w:type="dxa"/>
          </w:tcPr>
          <w:p w14:paraId="301AC8F0" w14:textId="5F1EB548" w:rsidR="00F20095" w:rsidRPr="00832BD8" w:rsidRDefault="00ED7388" w:rsidP="00881DF7">
            <w:pPr>
              <w:ind w:left="0"/>
              <w:contextualSpacing/>
              <w:jc w:val="left"/>
              <w:rPr>
                <w:szCs w:val="18"/>
              </w:rPr>
            </w:pPr>
            <w:r>
              <w:rPr>
                <w:rFonts w:cs="Calibri"/>
                <w:color w:val="000000"/>
                <w:szCs w:val="18"/>
              </w:rPr>
              <w:t>81</w:t>
            </w:r>
            <w:r w:rsidR="00F20095" w:rsidRPr="00832BD8">
              <w:rPr>
                <w:rFonts w:cs="Calibri"/>
                <w:color w:val="000000"/>
                <w:szCs w:val="18"/>
              </w:rPr>
              <w:t>%</w:t>
            </w:r>
          </w:p>
        </w:tc>
        <w:tc>
          <w:tcPr>
            <w:tcW w:w="1393" w:type="dxa"/>
          </w:tcPr>
          <w:p w14:paraId="0E9B707D" w14:textId="6986D626" w:rsidR="00F20095" w:rsidRPr="00832BD8" w:rsidRDefault="00E84814" w:rsidP="00881DF7">
            <w:pPr>
              <w:ind w:left="0"/>
              <w:contextualSpacing/>
              <w:jc w:val="left"/>
              <w:rPr>
                <w:szCs w:val="18"/>
              </w:rPr>
            </w:pPr>
            <w:r>
              <w:rPr>
                <w:rFonts w:cs="Calibri"/>
                <w:color w:val="000000"/>
                <w:szCs w:val="18"/>
              </w:rPr>
              <w:t>78</w:t>
            </w:r>
            <w:r w:rsidR="00F20095" w:rsidRPr="00832BD8">
              <w:rPr>
                <w:rFonts w:cs="Calibri"/>
                <w:color w:val="000000"/>
                <w:szCs w:val="18"/>
              </w:rPr>
              <w:t>%</w:t>
            </w:r>
          </w:p>
        </w:tc>
        <w:tc>
          <w:tcPr>
            <w:tcW w:w="1535" w:type="dxa"/>
          </w:tcPr>
          <w:p w14:paraId="7C3721F4" w14:textId="4ABA49E8" w:rsidR="00F20095" w:rsidRPr="00832BD8" w:rsidRDefault="00E84814" w:rsidP="00881DF7">
            <w:pPr>
              <w:ind w:left="0"/>
              <w:contextualSpacing/>
              <w:jc w:val="left"/>
              <w:rPr>
                <w:szCs w:val="18"/>
              </w:rPr>
            </w:pPr>
            <w:r>
              <w:rPr>
                <w:rFonts w:cs="Calibri"/>
                <w:color w:val="000000"/>
                <w:szCs w:val="18"/>
              </w:rPr>
              <w:t>3,7</w:t>
            </w:r>
            <w:r w:rsidR="00F20095" w:rsidRPr="00832BD8">
              <w:rPr>
                <w:rFonts w:cs="Calibri"/>
                <w:color w:val="000000"/>
                <w:szCs w:val="18"/>
              </w:rPr>
              <w:t>%</w:t>
            </w:r>
          </w:p>
        </w:tc>
      </w:tr>
      <w:tr w:rsidR="00F20095" w:rsidRPr="006C66C2" w14:paraId="2DF19741" w14:textId="77777777" w:rsidTr="000261DB">
        <w:tc>
          <w:tcPr>
            <w:tcW w:w="992" w:type="dxa"/>
          </w:tcPr>
          <w:p w14:paraId="328D59B3" w14:textId="7FF74F8C" w:rsidR="00F20095" w:rsidRPr="00832BD8" w:rsidRDefault="00F20095" w:rsidP="00881DF7">
            <w:pPr>
              <w:ind w:left="0"/>
              <w:contextualSpacing/>
              <w:jc w:val="left"/>
              <w:rPr>
                <w:szCs w:val="18"/>
              </w:rPr>
            </w:pPr>
            <w:r w:rsidRPr="00832BD8">
              <w:rPr>
                <w:rFonts w:cs="Calibri"/>
                <w:color w:val="000000"/>
                <w:szCs w:val="18"/>
              </w:rPr>
              <w:t>ČR (20</w:t>
            </w:r>
            <w:r w:rsidR="006E644F">
              <w:rPr>
                <w:rFonts w:cs="Calibri"/>
                <w:color w:val="000000"/>
                <w:szCs w:val="18"/>
              </w:rPr>
              <w:t>2</w:t>
            </w:r>
            <w:r w:rsidRPr="00832BD8">
              <w:rPr>
                <w:rFonts w:cs="Calibri"/>
                <w:color w:val="000000"/>
                <w:szCs w:val="18"/>
              </w:rPr>
              <w:t>1)</w:t>
            </w:r>
          </w:p>
        </w:tc>
        <w:tc>
          <w:tcPr>
            <w:tcW w:w="734" w:type="dxa"/>
          </w:tcPr>
          <w:p w14:paraId="73B6E637" w14:textId="77777777" w:rsidR="00F20095" w:rsidRPr="00832BD8" w:rsidRDefault="00F20095" w:rsidP="00881DF7">
            <w:pPr>
              <w:ind w:left="0"/>
              <w:contextualSpacing/>
              <w:jc w:val="left"/>
              <w:rPr>
                <w:szCs w:val="18"/>
              </w:rPr>
            </w:pPr>
            <w:r w:rsidRPr="00832BD8">
              <w:rPr>
                <w:rFonts w:cs="Calibri"/>
                <w:color w:val="000000"/>
                <w:szCs w:val="18"/>
              </w:rPr>
              <w:t>Počet</w:t>
            </w:r>
          </w:p>
        </w:tc>
        <w:tc>
          <w:tcPr>
            <w:tcW w:w="1700" w:type="dxa"/>
          </w:tcPr>
          <w:p w14:paraId="4AAAC30B" w14:textId="34B51A2C" w:rsidR="00F20095" w:rsidRPr="00832BD8" w:rsidRDefault="006E644F" w:rsidP="00881DF7">
            <w:pPr>
              <w:ind w:left="0"/>
              <w:contextualSpacing/>
              <w:jc w:val="left"/>
              <w:rPr>
                <w:szCs w:val="18"/>
              </w:rPr>
            </w:pPr>
            <w:r>
              <w:rPr>
                <w:rFonts w:cs="Calibri"/>
                <w:color w:val="000000"/>
                <w:szCs w:val="18"/>
              </w:rPr>
              <w:t>6,96 mil.</w:t>
            </w:r>
          </w:p>
        </w:tc>
        <w:tc>
          <w:tcPr>
            <w:tcW w:w="1394" w:type="dxa"/>
          </w:tcPr>
          <w:p w14:paraId="1409489A" w14:textId="26DC7907" w:rsidR="00F20095" w:rsidRPr="00832BD8" w:rsidRDefault="006E644F" w:rsidP="00881DF7">
            <w:pPr>
              <w:ind w:left="0"/>
              <w:contextualSpacing/>
              <w:jc w:val="left"/>
              <w:rPr>
                <w:szCs w:val="18"/>
              </w:rPr>
            </w:pPr>
            <w:r>
              <w:rPr>
                <w:rFonts w:cs="Calibri"/>
                <w:color w:val="000000"/>
                <w:szCs w:val="18"/>
              </w:rPr>
              <w:t>5,3 mil.</w:t>
            </w:r>
          </w:p>
        </w:tc>
        <w:tc>
          <w:tcPr>
            <w:tcW w:w="1393" w:type="dxa"/>
          </w:tcPr>
          <w:p w14:paraId="4332F9FC" w14:textId="0DD3C45B" w:rsidR="00F20095" w:rsidRPr="00832BD8" w:rsidRDefault="006E644F" w:rsidP="00881DF7">
            <w:pPr>
              <w:ind w:left="0"/>
              <w:contextualSpacing/>
              <w:jc w:val="left"/>
              <w:rPr>
                <w:szCs w:val="18"/>
              </w:rPr>
            </w:pPr>
            <w:r>
              <w:rPr>
                <w:rFonts w:cs="Calibri"/>
                <w:color w:val="000000"/>
                <w:szCs w:val="18"/>
              </w:rPr>
              <w:t>5,2 mil</w:t>
            </w:r>
          </w:p>
        </w:tc>
        <w:tc>
          <w:tcPr>
            <w:tcW w:w="1535" w:type="dxa"/>
          </w:tcPr>
          <w:p w14:paraId="15AD21AD" w14:textId="1A86F6F3" w:rsidR="00F20095" w:rsidRPr="00832BD8" w:rsidRDefault="006E644F" w:rsidP="00881DF7">
            <w:pPr>
              <w:ind w:left="0"/>
              <w:contextualSpacing/>
              <w:jc w:val="left"/>
              <w:rPr>
                <w:szCs w:val="18"/>
              </w:rPr>
            </w:pPr>
            <w:r>
              <w:rPr>
                <w:rFonts w:cs="Calibri"/>
                <w:color w:val="000000"/>
                <w:szCs w:val="18"/>
              </w:rPr>
              <w:t>0,36 mil.</w:t>
            </w:r>
          </w:p>
        </w:tc>
      </w:tr>
      <w:tr w:rsidR="00F20095" w:rsidRPr="006C66C2" w14:paraId="664B73D0" w14:textId="77777777" w:rsidTr="000261DB">
        <w:tc>
          <w:tcPr>
            <w:tcW w:w="992" w:type="dxa"/>
          </w:tcPr>
          <w:p w14:paraId="2844754D" w14:textId="77777777" w:rsidR="00F20095" w:rsidRPr="00832BD8" w:rsidRDefault="00F20095" w:rsidP="00881DF7">
            <w:pPr>
              <w:ind w:left="0"/>
              <w:contextualSpacing/>
              <w:jc w:val="left"/>
              <w:rPr>
                <w:szCs w:val="18"/>
              </w:rPr>
            </w:pPr>
          </w:p>
        </w:tc>
        <w:tc>
          <w:tcPr>
            <w:tcW w:w="734" w:type="dxa"/>
          </w:tcPr>
          <w:p w14:paraId="6554D8E5" w14:textId="77777777" w:rsidR="00F20095" w:rsidRPr="00832BD8" w:rsidRDefault="00F20095" w:rsidP="00881DF7">
            <w:pPr>
              <w:ind w:left="0"/>
              <w:contextualSpacing/>
              <w:jc w:val="left"/>
              <w:rPr>
                <w:szCs w:val="18"/>
              </w:rPr>
            </w:pPr>
            <w:r w:rsidRPr="00832BD8">
              <w:rPr>
                <w:rFonts w:cs="Calibri"/>
                <w:color w:val="000000"/>
                <w:szCs w:val="18"/>
              </w:rPr>
              <w:t>Podíl</w:t>
            </w:r>
          </w:p>
        </w:tc>
        <w:tc>
          <w:tcPr>
            <w:tcW w:w="1700" w:type="dxa"/>
          </w:tcPr>
          <w:p w14:paraId="0311C5CD" w14:textId="77777777" w:rsidR="00F20095" w:rsidRPr="00832BD8" w:rsidRDefault="00F20095" w:rsidP="00881DF7">
            <w:pPr>
              <w:ind w:left="0"/>
              <w:contextualSpacing/>
              <w:jc w:val="left"/>
              <w:rPr>
                <w:szCs w:val="18"/>
              </w:rPr>
            </w:pPr>
            <w:r w:rsidRPr="00832BD8">
              <w:rPr>
                <w:rFonts w:cs="Calibri"/>
                <w:color w:val="000000"/>
                <w:szCs w:val="18"/>
              </w:rPr>
              <w:t>100,0%</w:t>
            </w:r>
          </w:p>
        </w:tc>
        <w:tc>
          <w:tcPr>
            <w:tcW w:w="1394" w:type="dxa"/>
          </w:tcPr>
          <w:p w14:paraId="5BDDFF92" w14:textId="4A5FB034" w:rsidR="00F20095" w:rsidRPr="00832BD8" w:rsidRDefault="00F20095" w:rsidP="00881DF7">
            <w:pPr>
              <w:ind w:left="0"/>
              <w:contextualSpacing/>
              <w:jc w:val="left"/>
              <w:rPr>
                <w:szCs w:val="18"/>
              </w:rPr>
            </w:pPr>
            <w:r w:rsidRPr="00832BD8">
              <w:rPr>
                <w:rFonts w:cs="Calibri"/>
                <w:color w:val="000000"/>
                <w:szCs w:val="18"/>
              </w:rPr>
              <w:t>7</w:t>
            </w:r>
            <w:r w:rsidR="006E644F">
              <w:rPr>
                <w:rFonts w:cs="Calibri"/>
                <w:color w:val="000000"/>
                <w:szCs w:val="18"/>
              </w:rPr>
              <w:t>6</w:t>
            </w:r>
            <w:r w:rsidRPr="00832BD8">
              <w:rPr>
                <w:rFonts w:cs="Calibri"/>
                <w:color w:val="000000"/>
                <w:szCs w:val="18"/>
              </w:rPr>
              <w:t>,0%</w:t>
            </w:r>
          </w:p>
        </w:tc>
        <w:tc>
          <w:tcPr>
            <w:tcW w:w="1393" w:type="dxa"/>
          </w:tcPr>
          <w:p w14:paraId="6EA2636C" w14:textId="10F6D03B" w:rsidR="00F20095" w:rsidRPr="00832BD8" w:rsidRDefault="006E644F" w:rsidP="00881DF7">
            <w:pPr>
              <w:ind w:left="0"/>
              <w:contextualSpacing/>
              <w:jc w:val="left"/>
              <w:rPr>
                <w:szCs w:val="18"/>
              </w:rPr>
            </w:pPr>
            <w:r>
              <w:rPr>
                <w:rFonts w:cs="Calibri"/>
                <w:color w:val="000000"/>
                <w:szCs w:val="18"/>
              </w:rPr>
              <w:t>74,7</w:t>
            </w:r>
            <w:r w:rsidR="00F20095" w:rsidRPr="00832BD8">
              <w:rPr>
                <w:rFonts w:cs="Calibri"/>
                <w:color w:val="000000"/>
                <w:szCs w:val="18"/>
              </w:rPr>
              <w:t>%</w:t>
            </w:r>
          </w:p>
        </w:tc>
        <w:tc>
          <w:tcPr>
            <w:tcW w:w="1535" w:type="dxa"/>
          </w:tcPr>
          <w:p w14:paraId="66CD1FD7" w14:textId="54DB883C" w:rsidR="00F20095" w:rsidRPr="00832BD8" w:rsidRDefault="000261DB" w:rsidP="00881DF7">
            <w:pPr>
              <w:ind w:left="0"/>
              <w:contextualSpacing/>
              <w:jc w:val="left"/>
              <w:rPr>
                <w:szCs w:val="18"/>
              </w:rPr>
            </w:pPr>
            <w:r>
              <w:rPr>
                <w:rFonts w:cs="Calibri"/>
                <w:color w:val="000000"/>
                <w:szCs w:val="18"/>
              </w:rPr>
              <w:t>5,1</w:t>
            </w:r>
            <w:r w:rsidR="00F20095" w:rsidRPr="00832BD8">
              <w:rPr>
                <w:rFonts w:cs="Calibri"/>
                <w:color w:val="000000"/>
                <w:szCs w:val="18"/>
              </w:rPr>
              <w:t>%</w:t>
            </w:r>
          </w:p>
        </w:tc>
      </w:tr>
    </w:tbl>
    <w:p w14:paraId="318ED0C7" w14:textId="77777777" w:rsidR="00F20095" w:rsidRDefault="00F20095" w:rsidP="00F20095">
      <w:r w:rsidRPr="00832BD8">
        <w:t>Údaje o nezaměstnanosti jsou v současnosti nejvýznamnějším dostupným údajem o hospodářských podmínkách obcí.</w:t>
      </w:r>
    </w:p>
    <w:p w14:paraId="0AA07F6C" w14:textId="4A44F7C6" w:rsidR="00E84814" w:rsidRDefault="00E84814">
      <w:pPr>
        <w:spacing w:before="0" w:after="0"/>
        <w:ind w:left="0"/>
        <w:jc w:val="left"/>
      </w:pPr>
      <w:r>
        <w:br w:type="page"/>
      </w:r>
    </w:p>
    <w:p w14:paraId="4EEC261A" w14:textId="77777777" w:rsidR="00F20095" w:rsidRPr="00832BD8" w:rsidRDefault="00F20095" w:rsidP="00F20095">
      <w:r w:rsidRPr="00832BD8">
        <w:lastRenderedPageBreak/>
        <w:t>Obyvatelstvo podle ekonomické aktivity</w:t>
      </w:r>
    </w:p>
    <w:tbl>
      <w:tblPr>
        <w:tblStyle w:val="Mkatabulky1"/>
        <w:tblW w:w="7763" w:type="dxa"/>
        <w:tblInd w:w="709" w:type="dxa"/>
        <w:tblBorders>
          <w:top w:val="dashSmallGap" w:sz="4" w:space="0" w:color="000000"/>
          <w:left w:val="none" w:sz="0" w:space="0" w:color="auto"/>
          <w:bottom w:val="dashSmallGap" w:sz="4" w:space="0" w:color="000000"/>
          <w:right w:val="none" w:sz="0" w:space="0" w:color="auto"/>
          <w:insideH w:val="dashSmallGap" w:sz="4" w:space="0" w:color="000000"/>
          <w:insideV w:val="none" w:sz="0" w:space="0" w:color="auto"/>
        </w:tblBorders>
        <w:tblLook w:val="04A0" w:firstRow="1" w:lastRow="0" w:firstColumn="1" w:lastColumn="0" w:noHBand="0" w:noVBand="1"/>
      </w:tblPr>
      <w:tblGrid>
        <w:gridCol w:w="801"/>
        <w:gridCol w:w="1265"/>
        <w:gridCol w:w="2754"/>
        <w:gridCol w:w="1134"/>
        <w:gridCol w:w="851"/>
        <w:gridCol w:w="958"/>
      </w:tblGrid>
      <w:tr w:rsidR="00F20095" w:rsidRPr="00832BD8" w14:paraId="45E3C1FD" w14:textId="77777777" w:rsidTr="00E84814">
        <w:tc>
          <w:tcPr>
            <w:tcW w:w="4820" w:type="dxa"/>
            <w:gridSpan w:val="3"/>
            <w:hideMark/>
          </w:tcPr>
          <w:p w14:paraId="547E9C0B" w14:textId="77777777" w:rsidR="00F20095" w:rsidRPr="00832BD8" w:rsidRDefault="00F20095" w:rsidP="00881DF7">
            <w:pPr>
              <w:pStyle w:val="Normlnbezmezer"/>
              <w:ind w:left="0"/>
              <w:jc w:val="right"/>
              <w:rPr>
                <w:rFonts w:asciiTheme="minorHAnsi" w:hAnsiTheme="minorHAnsi" w:cstheme="minorHAnsi"/>
                <w:b/>
                <w:bCs/>
                <w:szCs w:val="18"/>
              </w:rPr>
            </w:pPr>
          </w:p>
        </w:tc>
        <w:tc>
          <w:tcPr>
            <w:tcW w:w="1134" w:type="dxa"/>
            <w:hideMark/>
          </w:tcPr>
          <w:p w14:paraId="183541B8" w14:textId="77777777" w:rsidR="00F20095" w:rsidRPr="00832BD8" w:rsidRDefault="00F20095" w:rsidP="00881DF7">
            <w:pPr>
              <w:pStyle w:val="Normlnbezmezer"/>
              <w:ind w:left="0"/>
              <w:jc w:val="right"/>
              <w:rPr>
                <w:rFonts w:asciiTheme="minorHAnsi" w:hAnsiTheme="minorHAnsi" w:cstheme="minorHAnsi"/>
                <w:b/>
                <w:bCs/>
                <w:szCs w:val="18"/>
              </w:rPr>
            </w:pPr>
            <w:r w:rsidRPr="00832BD8">
              <w:rPr>
                <w:rFonts w:asciiTheme="minorHAnsi" w:hAnsiTheme="minorHAnsi" w:cstheme="minorHAnsi"/>
                <w:b/>
                <w:bCs/>
                <w:szCs w:val="18"/>
              </w:rPr>
              <w:t>Celkem</w:t>
            </w:r>
          </w:p>
        </w:tc>
        <w:tc>
          <w:tcPr>
            <w:tcW w:w="851" w:type="dxa"/>
          </w:tcPr>
          <w:p w14:paraId="4E26DCA6" w14:textId="77777777" w:rsidR="00F20095" w:rsidRPr="00832BD8" w:rsidRDefault="00F20095" w:rsidP="00881DF7">
            <w:pPr>
              <w:pStyle w:val="Normlnbezmezer"/>
              <w:ind w:left="0"/>
              <w:jc w:val="right"/>
              <w:rPr>
                <w:rFonts w:asciiTheme="minorHAnsi" w:hAnsiTheme="minorHAnsi" w:cstheme="minorHAnsi"/>
                <w:b/>
                <w:bCs/>
                <w:szCs w:val="18"/>
              </w:rPr>
            </w:pPr>
            <w:r w:rsidRPr="00832BD8">
              <w:rPr>
                <w:rFonts w:asciiTheme="minorHAnsi" w:hAnsiTheme="minorHAnsi" w:cstheme="minorHAnsi"/>
                <w:b/>
                <w:bCs/>
                <w:szCs w:val="18"/>
              </w:rPr>
              <w:t>muži</w:t>
            </w:r>
          </w:p>
        </w:tc>
        <w:tc>
          <w:tcPr>
            <w:tcW w:w="958" w:type="dxa"/>
          </w:tcPr>
          <w:p w14:paraId="43EBBDF9" w14:textId="77777777" w:rsidR="00F20095" w:rsidRPr="00832BD8" w:rsidRDefault="00F20095" w:rsidP="00881DF7">
            <w:pPr>
              <w:pStyle w:val="Normlnbezmezer"/>
              <w:ind w:left="0"/>
              <w:jc w:val="right"/>
              <w:rPr>
                <w:rFonts w:asciiTheme="minorHAnsi" w:hAnsiTheme="minorHAnsi" w:cstheme="minorHAnsi"/>
                <w:b/>
                <w:bCs/>
                <w:szCs w:val="18"/>
              </w:rPr>
            </w:pPr>
            <w:r w:rsidRPr="00832BD8">
              <w:rPr>
                <w:rFonts w:asciiTheme="minorHAnsi" w:hAnsiTheme="minorHAnsi" w:cstheme="minorHAnsi"/>
                <w:b/>
                <w:bCs/>
                <w:szCs w:val="18"/>
              </w:rPr>
              <w:t>ženy</w:t>
            </w:r>
          </w:p>
        </w:tc>
      </w:tr>
      <w:tr w:rsidR="00E84814" w:rsidRPr="00832BD8" w14:paraId="75D402F9" w14:textId="77777777" w:rsidTr="00E84814">
        <w:tc>
          <w:tcPr>
            <w:tcW w:w="4820" w:type="dxa"/>
            <w:gridSpan w:val="3"/>
            <w:hideMark/>
          </w:tcPr>
          <w:p w14:paraId="4D95DA28" w14:textId="77777777" w:rsidR="00E84814" w:rsidRPr="00832BD8" w:rsidRDefault="00E84814" w:rsidP="00E84814">
            <w:pPr>
              <w:pStyle w:val="Normlnbezmezer"/>
              <w:ind w:left="0"/>
              <w:rPr>
                <w:rFonts w:asciiTheme="minorHAnsi" w:hAnsiTheme="minorHAnsi" w:cstheme="minorHAnsi"/>
                <w:b/>
                <w:szCs w:val="18"/>
              </w:rPr>
            </w:pPr>
            <w:r w:rsidRPr="00832BD8">
              <w:rPr>
                <w:rFonts w:asciiTheme="minorHAnsi" w:hAnsiTheme="minorHAnsi" w:cstheme="minorHAnsi"/>
                <w:b/>
                <w:szCs w:val="18"/>
              </w:rPr>
              <w:t>Ekonomicky aktivní celkem</w:t>
            </w:r>
          </w:p>
        </w:tc>
        <w:tc>
          <w:tcPr>
            <w:tcW w:w="1134" w:type="dxa"/>
            <w:noWrap/>
            <w:hideMark/>
          </w:tcPr>
          <w:p w14:paraId="08DF02CE" w14:textId="371D9970" w:rsidR="00E84814" w:rsidRPr="00832BD8" w:rsidRDefault="00E84814" w:rsidP="00E84814">
            <w:pPr>
              <w:pStyle w:val="Normlnbezmezer"/>
              <w:ind w:left="0"/>
              <w:jc w:val="right"/>
              <w:rPr>
                <w:rFonts w:asciiTheme="minorHAnsi" w:hAnsiTheme="minorHAnsi" w:cstheme="minorHAnsi"/>
                <w:szCs w:val="18"/>
              </w:rPr>
            </w:pPr>
            <w:r w:rsidRPr="00DC76C0">
              <w:t>2 044</w:t>
            </w:r>
          </w:p>
        </w:tc>
        <w:tc>
          <w:tcPr>
            <w:tcW w:w="851" w:type="dxa"/>
          </w:tcPr>
          <w:p w14:paraId="6E7B5D3E" w14:textId="1E37D4DA" w:rsidR="00E84814" w:rsidRPr="00832BD8" w:rsidRDefault="00E84814" w:rsidP="00E84814">
            <w:pPr>
              <w:pStyle w:val="Normlnbezmezer"/>
              <w:ind w:left="0"/>
              <w:jc w:val="right"/>
              <w:rPr>
                <w:rFonts w:asciiTheme="minorHAnsi" w:hAnsiTheme="minorHAnsi" w:cstheme="minorHAnsi"/>
                <w:szCs w:val="18"/>
              </w:rPr>
            </w:pPr>
            <w:r w:rsidRPr="00DC76C0">
              <w:t>1 123</w:t>
            </w:r>
          </w:p>
        </w:tc>
        <w:tc>
          <w:tcPr>
            <w:tcW w:w="958" w:type="dxa"/>
          </w:tcPr>
          <w:p w14:paraId="0DB50D83" w14:textId="56AF7278" w:rsidR="00E84814" w:rsidRPr="00832BD8" w:rsidRDefault="00E84814" w:rsidP="00E84814">
            <w:pPr>
              <w:pStyle w:val="Normlnbezmezer"/>
              <w:ind w:left="0"/>
              <w:jc w:val="right"/>
              <w:rPr>
                <w:rFonts w:asciiTheme="minorHAnsi" w:hAnsiTheme="minorHAnsi" w:cstheme="minorHAnsi"/>
                <w:szCs w:val="18"/>
              </w:rPr>
            </w:pPr>
            <w:r w:rsidRPr="00DC76C0">
              <w:t>921</w:t>
            </w:r>
          </w:p>
        </w:tc>
      </w:tr>
      <w:tr w:rsidR="00E84814" w:rsidRPr="00832BD8" w14:paraId="159AA391" w14:textId="77777777" w:rsidTr="00E84814">
        <w:tc>
          <w:tcPr>
            <w:tcW w:w="801" w:type="dxa"/>
            <w:vMerge w:val="restart"/>
            <w:hideMark/>
          </w:tcPr>
          <w:p w14:paraId="618306FC" w14:textId="77777777" w:rsidR="00E84814" w:rsidRPr="00832BD8" w:rsidRDefault="00E84814" w:rsidP="00E84814">
            <w:pPr>
              <w:pStyle w:val="Normlnbezmezer"/>
              <w:ind w:left="0"/>
              <w:rPr>
                <w:rFonts w:asciiTheme="minorHAnsi" w:hAnsiTheme="minorHAnsi" w:cstheme="minorHAnsi"/>
                <w:szCs w:val="18"/>
              </w:rPr>
            </w:pPr>
            <w:r w:rsidRPr="00832BD8">
              <w:rPr>
                <w:rFonts w:asciiTheme="minorHAnsi" w:hAnsiTheme="minorHAnsi" w:cstheme="minorHAnsi"/>
                <w:szCs w:val="18"/>
              </w:rPr>
              <w:t>v tom</w:t>
            </w:r>
          </w:p>
        </w:tc>
        <w:tc>
          <w:tcPr>
            <w:tcW w:w="4019" w:type="dxa"/>
            <w:gridSpan w:val="2"/>
            <w:hideMark/>
          </w:tcPr>
          <w:p w14:paraId="7AAFED8D" w14:textId="77777777" w:rsidR="00E84814" w:rsidRPr="00832BD8" w:rsidRDefault="00E84814" w:rsidP="00E84814">
            <w:pPr>
              <w:pStyle w:val="Normlnbezmezer"/>
              <w:ind w:left="0"/>
              <w:rPr>
                <w:rFonts w:asciiTheme="minorHAnsi" w:hAnsiTheme="minorHAnsi" w:cstheme="minorHAnsi"/>
                <w:szCs w:val="18"/>
              </w:rPr>
            </w:pPr>
            <w:r w:rsidRPr="00832BD8">
              <w:rPr>
                <w:rFonts w:asciiTheme="minorHAnsi" w:hAnsiTheme="minorHAnsi" w:cstheme="minorHAnsi"/>
                <w:szCs w:val="18"/>
              </w:rPr>
              <w:t>zaměstnaní</w:t>
            </w:r>
          </w:p>
        </w:tc>
        <w:tc>
          <w:tcPr>
            <w:tcW w:w="1134" w:type="dxa"/>
            <w:noWrap/>
            <w:hideMark/>
          </w:tcPr>
          <w:p w14:paraId="4A392BAA" w14:textId="1D8025F3" w:rsidR="00E84814" w:rsidRPr="00832BD8" w:rsidRDefault="00E84814" w:rsidP="00E84814">
            <w:pPr>
              <w:pStyle w:val="Normlnbezmezer"/>
              <w:ind w:left="0"/>
              <w:jc w:val="right"/>
              <w:rPr>
                <w:rFonts w:asciiTheme="minorHAnsi" w:hAnsiTheme="minorHAnsi" w:cstheme="minorHAnsi"/>
                <w:szCs w:val="18"/>
              </w:rPr>
            </w:pPr>
            <w:r w:rsidRPr="00AF3AAD">
              <w:t>1 952</w:t>
            </w:r>
          </w:p>
        </w:tc>
        <w:tc>
          <w:tcPr>
            <w:tcW w:w="851" w:type="dxa"/>
          </w:tcPr>
          <w:p w14:paraId="0E4CF2E6" w14:textId="26E6EC28" w:rsidR="00E84814" w:rsidRPr="00832BD8" w:rsidRDefault="00E84814" w:rsidP="00E84814">
            <w:pPr>
              <w:pStyle w:val="Normlnbezmezer"/>
              <w:ind w:left="0"/>
              <w:jc w:val="right"/>
              <w:rPr>
                <w:rFonts w:asciiTheme="minorHAnsi" w:hAnsiTheme="minorHAnsi" w:cstheme="minorHAnsi"/>
                <w:szCs w:val="18"/>
              </w:rPr>
            </w:pPr>
            <w:r w:rsidRPr="00AF3AAD">
              <w:t>1 073</w:t>
            </w:r>
          </w:p>
        </w:tc>
        <w:tc>
          <w:tcPr>
            <w:tcW w:w="958" w:type="dxa"/>
          </w:tcPr>
          <w:p w14:paraId="390F28BD" w14:textId="568C4955" w:rsidR="00E84814" w:rsidRPr="00832BD8" w:rsidRDefault="00E84814" w:rsidP="00E84814">
            <w:pPr>
              <w:pStyle w:val="Normlnbezmezer"/>
              <w:ind w:left="0"/>
              <w:jc w:val="right"/>
              <w:rPr>
                <w:rFonts w:asciiTheme="minorHAnsi" w:hAnsiTheme="minorHAnsi" w:cstheme="minorHAnsi"/>
                <w:szCs w:val="18"/>
              </w:rPr>
            </w:pPr>
            <w:r w:rsidRPr="00AF3AAD">
              <w:t>879</w:t>
            </w:r>
          </w:p>
        </w:tc>
      </w:tr>
      <w:tr w:rsidR="00E84814" w:rsidRPr="00832BD8" w14:paraId="47C71D0C" w14:textId="77777777" w:rsidTr="00E84814">
        <w:tc>
          <w:tcPr>
            <w:tcW w:w="801" w:type="dxa"/>
            <w:vMerge/>
            <w:hideMark/>
          </w:tcPr>
          <w:p w14:paraId="6881C166" w14:textId="77777777" w:rsidR="00E84814" w:rsidRPr="00832BD8" w:rsidRDefault="00E84814" w:rsidP="00E84814">
            <w:pPr>
              <w:pStyle w:val="Normlnbezmezer"/>
              <w:ind w:left="0"/>
              <w:rPr>
                <w:rFonts w:asciiTheme="minorHAnsi" w:hAnsiTheme="minorHAnsi" w:cstheme="minorHAnsi"/>
                <w:szCs w:val="18"/>
              </w:rPr>
            </w:pPr>
          </w:p>
        </w:tc>
        <w:tc>
          <w:tcPr>
            <w:tcW w:w="1265" w:type="dxa"/>
            <w:vMerge w:val="restart"/>
            <w:hideMark/>
          </w:tcPr>
          <w:p w14:paraId="54E54A15" w14:textId="77777777" w:rsidR="00E84814" w:rsidRPr="00832BD8" w:rsidRDefault="00E84814" w:rsidP="00E84814">
            <w:pPr>
              <w:pStyle w:val="Normlnbezmezer"/>
              <w:ind w:left="0"/>
              <w:jc w:val="left"/>
              <w:rPr>
                <w:rFonts w:asciiTheme="minorHAnsi" w:hAnsiTheme="minorHAnsi" w:cstheme="minorHAnsi"/>
                <w:szCs w:val="18"/>
              </w:rPr>
            </w:pPr>
            <w:r w:rsidRPr="00832BD8">
              <w:rPr>
                <w:rFonts w:asciiTheme="minorHAnsi" w:hAnsiTheme="minorHAnsi" w:cstheme="minorHAnsi"/>
                <w:szCs w:val="18"/>
              </w:rPr>
              <w:t>z toho podle postavení v zaměstnání</w:t>
            </w:r>
          </w:p>
        </w:tc>
        <w:tc>
          <w:tcPr>
            <w:tcW w:w="2754" w:type="dxa"/>
            <w:hideMark/>
          </w:tcPr>
          <w:p w14:paraId="7B57F446" w14:textId="77777777" w:rsidR="00E84814" w:rsidRPr="00832BD8" w:rsidRDefault="00E84814" w:rsidP="00E84814">
            <w:pPr>
              <w:pStyle w:val="Normlnbezmezer"/>
              <w:ind w:left="0"/>
              <w:rPr>
                <w:rFonts w:asciiTheme="minorHAnsi" w:hAnsiTheme="minorHAnsi" w:cstheme="minorHAnsi"/>
                <w:szCs w:val="18"/>
              </w:rPr>
            </w:pPr>
            <w:r w:rsidRPr="00832BD8">
              <w:rPr>
                <w:rFonts w:asciiTheme="minorHAnsi" w:hAnsiTheme="minorHAnsi" w:cstheme="minorHAnsi"/>
                <w:szCs w:val="18"/>
              </w:rPr>
              <w:t>zaměstnanci</w:t>
            </w:r>
          </w:p>
        </w:tc>
        <w:tc>
          <w:tcPr>
            <w:tcW w:w="1134" w:type="dxa"/>
            <w:noWrap/>
            <w:hideMark/>
          </w:tcPr>
          <w:p w14:paraId="784309CD" w14:textId="09A10751" w:rsidR="00E84814" w:rsidRPr="00832BD8" w:rsidRDefault="00E84814" w:rsidP="00E84814">
            <w:pPr>
              <w:pStyle w:val="Normlnbezmezer"/>
              <w:ind w:left="0"/>
              <w:jc w:val="right"/>
              <w:rPr>
                <w:rFonts w:asciiTheme="minorHAnsi" w:hAnsiTheme="minorHAnsi" w:cstheme="minorHAnsi"/>
                <w:szCs w:val="18"/>
              </w:rPr>
            </w:pPr>
            <w:r w:rsidRPr="000C3356">
              <w:t>1 613</w:t>
            </w:r>
          </w:p>
        </w:tc>
        <w:tc>
          <w:tcPr>
            <w:tcW w:w="851" w:type="dxa"/>
          </w:tcPr>
          <w:p w14:paraId="3EDBFEB9" w14:textId="5024EEF9" w:rsidR="00E84814" w:rsidRPr="00832BD8" w:rsidRDefault="00E84814" w:rsidP="00E84814">
            <w:pPr>
              <w:pStyle w:val="Normlnbezmezer"/>
              <w:ind w:left="0"/>
              <w:jc w:val="right"/>
              <w:rPr>
                <w:rFonts w:asciiTheme="minorHAnsi" w:hAnsiTheme="minorHAnsi" w:cstheme="minorHAnsi"/>
                <w:szCs w:val="18"/>
              </w:rPr>
            </w:pPr>
            <w:r w:rsidRPr="000C3356">
              <w:t>850</w:t>
            </w:r>
          </w:p>
        </w:tc>
        <w:tc>
          <w:tcPr>
            <w:tcW w:w="958" w:type="dxa"/>
          </w:tcPr>
          <w:p w14:paraId="18C7E5C9" w14:textId="337E6703" w:rsidR="00E84814" w:rsidRPr="00832BD8" w:rsidRDefault="00E84814" w:rsidP="00E84814">
            <w:pPr>
              <w:pStyle w:val="Normlnbezmezer"/>
              <w:ind w:left="0"/>
              <w:jc w:val="right"/>
              <w:rPr>
                <w:rFonts w:asciiTheme="minorHAnsi" w:hAnsiTheme="minorHAnsi" w:cstheme="minorHAnsi"/>
                <w:szCs w:val="18"/>
              </w:rPr>
            </w:pPr>
            <w:r w:rsidRPr="000C3356">
              <w:t>763</w:t>
            </w:r>
          </w:p>
        </w:tc>
      </w:tr>
      <w:tr w:rsidR="00E84814" w:rsidRPr="00832BD8" w14:paraId="39B8FE9A" w14:textId="77777777" w:rsidTr="00E84814">
        <w:tc>
          <w:tcPr>
            <w:tcW w:w="801" w:type="dxa"/>
            <w:vMerge/>
            <w:hideMark/>
          </w:tcPr>
          <w:p w14:paraId="3CB224B5" w14:textId="77777777" w:rsidR="00E84814" w:rsidRPr="00832BD8" w:rsidRDefault="00E84814" w:rsidP="00E84814">
            <w:pPr>
              <w:pStyle w:val="Normlnbezmezer"/>
              <w:ind w:left="0"/>
              <w:rPr>
                <w:rFonts w:asciiTheme="minorHAnsi" w:hAnsiTheme="minorHAnsi" w:cstheme="minorHAnsi"/>
                <w:szCs w:val="18"/>
              </w:rPr>
            </w:pPr>
          </w:p>
        </w:tc>
        <w:tc>
          <w:tcPr>
            <w:tcW w:w="1265" w:type="dxa"/>
            <w:vMerge/>
            <w:hideMark/>
          </w:tcPr>
          <w:p w14:paraId="19371B4F" w14:textId="77777777" w:rsidR="00E84814" w:rsidRPr="00832BD8" w:rsidRDefault="00E84814" w:rsidP="00E84814">
            <w:pPr>
              <w:pStyle w:val="Normlnbezmezer"/>
              <w:ind w:left="0"/>
              <w:rPr>
                <w:rFonts w:asciiTheme="minorHAnsi" w:hAnsiTheme="minorHAnsi" w:cstheme="minorHAnsi"/>
                <w:szCs w:val="18"/>
              </w:rPr>
            </w:pPr>
          </w:p>
        </w:tc>
        <w:tc>
          <w:tcPr>
            <w:tcW w:w="2754" w:type="dxa"/>
            <w:hideMark/>
          </w:tcPr>
          <w:p w14:paraId="721F5A39" w14:textId="77777777" w:rsidR="00E84814" w:rsidRPr="00832BD8" w:rsidRDefault="00E84814" w:rsidP="00E84814">
            <w:pPr>
              <w:pStyle w:val="Normlnbezmezer"/>
              <w:ind w:left="0"/>
              <w:rPr>
                <w:rFonts w:asciiTheme="minorHAnsi" w:hAnsiTheme="minorHAnsi" w:cstheme="minorHAnsi"/>
                <w:szCs w:val="18"/>
              </w:rPr>
            </w:pPr>
            <w:r w:rsidRPr="00832BD8">
              <w:rPr>
                <w:rFonts w:asciiTheme="minorHAnsi" w:hAnsiTheme="minorHAnsi" w:cstheme="minorHAnsi"/>
                <w:szCs w:val="18"/>
              </w:rPr>
              <w:t>zaměstnavatelé</w:t>
            </w:r>
          </w:p>
        </w:tc>
        <w:tc>
          <w:tcPr>
            <w:tcW w:w="1134" w:type="dxa"/>
            <w:noWrap/>
            <w:hideMark/>
          </w:tcPr>
          <w:p w14:paraId="37D52336" w14:textId="41C39F86" w:rsidR="00E84814" w:rsidRPr="00832BD8" w:rsidRDefault="00E84814" w:rsidP="00E84814">
            <w:pPr>
              <w:pStyle w:val="Normlnbezmezer"/>
              <w:ind w:left="0"/>
              <w:jc w:val="right"/>
              <w:rPr>
                <w:rFonts w:asciiTheme="minorHAnsi" w:hAnsiTheme="minorHAnsi" w:cstheme="minorHAnsi"/>
                <w:szCs w:val="18"/>
              </w:rPr>
            </w:pPr>
            <w:r w:rsidRPr="00FD4FD6">
              <w:t>11</w:t>
            </w:r>
          </w:p>
        </w:tc>
        <w:tc>
          <w:tcPr>
            <w:tcW w:w="851" w:type="dxa"/>
          </w:tcPr>
          <w:p w14:paraId="06B494AE" w14:textId="09FB8644" w:rsidR="00E84814" w:rsidRPr="00832BD8" w:rsidRDefault="00E84814" w:rsidP="00E84814">
            <w:pPr>
              <w:pStyle w:val="Normlnbezmezer"/>
              <w:ind w:left="0"/>
              <w:jc w:val="right"/>
              <w:rPr>
                <w:rFonts w:asciiTheme="minorHAnsi" w:hAnsiTheme="minorHAnsi" w:cstheme="minorHAnsi"/>
                <w:szCs w:val="18"/>
              </w:rPr>
            </w:pPr>
            <w:r w:rsidRPr="00FD4FD6">
              <w:t>8</w:t>
            </w:r>
          </w:p>
        </w:tc>
        <w:tc>
          <w:tcPr>
            <w:tcW w:w="958" w:type="dxa"/>
          </w:tcPr>
          <w:p w14:paraId="58B88451" w14:textId="5CF6E5BD" w:rsidR="00E84814" w:rsidRPr="00832BD8" w:rsidRDefault="00E84814" w:rsidP="00E84814">
            <w:pPr>
              <w:pStyle w:val="Normlnbezmezer"/>
              <w:ind w:left="0"/>
              <w:jc w:val="right"/>
              <w:rPr>
                <w:rFonts w:asciiTheme="minorHAnsi" w:hAnsiTheme="minorHAnsi" w:cstheme="minorHAnsi"/>
                <w:szCs w:val="18"/>
              </w:rPr>
            </w:pPr>
            <w:r w:rsidRPr="00FD4FD6">
              <w:t>3</w:t>
            </w:r>
          </w:p>
        </w:tc>
      </w:tr>
      <w:tr w:rsidR="00E84814" w:rsidRPr="00832BD8" w14:paraId="6E58B163" w14:textId="77777777" w:rsidTr="00E84814">
        <w:tc>
          <w:tcPr>
            <w:tcW w:w="801" w:type="dxa"/>
            <w:vMerge/>
          </w:tcPr>
          <w:p w14:paraId="0E2CCFA3" w14:textId="77777777" w:rsidR="00E84814" w:rsidRPr="00832BD8" w:rsidRDefault="00E84814" w:rsidP="00E84814">
            <w:pPr>
              <w:pStyle w:val="Normlnbezmezer"/>
              <w:ind w:left="0"/>
              <w:rPr>
                <w:rFonts w:asciiTheme="minorHAnsi" w:hAnsiTheme="minorHAnsi" w:cstheme="minorHAnsi"/>
                <w:szCs w:val="18"/>
              </w:rPr>
            </w:pPr>
          </w:p>
        </w:tc>
        <w:tc>
          <w:tcPr>
            <w:tcW w:w="1265" w:type="dxa"/>
            <w:vMerge/>
          </w:tcPr>
          <w:p w14:paraId="68265C15" w14:textId="77777777" w:rsidR="00E84814" w:rsidRPr="00832BD8" w:rsidRDefault="00E84814" w:rsidP="00E84814">
            <w:pPr>
              <w:pStyle w:val="Normlnbezmezer"/>
              <w:ind w:left="0"/>
              <w:rPr>
                <w:rFonts w:asciiTheme="minorHAnsi" w:hAnsiTheme="minorHAnsi" w:cstheme="minorHAnsi"/>
                <w:szCs w:val="18"/>
              </w:rPr>
            </w:pPr>
          </w:p>
        </w:tc>
        <w:tc>
          <w:tcPr>
            <w:tcW w:w="2754" w:type="dxa"/>
          </w:tcPr>
          <w:p w14:paraId="22A7707E" w14:textId="74F327F7" w:rsidR="00E84814" w:rsidRPr="00832BD8" w:rsidRDefault="00E84814" w:rsidP="00E84814">
            <w:pPr>
              <w:pStyle w:val="Normlnbezmezer"/>
              <w:ind w:left="0"/>
              <w:rPr>
                <w:rFonts w:asciiTheme="minorHAnsi" w:hAnsiTheme="minorHAnsi" w:cstheme="minorHAnsi"/>
                <w:szCs w:val="18"/>
              </w:rPr>
            </w:pPr>
            <w:r w:rsidRPr="00832BD8">
              <w:rPr>
                <w:rFonts w:asciiTheme="minorHAnsi" w:hAnsiTheme="minorHAnsi" w:cstheme="minorHAnsi"/>
                <w:szCs w:val="18"/>
              </w:rPr>
              <w:t>pracující na vlastní účet</w:t>
            </w:r>
          </w:p>
        </w:tc>
        <w:tc>
          <w:tcPr>
            <w:tcW w:w="1134" w:type="dxa"/>
            <w:noWrap/>
          </w:tcPr>
          <w:p w14:paraId="0C93439B" w14:textId="53AB34FB" w:rsidR="00E84814" w:rsidRPr="00832BD8" w:rsidRDefault="00E84814" w:rsidP="00E84814">
            <w:pPr>
              <w:pStyle w:val="Normlnbezmezer"/>
              <w:ind w:left="0"/>
              <w:jc w:val="right"/>
              <w:rPr>
                <w:rFonts w:asciiTheme="minorHAnsi" w:hAnsiTheme="minorHAnsi" w:cstheme="minorHAnsi"/>
                <w:szCs w:val="18"/>
              </w:rPr>
            </w:pPr>
            <w:r w:rsidRPr="009F6A35">
              <w:t>144</w:t>
            </w:r>
          </w:p>
        </w:tc>
        <w:tc>
          <w:tcPr>
            <w:tcW w:w="851" w:type="dxa"/>
          </w:tcPr>
          <w:p w14:paraId="08953CC5" w14:textId="6A1C551A" w:rsidR="00E84814" w:rsidRPr="00832BD8" w:rsidRDefault="00E84814" w:rsidP="00E84814">
            <w:pPr>
              <w:pStyle w:val="Normlnbezmezer"/>
              <w:ind w:left="0"/>
              <w:jc w:val="right"/>
              <w:rPr>
                <w:rFonts w:asciiTheme="minorHAnsi" w:hAnsiTheme="minorHAnsi" w:cstheme="minorHAnsi"/>
                <w:szCs w:val="18"/>
              </w:rPr>
            </w:pPr>
            <w:r w:rsidRPr="009F6A35">
              <w:t>96</w:t>
            </w:r>
          </w:p>
        </w:tc>
        <w:tc>
          <w:tcPr>
            <w:tcW w:w="958" w:type="dxa"/>
          </w:tcPr>
          <w:p w14:paraId="60491287" w14:textId="5BF9B111" w:rsidR="00E84814" w:rsidRPr="00832BD8" w:rsidRDefault="00E84814" w:rsidP="00E84814">
            <w:pPr>
              <w:pStyle w:val="Normlnbezmezer"/>
              <w:ind w:left="0"/>
              <w:jc w:val="right"/>
              <w:rPr>
                <w:rFonts w:asciiTheme="minorHAnsi" w:hAnsiTheme="minorHAnsi" w:cstheme="minorHAnsi"/>
                <w:szCs w:val="18"/>
              </w:rPr>
            </w:pPr>
            <w:r w:rsidRPr="009F6A35">
              <w:t>48</w:t>
            </w:r>
          </w:p>
        </w:tc>
      </w:tr>
      <w:tr w:rsidR="00E84814" w:rsidRPr="00832BD8" w14:paraId="5F76304B" w14:textId="77777777" w:rsidTr="00E84814">
        <w:tc>
          <w:tcPr>
            <w:tcW w:w="801" w:type="dxa"/>
            <w:vMerge/>
          </w:tcPr>
          <w:p w14:paraId="090C385C" w14:textId="77777777" w:rsidR="00E84814" w:rsidRPr="00832BD8" w:rsidRDefault="00E84814" w:rsidP="00E84814">
            <w:pPr>
              <w:pStyle w:val="Normlnbezmezer"/>
              <w:ind w:left="0"/>
              <w:rPr>
                <w:rFonts w:asciiTheme="minorHAnsi" w:hAnsiTheme="minorHAnsi" w:cstheme="minorHAnsi"/>
                <w:szCs w:val="18"/>
              </w:rPr>
            </w:pPr>
          </w:p>
        </w:tc>
        <w:tc>
          <w:tcPr>
            <w:tcW w:w="1265" w:type="dxa"/>
            <w:vMerge/>
          </w:tcPr>
          <w:p w14:paraId="34DACFCE" w14:textId="77777777" w:rsidR="00E84814" w:rsidRPr="00832BD8" w:rsidRDefault="00E84814" w:rsidP="00E84814">
            <w:pPr>
              <w:pStyle w:val="Normlnbezmezer"/>
              <w:ind w:left="0"/>
              <w:rPr>
                <w:rFonts w:asciiTheme="minorHAnsi" w:hAnsiTheme="minorHAnsi" w:cstheme="minorHAnsi"/>
                <w:szCs w:val="18"/>
              </w:rPr>
            </w:pPr>
          </w:p>
        </w:tc>
        <w:tc>
          <w:tcPr>
            <w:tcW w:w="2754" w:type="dxa"/>
          </w:tcPr>
          <w:p w14:paraId="4962D605" w14:textId="71840144" w:rsidR="00E84814" w:rsidRPr="00832BD8" w:rsidRDefault="00E84814" w:rsidP="00E84814">
            <w:pPr>
              <w:pStyle w:val="Normlnbezmezer"/>
              <w:ind w:left="0"/>
              <w:rPr>
                <w:rFonts w:asciiTheme="minorHAnsi" w:hAnsiTheme="minorHAnsi" w:cstheme="minorHAnsi"/>
                <w:szCs w:val="18"/>
              </w:rPr>
            </w:pPr>
            <w:r w:rsidRPr="00E84814">
              <w:rPr>
                <w:rFonts w:asciiTheme="minorHAnsi" w:hAnsiTheme="minorHAnsi" w:cstheme="minorHAnsi"/>
                <w:szCs w:val="18"/>
              </w:rPr>
              <w:t>nezjištěno</w:t>
            </w:r>
          </w:p>
        </w:tc>
        <w:tc>
          <w:tcPr>
            <w:tcW w:w="1134" w:type="dxa"/>
            <w:noWrap/>
          </w:tcPr>
          <w:p w14:paraId="6FB962E4" w14:textId="291469EF" w:rsidR="00E84814" w:rsidRPr="00832BD8" w:rsidRDefault="00E84814" w:rsidP="00E84814">
            <w:pPr>
              <w:pStyle w:val="Normlnbezmezer"/>
              <w:ind w:left="0"/>
              <w:jc w:val="right"/>
              <w:rPr>
                <w:rFonts w:asciiTheme="minorHAnsi" w:hAnsiTheme="minorHAnsi" w:cstheme="minorHAnsi"/>
                <w:szCs w:val="18"/>
              </w:rPr>
            </w:pPr>
            <w:r w:rsidRPr="000B5AEB">
              <w:t>184</w:t>
            </w:r>
          </w:p>
        </w:tc>
        <w:tc>
          <w:tcPr>
            <w:tcW w:w="851" w:type="dxa"/>
          </w:tcPr>
          <w:p w14:paraId="3613C64E" w14:textId="5C84D67C" w:rsidR="00E84814" w:rsidRPr="00832BD8" w:rsidRDefault="00E84814" w:rsidP="00E84814">
            <w:pPr>
              <w:pStyle w:val="Normlnbezmezer"/>
              <w:ind w:left="0"/>
              <w:jc w:val="right"/>
              <w:rPr>
                <w:rFonts w:asciiTheme="minorHAnsi" w:hAnsiTheme="minorHAnsi" w:cstheme="minorHAnsi"/>
                <w:szCs w:val="18"/>
              </w:rPr>
            </w:pPr>
            <w:r w:rsidRPr="000B5AEB">
              <w:t>119</w:t>
            </w:r>
          </w:p>
        </w:tc>
        <w:tc>
          <w:tcPr>
            <w:tcW w:w="958" w:type="dxa"/>
          </w:tcPr>
          <w:p w14:paraId="2FAB7362" w14:textId="0009D436" w:rsidR="00E84814" w:rsidRPr="00832BD8" w:rsidRDefault="00E84814" w:rsidP="00E84814">
            <w:pPr>
              <w:pStyle w:val="Normlnbezmezer"/>
              <w:ind w:left="0"/>
              <w:jc w:val="right"/>
              <w:rPr>
                <w:rFonts w:asciiTheme="minorHAnsi" w:hAnsiTheme="minorHAnsi" w:cstheme="minorHAnsi"/>
                <w:szCs w:val="18"/>
              </w:rPr>
            </w:pPr>
            <w:r w:rsidRPr="000B5AEB">
              <w:t>65</w:t>
            </w:r>
          </w:p>
        </w:tc>
      </w:tr>
      <w:tr w:rsidR="00E84814" w:rsidRPr="00832BD8" w14:paraId="39B5BD89" w14:textId="77777777" w:rsidTr="00E84814">
        <w:trPr>
          <w:trHeight w:val="42"/>
        </w:trPr>
        <w:tc>
          <w:tcPr>
            <w:tcW w:w="801" w:type="dxa"/>
            <w:vMerge/>
            <w:hideMark/>
          </w:tcPr>
          <w:p w14:paraId="5427A834" w14:textId="77777777" w:rsidR="00E84814" w:rsidRPr="00832BD8" w:rsidRDefault="00E84814" w:rsidP="00E84814">
            <w:pPr>
              <w:pStyle w:val="Normlnbezmezer"/>
              <w:ind w:left="0"/>
              <w:rPr>
                <w:rFonts w:asciiTheme="minorHAnsi" w:hAnsiTheme="minorHAnsi" w:cstheme="minorHAnsi"/>
                <w:szCs w:val="18"/>
              </w:rPr>
            </w:pPr>
          </w:p>
        </w:tc>
        <w:tc>
          <w:tcPr>
            <w:tcW w:w="1265" w:type="dxa"/>
            <w:vMerge w:val="restart"/>
            <w:hideMark/>
          </w:tcPr>
          <w:p w14:paraId="106CAF81" w14:textId="77777777" w:rsidR="00E84814" w:rsidRPr="00832BD8" w:rsidRDefault="00E84814" w:rsidP="00E84814">
            <w:pPr>
              <w:pStyle w:val="Normlnbezmezer"/>
              <w:ind w:left="0"/>
              <w:jc w:val="left"/>
              <w:rPr>
                <w:rFonts w:asciiTheme="minorHAnsi" w:hAnsiTheme="minorHAnsi" w:cstheme="minorHAnsi"/>
                <w:szCs w:val="18"/>
              </w:rPr>
            </w:pPr>
            <w:r w:rsidRPr="00832BD8">
              <w:rPr>
                <w:rFonts w:asciiTheme="minorHAnsi" w:hAnsiTheme="minorHAnsi" w:cstheme="minorHAnsi"/>
                <w:szCs w:val="18"/>
              </w:rPr>
              <w:t>ze zaměstnaných</w:t>
            </w:r>
          </w:p>
        </w:tc>
        <w:tc>
          <w:tcPr>
            <w:tcW w:w="2754" w:type="dxa"/>
            <w:hideMark/>
          </w:tcPr>
          <w:p w14:paraId="3495AED2" w14:textId="77777777" w:rsidR="00E84814" w:rsidRPr="00832BD8" w:rsidRDefault="00E84814" w:rsidP="00E84814">
            <w:pPr>
              <w:pStyle w:val="Normlnbezmezer"/>
              <w:ind w:left="0"/>
              <w:rPr>
                <w:rFonts w:asciiTheme="minorHAnsi" w:hAnsiTheme="minorHAnsi" w:cstheme="minorHAnsi"/>
                <w:szCs w:val="18"/>
              </w:rPr>
            </w:pPr>
            <w:r w:rsidRPr="00832BD8">
              <w:rPr>
                <w:rFonts w:asciiTheme="minorHAnsi" w:hAnsiTheme="minorHAnsi" w:cstheme="minorHAnsi"/>
                <w:szCs w:val="18"/>
              </w:rPr>
              <w:t>pracující důchodci</w:t>
            </w:r>
          </w:p>
        </w:tc>
        <w:tc>
          <w:tcPr>
            <w:tcW w:w="1134" w:type="dxa"/>
            <w:noWrap/>
            <w:hideMark/>
          </w:tcPr>
          <w:p w14:paraId="6D6088A6" w14:textId="649A3ACE" w:rsidR="00E84814" w:rsidRPr="00832BD8" w:rsidRDefault="00E84814" w:rsidP="00E84814">
            <w:pPr>
              <w:pStyle w:val="Normlnbezmezer"/>
              <w:ind w:left="0"/>
              <w:jc w:val="right"/>
              <w:rPr>
                <w:rFonts w:asciiTheme="minorHAnsi" w:hAnsiTheme="minorHAnsi" w:cstheme="minorHAnsi"/>
                <w:szCs w:val="18"/>
              </w:rPr>
            </w:pPr>
            <w:r w:rsidRPr="006C24C3">
              <w:t>161</w:t>
            </w:r>
          </w:p>
        </w:tc>
        <w:tc>
          <w:tcPr>
            <w:tcW w:w="851" w:type="dxa"/>
          </w:tcPr>
          <w:p w14:paraId="2B674AC2" w14:textId="1C836F76" w:rsidR="00E84814" w:rsidRPr="00832BD8" w:rsidRDefault="00E84814" w:rsidP="00E84814">
            <w:pPr>
              <w:pStyle w:val="Normlnbezmezer"/>
              <w:ind w:left="0"/>
              <w:jc w:val="right"/>
              <w:rPr>
                <w:rFonts w:asciiTheme="minorHAnsi" w:hAnsiTheme="minorHAnsi" w:cstheme="minorHAnsi"/>
                <w:szCs w:val="18"/>
              </w:rPr>
            </w:pPr>
            <w:r w:rsidRPr="006C24C3">
              <w:t>78</w:t>
            </w:r>
          </w:p>
        </w:tc>
        <w:tc>
          <w:tcPr>
            <w:tcW w:w="958" w:type="dxa"/>
          </w:tcPr>
          <w:p w14:paraId="34ABB118" w14:textId="37BD4125" w:rsidR="00E84814" w:rsidRPr="00832BD8" w:rsidRDefault="00E84814" w:rsidP="00E84814">
            <w:pPr>
              <w:pStyle w:val="Normlnbezmezer"/>
              <w:ind w:left="0"/>
              <w:jc w:val="right"/>
              <w:rPr>
                <w:rFonts w:asciiTheme="minorHAnsi" w:hAnsiTheme="minorHAnsi" w:cstheme="minorHAnsi"/>
                <w:szCs w:val="18"/>
              </w:rPr>
            </w:pPr>
            <w:r w:rsidRPr="006C24C3">
              <w:t>83</w:t>
            </w:r>
          </w:p>
        </w:tc>
      </w:tr>
      <w:tr w:rsidR="00E84814" w:rsidRPr="00832BD8" w14:paraId="6FCEC836" w14:textId="77777777" w:rsidTr="00E84814">
        <w:tc>
          <w:tcPr>
            <w:tcW w:w="801" w:type="dxa"/>
            <w:vMerge/>
            <w:hideMark/>
          </w:tcPr>
          <w:p w14:paraId="0C35061E" w14:textId="77777777" w:rsidR="00E84814" w:rsidRPr="00832BD8" w:rsidRDefault="00E84814" w:rsidP="00E84814">
            <w:pPr>
              <w:pStyle w:val="Normlnbezmezer"/>
              <w:ind w:left="0"/>
              <w:rPr>
                <w:rFonts w:asciiTheme="minorHAnsi" w:hAnsiTheme="minorHAnsi" w:cstheme="minorHAnsi"/>
                <w:szCs w:val="18"/>
              </w:rPr>
            </w:pPr>
          </w:p>
        </w:tc>
        <w:tc>
          <w:tcPr>
            <w:tcW w:w="1265" w:type="dxa"/>
            <w:vMerge/>
            <w:hideMark/>
          </w:tcPr>
          <w:p w14:paraId="69385C1A" w14:textId="77777777" w:rsidR="00E84814" w:rsidRPr="00832BD8" w:rsidRDefault="00E84814" w:rsidP="00E84814">
            <w:pPr>
              <w:pStyle w:val="Normlnbezmezer"/>
              <w:ind w:left="0"/>
              <w:rPr>
                <w:rFonts w:asciiTheme="minorHAnsi" w:hAnsiTheme="minorHAnsi" w:cstheme="minorHAnsi"/>
                <w:szCs w:val="18"/>
              </w:rPr>
            </w:pPr>
          </w:p>
        </w:tc>
        <w:tc>
          <w:tcPr>
            <w:tcW w:w="2754" w:type="dxa"/>
            <w:hideMark/>
          </w:tcPr>
          <w:p w14:paraId="32323BEB" w14:textId="35F92BA4" w:rsidR="00E84814" w:rsidRPr="00832BD8" w:rsidRDefault="00E84814" w:rsidP="00E84814">
            <w:pPr>
              <w:pStyle w:val="Normlnbezmezer"/>
              <w:ind w:left="0"/>
              <w:rPr>
                <w:rFonts w:asciiTheme="minorHAnsi" w:hAnsiTheme="minorHAnsi" w:cstheme="minorHAnsi"/>
                <w:szCs w:val="18"/>
              </w:rPr>
            </w:pPr>
            <w:r>
              <w:rPr>
                <w:rFonts w:asciiTheme="minorHAnsi" w:hAnsiTheme="minorHAnsi" w:cstheme="minorHAnsi"/>
                <w:szCs w:val="18"/>
              </w:rPr>
              <w:t>osoby</w:t>
            </w:r>
            <w:r w:rsidRPr="00832BD8">
              <w:rPr>
                <w:rFonts w:asciiTheme="minorHAnsi" w:hAnsiTheme="minorHAnsi" w:cstheme="minorHAnsi"/>
                <w:szCs w:val="18"/>
              </w:rPr>
              <w:t xml:space="preserve"> na mateřské dovolené</w:t>
            </w:r>
          </w:p>
        </w:tc>
        <w:tc>
          <w:tcPr>
            <w:tcW w:w="1134" w:type="dxa"/>
            <w:noWrap/>
            <w:hideMark/>
          </w:tcPr>
          <w:p w14:paraId="4C31847B" w14:textId="6C494D5F" w:rsidR="00E84814" w:rsidRPr="00832BD8" w:rsidRDefault="00E84814" w:rsidP="00E84814">
            <w:pPr>
              <w:pStyle w:val="Normlnbezmezer"/>
              <w:ind w:left="0"/>
              <w:jc w:val="right"/>
              <w:rPr>
                <w:rFonts w:asciiTheme="minorHAnsi" w:hAnsiTheme="minorHAnsi" w:cstheme="minorHAnsi"/>
                <w:szCs w:val="18"/>
              </w:rPr>
            </w:pPr>
            <w:r w:rsidRPr="00AD5A19">
              <w:t>21</w:t>
            </w:r>
          </w:p>
        </w:tc>
        <w:tc>
          <w:tcPr>
            <w:tcW w:w="851" w:type="dxa"/>
          </w:tcPr>
          <w:p w14:paraId="22B441EB" w14:textId="1228442A" w:rsidR="00E84814" w:rsidRPr="00832BD8" w:rsidRDefault="00E84814" w:rsidP="00E84814">
            <w:pPr>
              <w:pStyle w:val="Normlnbezmezer"/>
              <w:ind w:left="0"/>
              <w:jc w:val="right"/>
              <w:rPr>
                <w:rFonts w:asciiTheme="minorHAnsi" w:hAnsiTheme="minorHAnsi" w:cstheme="minorHAnsi"/>
                <w:szCs w:val="18"/>
              </w:rPr>
            </w:pPr>
            <w:r w:rsidRPr="00AD5A19">
              <w:t>-</w:t>
            </w:r>
          </w:p>
        </w:tc>
        <w:tc>
          <w:tcPr>
            <w:tcW w:w="958" w:type="dxa"/>
          </w:tcPr>
          <w:p w14:paraId="7851A909" w14:textId="7A63CA2A" w:rsidR="00E84814" w:rsidRPr="00832BD8" w:rsidRDefault="00E84814" w:rsidP="00E84814">
            <w:pPr>
              <w:pStyle w:val="Normlnbezmezer"/>
              <w:ind w:left="0"/>
              <w:jc w:val="right"/>
              <w:rPr>
                <w:rFonts w:asciiTheme="minorHAnsi" w:hAnsiTheme="minorHAnsi" w:cstheme="minorHAnsi"/>
                <w:szCs w:val="18"/>
              </w:rPr>
            </w:pPr>
            <w:r w:rsidRPr="00AD5A19">
              <w:t>21</w:t>
            </w:r>
          </w:p>
        </w:tc>
      </w:tr>
      <w:tr w:rsidR="00E84814" w:rsidRPr="00832BD8" w14:paraId="457FF09F" w14:textId="77777777" w:rsidTr="00E84814">
        <w:tc>
          <w:tcPr>
            <w:tcW w:w="801" w:type="dxa"/>
            <w:vMerge/>
            <w:hideMark/>
          </w:tcPr>
          <w:p w14:paraId="6AE3A8E4" w14:textId="77777777" w:rsidR="00E84814" w:rsidRPr="00832BD8" w:rsidRDefault="00E84814" w:rsidP="00E84814">
            <w:pPr>
              <w:pStyle w:val="Normlnbezmezer"/>
              <w:ind w:left="0"/>
              <w:rPr>
                <w:rFonts w:asciiTheme="minorHAnsi" w:hAnsiTheme="minorHAnsi" w:cstheme="minorHAnsi"/>
                <w:szCs w:val="18"/>
              </w:rPr>
            </w:pPr>
          </w:p>
        </w:tc>
        <w:tc>
          <w:tcPr>
            <w:tcW w:w="4019" w:type="dxa"/>
            <w:gridSpan w:val="2"/>
            <w:hideMark/>
          </w:tcPr>
          <w:p w14:paraId="3AD3149C" w14:textId="77777777" w:rsidR="00E84814" w:rsidRPr="00832BD8" w:rsidRDefault="00E84814" w:rsidP="00E84814">
            <w:pPr>
              <w:pStyle w:val="Normlnbezmezer"/>
              <w:ind w:left="0"/>
              <w:rPr>
                <w:rFonts w:asciiTheme="minorHAnsi" w:hAnsiTheme="minorHAnsi" w:cstheme="minorHAnsi"/>
                <w:szCs w:val="18"/>
              </w:rPr>
            </w:pPr>
            <w:r w:rsidRPr="00832BD8">
              <w:rPr>
                <w:rFonts w:asciiTheme="minorHAnsi" w:hAnsiTheme="minorHAnsi" w:cstheme="minorHAnsi"/>
                <w:szCs w:val="18"/>
              </w:rPr>
              <w:t>nezaměstnaní</w:t>
            </w:r>
          </w:p>
        </w:tc>
        <w:tc>
          <w:tcPr>
            <w:tcW w:w="1134" w:type="dxa"/>
            <w:noWrap/>
            <w:hideMark/>
          </w:tcPr>
          <w:p w14:paraId="4ECA8029" w14:textId="0851FEF1" w:rsidR="00E84814" w:rsidRPr="00832BD8" w:rsidRDefault="00E84814" w:rsidP="00E84814">
            <w:pPr>
              <w:pStyle w:val="Normlnbezmezer"/>
              <w:ind w:left="0"/>
              <w:jc w:val="right"/>
              <w:rPr>
                <w:rFonts w:asciiTheme="minorHAnsi" w:hAnsiTheme="minorHAnsi" w:cstheme="minorHAnsi"/>
                <w:szCs w:val="18"/>
              </w:rPr>
            </w:pPr>
            <w:r w:rsidRPr="00F86D60">
              <w:t>92</w:t>
            </w:r>
          </w:p>
        </w:tc>
        <w:tc>
          <w:tcPr>
            <w:tcW w:w="851" w:type="dxa"/>
          </w:tcPr>
          <w:p w14:paraId="49A3766B" w14:textId="50179DCC" w:rsidR="00E84814" w:rsidRPr="00832BD8" w:rsidRDefault="00E84814" w:rsidP="00E84814">
            <w:pPr>
              <w:pStyle w:val="Normlnbezmezer"/>
              <w:ind w:left="0"/>
              <w:jc w:val="right"/>
              <w:rPr>
                <w:rFonts w:asciiTheme="minorHAnsi" w:hAnsiTheme="minorHAnsi" w:cstheme="minorHAnsi"/>
                <w:szCs w:val="18"/>
              </w:rPr>
            </w:pPr>
            <w:r w:rsidRPr="00F86D60">
              <w:t>50</w:t>
            </w:r>
          </w:p>
        </w:tc>
        <w:tc>
          <w:tcPr>
            <w:tcW w:w="958" w:type="dxa"/>
          </w:tcPr>
          <w:p w14:paraId="1F02B254" w14:textId="618891B9" w:rsidR="00E84814" w:rsidRPr="00832BD8" w:rsidRDefault="00E84814" w:rsidP="00E84814">
            <w:pPr>
              <w:pStyle w:val="Normlnbezmezer"/>
              <w:ind w:left="0"/>
              <w:jc w:val="right"/>
              <w:rPr>
                <w:rFonts w:asciiTheme="minorHAnsi" w:hAnsiTheme="minorHAnsi" w:cstheme="minorHAnsi"/>
                <w:szCs w:val="18"/>
              </w:rPr>
            </w:pPr>
            <w:r w:rsidRPr="00F86D60">
              <w:t>42</w:t>
            </w:r>
          </w:p>
        </w:tc>
      </w:tr>
      <w:tr w:rsidR="00E84814" w:rsidRPr="00832BD8" w14:paraId="46AC7C3C" w14:textId="77777777" w:rsidTr="00E84814">
        <w:tc>
          <w:tcPr>
            <w:tcW w:w="4820" w:type="dxa"/>
            <w:gridSpan w:val="3"/>
            <w:hideMark/>
          </w:tcPr>
          <w:p w14:paraId="583ECEC4" w14:textId="77777777" w:rsidR="00E84814" w:rsidRPr="00832BD8" w:rsidRDefault="00E84814" w:rsidP="00E84814">
            <w:pPr>
              <w:pStyle w:val="Normlnbezmezer"/>
              <w:ind w:left="0"/>
              <w:rPr>
                <w:rFonts w:asciiTheme="minorHAnsi" w:hAnsiTheme="minorHAnsi" w:cstheme="minorHAnsi"/>
                <w:szCs w:val="18"/>
              </w:rPr>
            </w:pPr>
            <w:r w:rsidRPr="00832BD8">
              <w:rPr>
                <w:rFonts w:asciiTheme="minorHAnsi" w:hAnsiTheme="minorHAnsi" w:cstheme="minorHAnsi"/>
                <w:szCs w:val="18"/>
              </w:rPr>
              <w:t>Ekonomicky neaktivní celkem</w:t>
            </w:r>
          </w:p>
        </w:tc>
        <w:tc>
          <w:tcPr>
            <w:tcW w:w="1134" w:type="dxa"/>
            <w:noWrap/>
            <w:hideMark/>
          </w:tcPr>
          <w:p w14:paraId="7C8F0838" w14:textId="606AE168" w:rsidR="00E84814" w:rsidRPr="00832BD8" w:rsidRDefault="00E84814" w:rsidP="00E84814">
            <w:pPr>
              <w:pStyle w:val="Normlnbezmezer"/>
              <w:ind w:left="0"/>
              <w:jc w:val="right"/>
              <w:rPr>
                <w:rFonts w:asciiTheme="minorHAnsi" w:hAnsiTheme="minorHAnsi" w:cstheme="minorHAnsi"/>
                <w:szCs w:val="18"/>
              </w:rPr>
            </w:pPr>
            <w:r w:rsidRPr="009514EE">
              <w:t>2 064</w:t>
            </w:r>
          </w:p>
        </w:tc>
        <w:tc>
          <w:tcPr>
            <w:tcW w:w="851" w:type="dxa"/>
          </w:tcPr>
          <w:p w14:paraId="163B5671" w14:textId="2CA66BA3" w:rsidR="00E84814" w:rsidRPr="00832BD8" w:rsidRDefault="00E84814" w:rsidP="00E84814">
            <w:pPr>
              <w:pStyle w:val="Normlnbezmezer"/>
              <w:ind w:left="0"/>
              <w:jc w:val="right"/>
              <w:rPr>
                <w:rFonts w:asciiTheme="minorHAnsi" w:hAnsiTheme="minorHAnsi" w:cstheme="minorHAnsi"/>
                <w:szCs w:val="18"/>
              </w:rPr>
            </w:pPr>
            <w:r w:rsidRPr="009514EE">
              <w:t>884</w:t>
            </w:r>
          </w:p>
        </w:tc>
        <w:tc>
          <w:tcPr>
            <w:tcW w:w="958" w:type="dxa"/>
          </w:tcPr>
          <w:p w14:paraId="7D6FD788" w14:textId="3CCD66CC" w:rsidR="00E84814" w:rsidRPr="00832BD8" w:rsidRDefault="00E84814" w:rsidP="00E84814">
            <w:pPr>
              <w:pStyle w:val="Normlnbezmezer"/>
              <w:ind w:left="0"/>
              <w:jc w:val="right"/>
              <w:rPr>
                <w:rFonts w:asciiTheme="minorHAnsi" w:hAnsiTheme="minorHAnsi" w:cstheme="minorHAnsi"/>
                <w:szCs w:val="18"/>
              </w:rPr>
            </w:pPr>
            <w:r w:rsidRPr="009514EE">
              <w:t>1 180</w:t>
            </w:r>
          </w:p>
        </w:tc>
      </w:tr>
      <w:tr w:rsidR="00E84814" w:rsidRPr="00832BD8" w14:paraId="6E5AB885" w14:textId="77777777" w:rsidTr="00E84814">
        <w:tc>
          <w:tcPr>
            <w:tcW w:w="801" w:type="dxa"/>
            <w:vMerge w:val="restart"/>
            <w:hideMark/>
          </w:tcPr>
          <w:p w14:paraId="6226DF23" w14:textId="77777777" w:rsidR="00E84814" w:rsidRPr="00832BD8" w:rsidRDefault="00E84814" w:rsidP="00E84814">
            <w:pPr>
              <w:pStyle w:val="Normlnbezmezer"/>
              <w:ind w:left="0"/>
              <w:rPr>
                <w:rFonts w:asciiTheme="minorHAnsi" w:hAnsiTheme="minorHAnsi" w:cstheme="minorHAnsi"/>
                <w:szCs w:val="18"/>
              </w:rPr>
            </w:pPr>
            <w:r w:rsidRPr="00832BD8">
              <w:rPr>
                <w:rFonts w:asciiTheme="minorHAnsi" w:hAnsiTheme="minorHAnsi" w:cstheme="minorHAnsi"/>
                <w:szCs w:val="18"/>
              </w:rPr>
              <w:t>z toho</w:t>
            </w:r>
          </w:p>
        </w:tc>
        <w:tc>
          <w:tcPr>
            <w:tcW w:w="4019" w:type="dxa"/>
            <w:gridSpan w:val="2"/>
            <w:hideMark/>
          </w:tcPr>
          <w:p w14:paraId="084B3DA6" w14:textId="77777777" w:rsidR="00E84814" w:rsidRPr="00832BD8" w:rsidRDefault="00E84814" w:rsidP="00E84814">
            <w:pPr>
              <w:pStyle w:val="Normlnbezmezer"/>
              <w:ind w:left="0"/>
              <w:rPr>
                <w:rFonts w:asciiTheme="minorHAnsi" w:hAnsiTheme="minorHAnsi" w:cstheme="minorHAnsi"/>
                <w:szCs w:val="18"/>
              </w:rPr>
            </w:pPr>
            <w:r w:rsidRPr="00832BD8">
              <w:rPr>
                <w:rFonts w:asciiTheme="minorHAnsi" w:hAnsiTheme="minorHAnsi" w:cstheme="minorHAnsi"/>
                <w:szCs w:val="18"/>
              </w:rPr>
              <w:t>nepracující důchodci</w:t>
            </w:r>
          </w:p>
        </w:tc>
        <w:tc>
          <w:tcPr>
            <w:tcW w:w="1134" w:type="dxa"/>
            <w:noWrap/>
            <w:hideMark/>
          </w:tcPr>
          <w:p w14:paraId="4988CD6A" w14:textId="38B704CF" w:rsidR="00E84814" w:rsidRPr="00832BD8" w:rsidRDefault="00E84814" w:rsidP="00E84814">
            <w:pPr>
              <w:pStyle w:val="Normlnbezmezer"/>
              <w:ind w:left="0"/>
              <w:jc w:val="right"/>
              <w:rPr>
                <w:rFonts w:asciiTheme="minorHAnsi" w:hAnsiTheme="minorHAnsi" w:cstheme="minorHAnsi"/>
                <w:szCs w:val="18"/>
              </w:rPr>
            </w:pPr>
            <w:r w:rsidRPr="00D5764C">
              <w:t>1 090</w:t>
            </w:r>
          </w:p>
        </w:tc>
        <w:tc>
          <w:tcPr>
            <w:tcW w:w="851" w:type="dxa"/>
          </w:tcPr>
          <w:p w14:paraId="203D399F" w14:textId="1BAADBBE" w:rsidR="00E84814" w:rsidRPr="00832BD8" w:rsidRDefault="00E84814" w:rsidP="00E84814">
            <w:pPr>
              <w:pStyle w:val="Normlnbezmezer"/>
              <w:ind w:left="0"/>
              <w:jc w:val="right"/>
              <w:rPr>
                <w:rFonts w:asciiTheme="minorHAnsi" w:hAnsiTheme="minorHAnsi" w:cstheme="minorHAnsi"/>
                <w:szCs w:val="18"/>
              </w:rPr>
            </w:pPr>
            <w:r w:rsidRPr="00D5764C">
              <w:t>429</w:t>
            </w:r>
          </w:p>
        </w:tc>
        <w:tc>
          <w:tcPr>
            <w:tcW w:w="958" w:type="dxa"/>
          </w:tcPr>
          <w:p w14:paraId="67D841A1" w14:textId="59DED33C" w:rsidR="00E84814" w:rsidRPr="00832BD8" w:rsidRDefault="00E84814" w:rsidP="00E84814">
            <w:pPr>
              <w:pStyle w:val="Normlnbezmezer"/>
              <w:ind w:left="0"/>
              <w:jc w:val="right"/>
              <w:rPr>
                <w:rFonts w:asciiTheme="minorHAnsi" w:hAnsiTheme="minorHAnsi" w:cstheme="minorHAnsi"/>
                <w:szCs w:val="18"/>
              </w:rPr>
            </w:pPr>
            <w:r w:rsidRPr="00D5764C">
              <w:t>661</w:t>
            </w:r>
          </w:p>
        </w:tc>
      </w:tr>
      <w:tr w:rsidR="00E84814" w:rsidRPr="00832BD8" w14:paraId="6402FB68" w14:textId="77777777" w:rsidTr="00E84814">
        <w:tc>
          <w:tcPr>
            <w:tcW w:w="801" w:type="dxa"/>
            <w:vMerge/>
          </w:tcPr>
          <w:p w14:paraId="0A8DE9F5" w14:textId="77777777" w:rsidR="00E84814" w:rsidRPr="00832BD8" w:rsidRDefault="00E84814" w:rsidP="00E84814">
            <w:pPr>
              <w:pStyle w:val="Normlnbezmezer"/>
              <w:ind w:left="0"/>
              <w:rPr>
                <w:rFonts w:asciiTheme="minorHAnsi" w:hAnsiTheme="minorHAnsi" w:cstheme="minorHAnsi"/>
                <w:szCs w:val="18"/>
              </w:rPr>
            </w:pPr>
          </w:p>
        </w:tc>
        <w:tc>
          <w:tcPr>
            <w:tcW w:w="4019" w:type="dxa"/>
            <w:gridSpan w:val="2"/>
          </w:tcPr>
          <w:p w14:paraId="0155218B" w14:textId="6D2488D6" w:rsidR="00E84814" w:rsidRPr="00832BD8" w:rsidRDefault="00E84814" w:rsidP="00E84814">
            <w:pPr>
              <w:pStyle w:val="Normlnbezmezer"/>
              <w:ind w:left="0"/>
              <w:rPr>
                <w:rFonts w:asciiTheme="minorHAnsi" w:hAnsiTheme="minorHAnsi" w:cstheme="minorHAnsi"/>
                <w:szCs w:val="18"/>
              </w:rPr>
            </w:pPr>
            <w:r w:rsidRPr="00E84814">
              <w:rPr>
                <w:rFonts w:asciiTheme="minorHAnsi" w:hAnsiTheme="minorHAnsi" w:cstheme="minorHAnsi"/>
                <w:szCs w:val="18"/>
              </w:rPr>
              <w:t>osoby na rodičovské dovolené</w:t>
            </w:r>
          </w:p>
        </w:tc>
        <w:tc>
          <w:tcPr>
            <w:tcW w:w="1134" w:type="dxa"/>
            <w:noWrap/>
          </w:tcPr>
          <w:p w14:paraId="39F47430" w14:textId="3B3A866C" w:rsidR="00E84814" w:rsidRPr="00832BD8" w:rsidRDefault="00E84814" w:rsidP="00E84814">
            <w:pPr>
              <w:pStyle w:val="Normlnbezmezer"/>
              <w:ind w:left="0"/>
              <w:jc w:val="right"/>
              <w:rPr>
                <w:rFonts w:asciiTheme="minorHAnsi" w:hAnsiTheme="minorHAnsi" w:cstheme="minorHAnsi"/>
                <w:szCs w:val="18"/>
              </w:rPr>
            </w:pPr>
            <w:r w:rsidRPr="004A3B95">
              <w:t>90</w:t>
            </w:r>
          </w:p>
        </w:tc>
        <w:tc>
          <w:tcPr>
            <w:tcW w:w="851" w:type="dxa"/>
          </w:tcPr>
          <w:p w14:paraId="721A3319" w14:textId="4F43B905" w:rsidR="00E84814" w:rsidRPr="00832BD8" w:rsidRDefault="00E84814" w:rsidP="00E84814">
            <w:pPr>
              <w:pStyle w:val="Normlnbezmezer"/>
              <w:ind w:left="0"/>
              <w:jc w:val="right"/>
              <w:rPr>
                <w:rFonts w:asciiTheme="minorHAnsi" w:hAnsiTheme="minorHAnsi" w:cstheme="minorHAnsi"/>
                <w:szCs w:val="18"/>
              </w:rPr>
            </w:pPr>
            <w:r w:rsidRPr="004A3B95">
              <w:t>-</w:t>
            </w:r>
          </w:p>
        </w:tc>
        <w:tc>
          <w:tcPr>
            <w:tcW w:w="958" w:type="dxa"/>
          </w:tcPr>
          <w:p w14:paraId="72272D55" w14:textId="741DE235" w:rsidR="00E84814" w:rsidRPr="00832BD8" w:rsidRDefault="00E84814" w:rsidP="00E84814">
            <w:pPr>
              <w:pStyle w:val="Normlnbezmezer"/>
              <w:ind w:left="0"/>
              <w:jc w:val="right"/>
              <w:rPr>
                <w:rFonts w:asciiTheme="minorHAnsi" w:hAnsiTheme="minorHAnsi" w:cstheme="minorHAnsi"/>
                <w:szCs w:val="18"/>
              </w:rPr>
            </w:pPr>
            <w:r w:rsidRPr="004A3B95">
              <w:t>90</w:t>
            </w:r>
          </w:p>
        </w:tc>
      </w:tr>
      <w:tr w:rsidR="00E84814" w:rsidRPr="00832BD8" w14:paraId="1FCD6B3F" w14:textId="77777777" w:rsidTr="00E84814">
        <w:tc>
          <w:tcPr>
            <w:tcW w:w="801" w:type="dxa"/>
            <w:vMerge/>
            <w:hideMark/>
          </w:tcPr>
          <w:p w14:paraId="2965A9E6" w14:textId="77777777" w:rsidR="00E84814" w:rsidRPr="00832BD8" w:rsidRDefault="00E84814" w:rsidP="00E84814">
            <w:pPr>
              <w:pStyle w:val="Normlnbezmezer"/>
              <w:ind w:left="0"/>
              <w:rPr>
                <w:rFonts w:asciiTheme="minorHAnsi" w:hAnsiTheme="minorHAnsi" w:cstheme="minorHAnsi"/>
                <w:szCs w:val="18"/>
              </w:rPr>
            </w:pPr>
          </w:p>
        </w:tc>
        <w:tc>
          <w:tcPr>
            <w:tcW w:w="4019" w:type="dxa"/>
            <w:gridSpan w:val="2"/>
            <w:hideMark/>
          </w:tcPr>
          <w:p w14:paraId="3C339F77" w14:textId="11326767" w:rsidR="00E84814" w:rsidRPr="00832BD8" w:rsidRDefault="00E84814" w:rsidP="00E84814">
            <w:pPr>
              <w:pStyle w:val="Normlnbezmezer"/>
              <w:ind w:left="0"/>
              <w:rPr>
                <w:rFonts w:asciiTheme="minorHAnsi" w:hAnsiTheme="minorHAnsi" w:cstheme="minorHAnsi"/>
                <w:szCs w:val="18"/>
              </w:rPr>
            </w:pPr>
            <w:r w:rsidRPr="00832BD8">
              <w:rPr>
                <w:rFonts w:asciiTheme="minorHAnsi" w:hAnsiTheme="minorHAnsi" w:cstheme="minorHAnsi"/>
                <w:szCs w:val="18"/>
              </w:rPr>
              <w:t>žáci, studenti</w:t>
            </w:r>
          </w:p>
        </w:tc>
        <w:tc>
          <w:tcPr>
            <w:tcW w:w="1134" w:type="dxa"/>
            <w:noWrap/>
            <w:hideMark/>
          </w:tcPr>
          <w:p w14:paraId="237979F0" w14:textId="6BBEB1CE" w:rsidR="00E84814" w:rsidRPr="00832BD8" w:rsidRDefault="00E84814" w:rsidP="00E84814">
            <w:pPr>
              <w:pStyle w:val="Normlnbezmezer"/>
              <w:ind w:left="0"/>
              <w:jc w:val="right"/>
              <w:rPr>
                <w:rFonts w:asciiTheme="minorHAnsi" w:hAnsiTheme="minorHAnsi" w:cstheme="minorHAnsi"/>
                <w:szCs w:val="18"/>
              </w:rPr>
            </w:pPr>
            <w:r w:rsidRPr="00EB24B7">
              <w:t>544</w:t>
            </w:r>
          </w:p>
        </w:tc>
        <w:tc>
          <w:tcPr>
            <w:tcW w:w="851" w:type="dxa"/>
          </w:tcPr>
          <w:p w14:paraId="0647C0A3" w14:textId="6AF1CAA9" w:rsidR="00E84814" w:rsidRPr="00832BD8" w:rsidRDefault="00E84814" w:rsidP="00E84814">
            <w:pPr>
              <w:pStyle w:val="Normlnbezmezer"/>
              <w:ind w:left="0"/>
              <w:jc w:val="right"/>
              <w:rPr>
                <w:rFonts w:asciiTheme="minorHAnsi" w:hAnsiTheme="minorHAnsi" w:cstheme="minorHAnsi"/>
                <w:szCs w:val="18"/>
              </w:rPr>
            </w:pPr>
            <w:r w:rsidRPr="00EB24B7">
              <w:t>281</w:t>
            </w:r>
          </w:p>
        </w:tc>
        <w:tc>
          <w:tcPr>
            <w:tcW w:w="958" w:type="dxa"/>
          </w:tcPr>
          <w:p w14:paraId="09B5D588" w14:textId="54C0C9EB" w:rsidR="00E84814" w:rsidRPr="00832BD8" w:rsidRDefault="00E84814" w:rsidP="00E84814">
            <w:pPr>
              <w:pStyle w:val="Normlnbezmezer"/>
              <w:ind w:left="0"/>
              <w:jc w:val="right"/>
              <w:rPr>
                <w:rFonts w:asciiTheme="minorHAnsi" w:hAnsiTheme="minorHAnsi" w:cstheme="minorHAnsi"/>
                <w:szCs w:val="18"/>
              </w:rPr>
            </w:pPr>
            <w:r w:rsidRPr="00EB24B7">
              <w:t>263</w:t>
            </w:r>
          </w:p>
        </w:tc>
      </w:tr>
      <w:tr w:rsidR="00E84814" w:rsidRPr="00832BD8" w14:paraId="0A06F285" w14:textId="77777777" w:rsidTr="00E84814">
        <w:tc>
          <w:tcPr>
            <w:tcW w:w="4820" w:type="dxa"/>
            <w:gridSpan w:val="3"/>
            <w:hideMark/>
          </w:tcPr>
          <w:p w14:paraId="26980324" w14:textId="77777777" w:rsidR="00E84814" w:rsidRPr="00832BD8" w:rsidRDefault="00E84814" w:rsidP="00E84814">
            <w:pPr>
              <w:pStyle w:val="Normlnbezmezer"/>
              <w:ind w:left="0"/>
              <w:rPr>
                <w:rFonts w:asciiTheme="minorHAnsi" w:hAnsiTheme="minorHAnsi" w:cstheme="minorHAnsi"/>
                <w:szCs w:val="18"/>
              </w:rPr>
            </w:pPr>
            <w:r w:rsidRPr="00832BD8">
              <w:rPr>
                <w:rFonts w:asciiTheme="minorHAnsi" w:hAnsiTheme="minorHAnsi" w:cstheme="minorHAnsi"/>
                <w:szCs w:val="18"/>
              </w:rPr>
              <w:t>Osoby s nezjištěnou ekonomickou aktivitou</w:t>
            </w:r>
          </w:p>
        </w:tc>
        <w:tc>
          <w:tcPr>
            <w:tcW w:w="1134" w:type="dxa"/>
            <w:noWrap/>
            <w:hideMark/>
          </w:tcPr>
          <w:p w14:paraId="30BD38D9" w14:textId="1DF41E2A" w:rsidR="00E84814" w:rsidRPr="00832BD8" w:rsidRDefault="00E84814" w:rsidP="00E84814">
            <w:pPr>
              <w:pStyle w:val="Normlnbezmezer"/>
              <w:ind w:left="0"/>
              <w:jc w:val="right"/>
              <w:rPr>
                <w:rFonts w:asciiTheme="minorHAnsi" w:hAnsiTheme="minorHAnsi" w:cstheme="minorHAnsi"/>
                <w:szCs w:val="18"/>
              </w:rPr>
            </w:pPr>
            <w:r w:rsidRPr="004500FB">
              <w:t>34</w:t>
            </w:r>
          </w:p>
        </w:tc>
        <w:tc>
          <w:tcPr>
            <w:tcW w:w="851" w:type="dxa"/>
          </w:tcPr>
          <w:p w14:paraId="663A9C38" w14:textId="689F77E6" w:rsidR="00E84814" w:rsidRPr="00832BD8" w:rsidRDefault="00E84814" w:rsidP="00E84814">
            <w:pPr>
              <w:pStyle w:val="Normlnbezmezer"/>
              <w:ind w:left="0"/>
              <w:jc w:val="right"/>
              <w:rPr>
                <w:rFonts w:asciiTheme="minorHAnsi" w:hAnsiTheme="minorHAnsi" w:cstheme="minorHAnsi"/>
                <w:szCs w:val="18"/>
              </w:rPr>
            </w:pPr>
            <w:r w:rsidRPr="004500FB">
              <w:t>26</w:t>
            </w:r>
          </w:p>
        </w:tc>
        <w:tc>
          <w:tcPr>
            <w:tcW w:w="958" w:type="dxa"/>
          </w:tcPr>
          <w:p w14:paraId="718803CE" w14:textId="2EBA3E51" w:rsidR="00E84814" w:rsidRPr="00832BD8" w:rsidRDefault="00E84814" w:rsidP="00E84814">
            <w:pPr>
              <w:pStyle w:val="Normlnbezmezer"/>
              <w:ind w:left="0"/>
              <w:jc w:val="right"/>
              <w:rPr>
                <w:rFonts w:asciiTheme="minorHAnsi" w:hAnsiTheme="minorHAnsi" w:cstheme="minorHAnsi"/>
                <w:szCs w:val="18"/>
              </w:rPr>
            </w:pPr>
            <w:r w:rsidRPr="004500FB">
              <w:t>8</w:t>
            </w:r>
          </w:p>
        </w:tc>
      </w:tr>
    </w:tbl>
    <w:p w14:paraId="47929562" w14:textId="573D48E8" w:rsidR="00F20095" w:rsidRPr="006C66C2" w:rsidRDefault="00F20095" w:rsidP="006C7017">
      <w:pPr>
        <w:pStyle w:val="Citt"/>
        <w:jc w:val="left"/>
        <w:rPr>
          <w:highlight w:val="green"/>
        </w:rPr>
      </w:pPr>
      <w:r w:rsidRPr="00832BD8">
        <w:t>(zdroj: ČSÚ, SLDB 20</w:t>
      </w:r>
      <w:r w:rsidR="00E84814">
        <w:t>2</w:t>
      </w:r>
      <w:r w:rsidRPr="00832BD8">
        <w:t>1)</w:t>
      </w:r>
    </w:p>
    <w:p w14:paraId="5D79ABDD" w14:textId="0D92D62B" w:rsidR="00F20095" w:rsidRPr="008708F5" w:rsidRDefault="00F20095" w:rsidP="00F20095">
      <w:r w:rsidRPr="008708F5">
        <w:t xml:space="preserve">Z počtu nezaměstnaných tvoří </w:t>
      </w:r>
      <w:r w:rsidR="007E12B9">
        <w:t>76</w:t>
      </w:r>
      <w:r>
        <w:t xml:space="preserve"> </w:t>
      </w:r>
      <w:r w:rsidRPr="008708F5">
        <w:t xml:space="preserve">% muži a </w:t>
      </w:r>
      <w:r w:rsidR="007E12B9">
        <w:t>24</w:t>
      </w:r>
      <w:r>
        <w:t xml:space="preserve"> </w:t>
      </w:r>
      <w:r w:rsidRPr="008708F5">
        <w:t xml:space="preserve">% ženy. </w:t>
      </w:r>
      <w:r w:rsidR="007E12B9">
        <w:t>82,6</w:t>
      </w:r>
      <w:r>
        <w:t xml:space="preserve"> </w:t>
      </w:r>
      <w:r w:rsidRPr="008708F5">
        <w:t xml:space="preserve">% veškerých zaměstnaných je v zaměstnaneckém poměru, </w:t>
      </w:r>
      <w:r w:rsidR="007E12B9">
        <w:t>cca 1</w:t>
      </w:r>
      <w:r>
        <w:t xml:space="preserve"> </w:t>
      </w:r>
      <w:r w:rsidRPr="008708F5">
        <w:t>% z ekonomicky aktivních tvoří ženy na mateřské.</w:t>
      </w:r>
    </w:p>
    <w:p w14:paraId="1FC32045" w14:textId="77777777" w:rsidR="00F20095" w:rsidRPr="008708F5" w:rsidRDefault="00F20095" w:rsidP="00F20095">
      <w:r w:rsidRPr="008708F5">
        <w:t xml:space="preserve">Vyjíždějící do zaměstnání a škol </w:t>
      </w:r>
    </w:p>
    <w:tbl>
      <w:tblPr>
        <w:tblStyle w:val="Mkatabulky1"/>
        <w:tblW w:w="7655" w:type="dxa"/>
        <w:tblInd w:w="709" w:type="dxa"/>
        <w:tblBorders>
          <w:top w:val="dashSmallGap" w:sz="4" w:space="0" w:color="000000"/>
          <w:left w:val="none" w:sz="0" w:space="0" w:color="auto"/>
          <w:bottom w:val="dashSmallGap" w:sz="4" w:space="0" w:color="000000"/>
          <w:right w:val="none" w:sz="0" w:space="0" w:color="auto"/>
          <w:insideH w:val="dashSmallGap" w:sz="4" w:space="0" w:color="000000"/>
          <w:insideV w:val="none" w:sz="0" w:space="0" w:color="auto"/>
        </w:tblBorders>
        <w:tblLook w:val="04A0" w:firstRow="1" w:lastRow="0" w:firstColumn="1" w:lastColumn="0" w:noHBand="0" w:noVBand="1"/>
      </w:tblPr>
      <w:tblGrid>
        <w:gridCol w:w="958"/>
        <w:gridCol w:w="2959"/>
        <w:gridCol w:w="3738"/>
      </w:tblGrid>
      <w:tr w:rsidR="00F20095" w:rsidRPr="00832BD8" w14:paraId="00CBE7F8" w14:textId="77777777" w:rsidTr="003D4BA5">
        <w:tc>
          <w:tcPr>
            <w:tcW w:w="3917" w:type="dxa"/>
            <w:gridSpan w:val="2"/>
            <w:hideMark/>
          </w:tcPr>
          <w:p w14:paraId="1BB9A886" w14:textId="77777777" w:rsidR="00F20095" w:rsidRPr="00832BD8" w:rsidRDefault="00F20095" w:rsidP="00881DF7">
            <w:pPr>
              <w:pStyle w:val="Normlnbezmezer"/>
              <w:ind w:left="0"/>
              <w:contextualSpacing/>
              <w:rPr>
                <w:b/>
                <w:bCs/>
                <w:szCs w:val="18"/>
              </w:rPr>
            </w:pPr>
            <w:r w:rsidRPr="00832BD8">
              <w:rPr>
                <w:b/>
                <w:szCs w:val="18"/>
              </w:rPr>
              <w:t>Vyjíždějící celkem</w:t>
            </w:r>
          </w:p>
        </w:tc>
        <w:tc>
          <w:tcPr>
            <w:tcW w:w="3738" w:type="dxa"/>
            <w:noWrap/>
            <w:hideMark/>
          </w:tcPr>
          <w:p w14:paraId="3C82CBA9" w14:textId="3CDA68C5" w:rsidR="00F20095" w:rsidRPr="00832BD8" w:rsidRDefault="004D1EF2" w:rsidP="00881DF7">
            <w:pPr>
              <w:pStyle w:val="Normlnbezmezer"/>
              <w:ind w:left="0"/>
              <w:contextualSpacing/>
              <w:jc w:val="right"/>
              <w:rPr>
                <w:b/>
                <w:bCs/>
                <w:szCs w:val="18"/>
              </w:rPr>
            </w:pPr>
            <w:r>
              <w:rPr>
                <w:b/>
                <w:bCs/>
                <w:szCs w:val="18"/>
              </w:rPr>
              <w:t>2 496</w:t>
            </w:r>
          </w:p>
        </w:tc>
      </w:tr>
      <w:tr w:rsidR="00F20095" w:rsidRPr="00832BD8" w14:paraId="742DE8B7" w14:textId="77777777" w:rsidTr="003D4BA5">
        <w:tc>
          <w:tcPr>
            <w:tcW w:w="3917" w:type="dxa"/>
            <w:gridSpan w:val="2"/>
            <w:hideMark/>
          </w:tcPr>
          <w:p w14:paraId="298EB2D8" w14:textId="77777777" w:rsidR="00F20095" w:rsidRPr="00832BD8" w:rsidRDefault="00F20095" w:rsidP="00881DF7">
            <w:pPr>
              <w:pStyle w:val="Normlnbezmezer"/>
              <w:ind w:left="0"/>
              <w:contextualSpacing/>
              <w:rPr>
                <w:szCs w:val="18"/>
              </w:rPr>
            </w:pPr>
            <w:r w:rsidRPr="00832BD8">
              <w:rPr>
                <w:szCs w:val="18"/>
              </w:rPr>
              <w:t>vyjíždějící do zaměstnání</w:t>
            </w:r>
          </w:p>
        </w:tc>
        <w:tc>
          <w:tcPr>
            <w:tcW w:w="3738" w:type="dxa"/>
            <w:noWrap/>
            <w:hideMark/>
          </w:tcPr>
          <w:p w14:paraId="626FC037" w14:textId="39B5FE8E" w:rsidR="00F20095" w:rsidRPr="00832BD8" w:rsidRDefault="004D1EF2" w:rsidP="00881DF7">
            <w:pPr>
              <w:pStyle w:val="Normlnbezmezer"/>
              <w:ind w:left="0"/>
              <w:contextualSpacing/>
              <w:jc w:val="right"/>
              <w:rPr>
                <w:szCs w:val="18"/>
              </w:rPr>
            </w:pPr>
            <w:r>
              <w:rPr>
                <w:szCs w:val="18"/>
              </w:rPr>
              <w:t>1 952</w:t>
            </w:r>
          </w:p>
        </w:tc>
      </w:tr>
      <w:tr w:rsidR="00F20095" w:rsidRPr="00832BD8" w14:paraId="73B7B0BB" w14:textId="77777777" w:rsidTr="003D4BA5">
        <w:tc>
          <w:tcPr>
            <w:tcW w:w="958" w:type="dxa"/>
            <w:vMerge w:val="restart"/>
            <w:hideMark/>
          </w:tcPr>
          <w:p w14:paraId="204597D6" w14:textId="77777777" w:rsidR="00F20095" w:rsidRPr="00832BD8" w:rsidRDefault="00F20095" w:rsidP="00881DF7">
            <w:pPr>
              <w:pStyle w:val="Normlnbezmezer"/>
              <w:ind w:left="0"/>
              <w:contextualSpacing/>
              <w:rPr>
                <w:szCs w:val="18"/>
              </w:rPr>
            </w:pPr>
            <w:r w:rsidRPr="00832BD8">
              <w:rPr>
                <w:szCs w:val="18"/>
              </w:rPr>
              <w:t>v tom</w:t>
            </w:r>
          </w:p>
        </w:tc>
        <w:tc>
          <w:tcPr>
            <w:tcW w:w="2959" w:type="dxa"/>
            <w:hideMark/>
          </w:tcPr>
          <w:p w14:paraId="28DEC130" w14:textId="77777777" w:rsidR="00F20095" w:rsidRPr="00832BD8" w:rsidRDefault="00F20095" w:rsidP="00881DF7">
            <w:pPr>
              <w:pStyle w:val="Normlnbezmezer"/>
              <w:ind w:left="0"/>
              <w:contextualSpacing/>
              <w:rPr>
                <w:szCs w:val="18"/>
              </w:rPr>
            </w:pPr>
            <w:r w:rsidRPr="00832BD8">
              <w:rPr>
                <w:szCs w:val="18"/>
              </w:rPr>
              <w:t>v rámci obce</w:t>
            </w:r>
          </w:p>
        </w:tc>
        <w:tc>
          <w:tcPr>
            <w:tcW w:w="3738" w:type="dxa"/>
            <w:noWrap/>
            <w:hideMark/>
          </w:tcPr>
          <w:p w14:paraId="04A61D1E" w14:textId="3B3E9C42" w:rsidR="00F20095" w:rsidRPr="00832BD8" w:rsidRDefault="004D1EF2" w:rsidP="00881DF7">
            <w:pPr>
              <w:pStyle w:val="Normlnbezmezer"/>
              <w:ind w:left="0"/>
              <w:contextualSpacing/>
              <w:jc w:val="right"/>
              <w:rPr>
                <w:szCs w:val="18"/>
              </w:rPr>
            </w:pPr>
            <w:r>
              <w:rPr>
                <w:szCs w:val="18"/>
              </w:rPr>
              <w:t>733</w:t>
            </w:r>
          </w:p>
        </w:tc>
      </w:tr>
      <w:tr w:rsidR="00F20095" w:rsidRPr="00832BD8" w14:paraId="748071AC" w14:textId="77777777" w:rsidTr="003D4BA5">
        <w:tc>
          <w:tcPr>
            <w:tcW w:w="958" w:type="dxa"/>
            <w:vMerge/>
            <w:hideMark/>
          </w:tcPr>
          <w:p w14:paraId="6903F5E9" w14:textId="77777777" w:rsidR="00F20095" w:rsidRPr="00832BD8" w:rsidRDefault="00F20095" w:rsidP="00881DF7">
            <w:pPr>
              <w:pStyle w:val="Normlnbezmezer"/>
              <w:ind w:left="0"/>
              <w:contextualSpacing/>
              <w:rPr>
                <w:szCs w:val="18"/>
              </w:rPr>
            </w:pPr>
          </w:p>
        </w:tc>
        <w:tc>
          <w:tcPr>
            <w:tcW w:w="2959" w:type="dxa"/>
            <w:hideMark/>
          </w:tcPr>
          <w:p w14:paraId="57FDCEC6" w14:textId="77777777" w:rsidR="00F20095" w:rsidRPr="00832BD8" w:rsidRDefault="00F20095" w:rsidP="00881DF7">
            <w:pPr>
              <w:pStyle w:val="Normlnbezmezer"/>
              <w:ind w:left="0"/>
              <w:contextualSpacing/>
              <w:rPr>
                <w:szCs w:val="18"/>
              </w:rPr>
            </w:pPr>
            <w:r w:rsidRPr="00832BD8">
              <w:rPr>
                <w:szCs w:val="18"/>
              </w:rPr>
              <w:t>do jiné obce okresu</w:t>
            </w:r>
          </w:p>
        </w:tc>
        <w:tc>
          <w:tcPr>
            <w:tcW w:w="3738" w:type="dxa"/>
            <w:noWrap/>
            <w:hideMark/>
          </w:tcPr>
          <w:p w14:paraId="3EF267AF" w14:textId="3EC3FA40" w:rsidR="00F20095" w:rsidRPr="00832BD8" w:rsidRDefault="004D1EF2" w:rsidP="00881DF7">
            <w:pPr>
              <w:pStyle w:val="Normlnbezmezer"/>
              <w:ind w:left="0"/>
              <w:contextualSpacing/>
              <w:jc w:val="right"/>
              <w:rPr>
                <w:szCs w:val="18"/>
              </w:rPr>
            </w:pPr>
            <w:r>
              <w:rPr>
                <w:szCs w:val="18"/>
              </w:rPr>
              <w:t>913</w:t>
            </w:r>
          </w:p>
        </w:tc>
      </w:tr>
      <w:tr w:rsidR="00F20095" w:rsidRPr="00832BD8" w14:paraId="7B8C0460" w14:textId="77777777" w:rsidTr="003D4BA5">
        <w:tc>
          <w:tcPr>
            <w:tcW w:w="958" w:type="dxa"/>
            <w:vMerge/>
            <w:hideMark/>
          </w:tcPr>
          <w:p w14:paraId="7E95D029" w14:textId="77777777" w:rsidR="00F20095" w:rsidRPr="00832BD8" w:rsidRDefault="00F20095" w:rsidP="00881DF7">
            <w:pPr>
              <w:pStyle w:val="Normlnbezmezer"/>
              <w:ind w:left="0"/>
              <w:contextualSpacing/>
              <w:rPr>
                <w:szCs w:val="18"/>
              </w:rPr>
            </w:pPr>
          </w:p>
        </w:tc>
        <w:tc>
          <w:tcPr>
            <w:tcW w:w="2959" w:type="dxa"/>
            <w:hideMark/>
          </w:tcPr>
          <w:p w14:paraId="545FBEB0" w14:textId="77777777" w:rsidR="00F20095" w:rsidRPr="00832BD8" w:rsidRDefault="00F20095" w:rsidP="00881DF7">
            <w:pPr>
              <w:pStyle w:val="Normlnbezmezer"/>
              <w:ind w:left="0"/>
              <w:contextualSpacing/>
              <w:rPr>
                <w:szCs w:val="18"/>
              </w:rPr>
            </w:pPr>
            <w:r w:rsidRPr="00832BD8">
              <w:rPr>
                <w:szCs w:val="18"/>
              </w:rPr>
              <w:t>do jiného okresu kraje</w:t>
            </w:r>
          </w:p>
        </w:tc>
        <w:tc>
          <w:tcPr>
            <w:tcW w:w="3738" w:type="dxa"/>
            <w:noWrap/>
            <w:hideMark/>
          </w:tcPr>
          <w:p w14:paraId="78234146" w14:textId="311D7506" w:rsidR="00F20095" w:rsidRPr="00832BD8" w:rsidRDefault="004D1EF2" w:rsidP="00881DF7">
            <w:pPr>
              <w:pStyle w:val="Normlnbezmezer"/>
              <w:ind w:left="0"/>
              <w:contextualSpacing/>
              <w:jc w:val="right"/>
              <w:rPr>
                <w:szCs w:val="18"/>
              </w:rPr>
            </w:pPr>
            <w:r>
              <w:rPr>
                <w:szCs w:val="18"/>
              </w:rPr>
              <w:t>46</w:t>
            </w:r>
          </w:p>
        </w:tc>
      </w:tr>
      <w:tr w:rsidR="00F20095" w:rsidRPr="00832BD8" w14:paraId="75F268A8" w14:textId="77777777" w:rsidTr="003D4BA5">
        <w:tc>
          <w:tcPr>
            <w:tcW w:w="958" w:type="dxa"/>
            <w:vMerge/>
            <w:hideMark/>
          </w:tcPr>
          <w:p w14:paraId="4590D115" w14:textId="77777777" w:rsidR="00F20095" w:rsidRPr="00832BD8" w:rsidRDefault="00F20095" w:rsidP="00881DF7">
            <w:pPr>
              <w:pStyle w:val="Normlnbezmezer"/>
              <w:ind w:left="0"/>
              <w:contextualSpacing/>
              <w:rPr>
                <w:szCs w:val="18"/>
              </w:rPr>
            </w:pPr>
          </w:p>
        </w:tc>
        <w:tc>
          <w:tcPr>
            <w:tcW w:w="2959" w:type="dxa"/>
            <w:hideMark/>
          </w:tcPr>
          <w:p w14:paraId="5FB1F65B" w14:textId="77777777" w:rsidR="00F20095" w:rsidRPr="00832BD8" w:rsidRDefault="00F20095" w:rsidP="00881DF7">
            <w:pPr>
              <w:pStyle w:val="Normlnbezmezer"/>
              <w:ind w:left="0"/>
              <w:contextualSpacing/>
              <w:rPr>
                <w:szCs w:val="18"/>
              </w:rPr>
            </w:pPr>
            <w:r w:rsidRPr="00832BD8">
              <w:rPr>
                <w:szCs w:val="18"/>
              </w:rPr>
              <w:t>do jiného kraje</w:t>
            </w:r>
          </w:p>
        </w:tc>
        <w:tc>
          <w:tcPr>
            <w:tcW w:w="3738" w:type="dxa"/>
            <w:noWrap/>
            <w:hideMark/>
          </w:tcPr>
          <w:p w14:paraId="4944F832" w14:textId="5468E5A5" w:rsidR="00F20095" w:rsidRPr="00832BD8" w:rsidRDefault="004D1EF2" w:rsidP="00881DF7">
            <w:pPr>
              <w:pStyle w:val="Normlnbezmezer"/>
              <w:ind w:left="0"/>
              <w:contextualSpacing/>
              <w:jc w:val="right"/>
              <w:rPr>
                <w:szCs w:val="18"/>
              </w:rPr>
            </w:pPr>
            <w:r>
              <w:rPr>
                <w:szCs w:val="18"/>
              </w:rPr>
              <w:t>58</w:t>
            </w:r>
          </w:p>
        </w:tc>
      </w:tr>
      <w:tr w:rsidR="00F20095" w:rsidRPr="00832BD8" w14:paraId="0562943A" w14:textId="77777777" w:rsidTr="003D4BA5">
        <w:tc>
          <w:tcPr>
            <w:tcW w:w="958" w:type="dxa"/>
            <w:vMerge/>
            <w:hideMark/>
          </w:tcPr>
          <w:p w14:paraId="6FA5F4B5" w14:textId="77777777" w:rsidR="00F20095" w:rsidRPr="00832BD8" w:rsidRDefault="00F20095" w:rsidP="00881DF7">
            <w:pPr>
              <w:pStyle w:val="Normlnbezmezer"/>
              <w:ind w:left="0"/>
              <w:contextualSpacing/>
              <w:rPr>
                <w:szCs w:val="18"/>
              </w:rPr>
            </w:pPr>
          </w:p>
        </w:tc>
        <w:tc>
          <w:tcPr>
            <w:tcW w:w="2959" w:type="dxa"/>
            <w:hideMark/>
          </w:tcPr>
          <w:p w14:paraId="4CA9B160" w14:textId="77777777" w:rsidR="00F20095" w:rsidRPr="00832BD8" w:rsidRDefault="00F20095" w:rsidP="00881DF7">
            <w:pPr>
              <w:pStyle w:val="Normlnbezmezer"/>
              <w:ind w:left="0"/>
              <w:contextualSpacing/>
              <w:rPr>
                <w:szCs w:val="18"/>
              </w:rPr>
            </w:pPr>
            <w:r w:rsidRPr="00832BD8">
              <w:rPr>
                <w:szCs w:val="18"/>
              </w:rPr>
              <w:t>do zahraničí</w:t>
            </w:r>
          </w:p>
        </w:tc>
        <w:tc>
          <w:tcPr>
            <w:tcW w:w="3738" w:type="dxa"/>
            <w:noWrap/>
            <w:hideMark/>
          </w:tcPr>
          <w:p w14:paraId="25067FD3" w14:textId="2065E36E" w:rsidR="00F20095" w:rsidRPr="00832BD8" w:rsidRDefault="004D1EF2" w:rsidP="00881DF7">
            <w:pPr>
              <w:pStyle w:val="Normlnbezmezer"/>
              <w:ind w:left="0"/>
              <w:contextualSpacing/>
              <w:jc w:val="right"/>
              <w:rPr>
                <w:szCs w:val="18"/>
              </w:rPr>
            </w:pPr>
            <w:r>
              <w:rPr>
                <w:szCs w:val="18"/>
              </w:rPr>
              <w:t>7</w:t>
            </w:r>
          </w:p>
        </w:tc>
      </w:tr>
      <w:tr w:rsidR="00F20095" w:rsidRPr="00832BD8" w14:paraId="4B845164" w14:textId="77777777" w:rsidTr="003D4BA5">
        <w:tc>
          <w:tcPr>
            <w:tcW w:w="3917" w:type="dxa"/>
            <w:gridSpan w:val="2"/>
            <w:hideMark/>
          </w:tcPr>
          <w:p w14:paraId="31DD2EFE" w14:textId="77777777" w:rsidR="00F20095" w:rsidRPr="00832BD8" w:rsidRDefault="00F20095" w:rsidP="00881DF7">
            <w:pPr>
              <w:pStyle w:val="Normlnbezmezer"/>
              <w:ind w:left="0"/>
              <w:contextualSpacing/>
              <w:rPr>
                <w:szCs w:val="18"/>
              </w:rPr>
            </w:pPr>
            <w:r w:rsidRPr="00832BD8">
              <w:rPr>
                <w:szCs w:val="18"/>
              </w:rPr>
              <w:t>vyjíždějící do škol</w:t>
            </w:r>
          </w:p>
        </w:tc>
        <w:tc>
          <w:tcPr>
            <w:tcW w:w="3738" w:type="dxa"/>
            <w:noWrap/>
            <w:hideMark/>
          </w:tcPr>
          <w:p w14:paraId="0D60896A" w14:textId="51EF6FF9" w:rsidR="00F20095" w:rsidRPr="00832BD8" w:rsidRDefault="004D1EF2" w:rsidP="00881DF7">
            <w:pPr>
              <w:pStyle w:val="Normlnbezmezer"/>
              <w:ind w:left="0"/>
              <w:contextualSpacing/>
              <w:jc w:val="right"/>
              <w:rPr>
                <w:szCs w:val="18"/>
              </w:rPr>
            </w:pPr>
            <w:r>
              <w:rPr>
                <w:szCs w:val="18"/>
              </w:rPr>
              <w:t>544</w:t>
            </w:r>
          </w:p>
        </w:tc>
      </w:tr>
      <w:tr w:rsidR="00F20095" w:rsidRPr="00832BD8" w14:paraId="35124B34" w14:textId="77777777" w:rsidTr="003D4BA5">
        <w:tc>
          <w:tcPr>
            <w:tcW w:w="958" w:type="dxa"/>
            <w:vMerge w:val="restart"/>
            <w:hideMark/>
          </w:tcPr>
          <w:p w14:paraId="2E3357C6" w14:textId="77777777" w:rsidR="00F20095" w:rsidRPr="00832BD8" w:rsidRDefault="00F20095" w:rsidP="00881DF7">
            <w:pPr>
              <w:pStyle w:val="Normlnbezmezer"/>
              <w:ind w:left="0"/>
              <w:contextualSpacing/>
              <w:rPr>
                <w:szCs w:val="18"/>
              </w:rPr>
            </w:pPr>
            <w:r w:rsidRPr="00832BD8">
              <w:rPr>
                <w:szCs w:val="18"/>
              </w:rPr>
              <w:t>v tom</w:t>
            </w:r>
          </w:p>
        </w:tc>
        <w:tc>
          <w:tcPr>
            <w:tcW w:w="2959" w:type="dxa"/>
            <w:hideMark/>
          </w:tcPr>
          <w:p w14:paraId="02BB16BB" w14:textId="77777777" w:rsidR="00F20095" w:rsidRPr="00832BD8" w:rsidRDefault="00F20095" w:rsidP="00881DF7">
            <w:pPr>
              <w:pStyle w:val="Normlnbezmezer"/>
              <w:ind w:left="0"/>
              <w:contextualSpacing/>
              <w:rPr>
                <w:szCs w:val="18"/>
              </w:rPr>
            </w:pPr>
            <w:r w:rsidRPr="00832BD8">
              <w:rPr>
                <w:szCs w:val="18"/>
              </w:rPr>
              <w:t>v rámci obce</w:t>
            </w:r>
          </w:p>
        </w:tc>
        <w:tc>
          <w:tcPr>
            <w:tcW w:w="3738" w:type="dxa"/>
            <w:noWrap/>
            <w:hideMark/>
          </w:tcPr>
          <w:p w14:paraId="5E63C891" w14:textId="5724E191" w:rsidR="00F20095" w:rsidRPr="00832BD8" w:rsidRDefault="004D1EF2" w:rsidP="00881DF7">
            <w:pPr>
              <w:pStyle w:val="Normlnbezmezer"/>
              <w:ind w:left="0"/>
              <w:contextualSpacing/>
              <w:jc w:val="right"/>
              <w:rPr>
                <w:szCs w:val="18"/>
              </w:rPr>
            </w:pPr>
            <w:r>
              <w:rPr>
                <w:szCs w:val="18"/>
              </w:rPr>
              <w:t>237</w:t>
            </w:r>
          </w:p>
        </w:tc>
      </w:tr>
      <w:tr w:rsidR="00F20095" w:rsidRPr="00832BD8" w14:paraId="04B9E50A" w14:textId="77777777" w:rsidTr="003D4BA5">
        <w:tc>
          <w:tcPr>
            <w:tcW w:w="958" w:type="dxa"/>
            <w:vMerge/>
            <w:hideMark/>
          </w:tcPr>
          <w:p w14:paraId="19DBE348" w14:textId="77777777" w:rsidR="00F20095" w:rsidRPr="00832BD8" w:rsidRDefault="00F20095" w:rsidP="00881DF7">
            <w:pPr>
              <w:pStyle w:val="Normlnbezmezer"/>
              <w:ind w:left="0"/>
              <w:contextualSpacing/>
              <w:rPr>
                <w:b/>
                <w:szCs w:val="18"/>
              </w:rPr>
            </w:pPr>
          </w:p>
        </w:tc>
        <w:tc>
          <w:tcPr>
            <w:tcW w:w="2959" w:type="dxa"/>
            <w:hideMark/>
          </w:tcPr>
          <w:p w14:paraId="23AB0F62" w14:textId="77777777" w:rsidR="00F20095" w:rsidRPr="00832BD8" w:rsidRDefault="00F20095" w:rsidP="00881DF7">
            <w:pPr>
              <w:pStyle w:val="Normlnbezmezer"/>
              <w:ind w:left="0"/>
              <w:contextualSpacing/>
              <w:rPr>
                <w:szCs w:val="18"/>
              </w:rPr>
            </w:pPr>
            <w:r w:rsidRPr="00832BD8">
              <w:rPr>
                <w:szCs w:val="18"/>
              </w:rPr>
              <w:t>mimo obec</w:t>
            </w:r>
          </w:p>
        </w:tc>
        <w:tc>
          <w:tcPr>
            <w:tcW w:w="3738" w:type="dxa"/>
            <w:noWrap/>
            <w:hideMark/>
          </w:tcPr>
          <w:p w14:paraId="7479EE5A" w14:textId="560F1E2F" w:rsidR="00F20095" w:rsidRPr="00832BD8" w:rsidRDefault="004D1EF2" w:rsidP="00881DF7">
            <w:pPr>
              <w:pStyle w:val="Normlnbezmezer"/>
              <w:ind w:left="0"/>
              <w:contextualSpacing/>
              <w:jc w:val="right"/>
              <w:rPr>
                <w:szCs w:val="18"/>
              </w:rPr>
            </w:pPr>
            <w:r>
              <w:rPr>
                <w:szCs w:val="18"/>
              </w:rPr>
              <w:t>246</w:t>
            </w:r>
          </w:p>
        </w:tc>
      </w:tr>
    </w:tbl>
    <w:p w14:paraId="6A946B4D" w14:textId="52FC7DAE" w:rsidR="00F20095" w:rsidRPr="006C66C2" w:rsidRDefault="00F20095" w:rsidP="006C7017">
      <w:pPr>
        <w:pStyle w:val="Citt"/>
        <w:jc w:val="left"/>
      </w:pPr>
      <w:r w:rsidRPr="008708F5">
        <w:t>(zdroj: ČSÚ, SLDB 20</w:t>
      </w:r>
      <w:r w:rsidR="004D1EF2">
        <w:t>2</w:t>
      </w:r>
      <w:r w:rsidRPr="008708F5">
        <w:t>1)</w:t>
      </w:r>
    </w:p>
    <w:p w14:paraId="5AE54B6D" w14:textId="52FA7EAC" w:rsidR="00F20095" w:rsidRPr="00346A9D" w:rsidRDefault="00F20095" w:rsidP="00F20095">
      <w:r>
        <w:t xml:space="preserve">Vyjížďky do zaměstnání tvoří </w:t>
      </w:r>
      <w:r w:rsidR="004D1EF2">
        <w:t>78</w:t>
      </w:r>
      <w:r>
        <w:t xml:space="preserve">,2 % všech vyjížděk. </w:t>
      </w:r>
      <w:r w:rsidRPr="004C256C">
        <w:t xml:space="preserve">Hlavní podíl vyjíždějících do zaměstnání tvoří obyvatelé vyjíždějící do </w:t>
      </w:r>
      <w:r w:rsidR="004D1EF2">
        <w:t>jiné obce v okresu</w:t>
      </w:r>
      <w:r>
        <w:t xml:space="preserve"> (</w:t>
      </w:r>
      <w:r w:rsidR="004D1EF2">
        <w:t>46,7</w:t>
      </w:r>
      <w:r>
        <w:t xml:space="preserve"> %)</w:t>
      </w:r>
      <w:r w:rsidR="004D1EF2">
        <w:t>, převážně do Olomouce</w:t>
      </w:r>
      <w:r>
        <w:t xml:space="preserve">. </w:t>
      </w:r>
      <w:r w:rsidR="004D1EF2">
        <w:t>Vyjížďky do školy v rámci obce a mimo obce jsou vyrovnané, uvedené je dáno přednostně blízkostí Olomouce</w:t>
      </w:r>
      <w:r w:rsidRPr="00346A9D">
        <w:t>.</w:t>
      </w:r>
      <w:r w:rsidR="00E8749E">
        <w:t xml:space="preserve"> Kapacita základní školy je vzhledem k rozvoji obce je dostatečná.</w:t>
      </w:r>
    </w:p>
    <w:p w14:paraId="298B885D" w14:textId="5E9BD5D1" w:rsidR="00F20095" w:rsidRDefault="00F20095" w:rsidP="00F20095">
      <w:r w:rsidRPr="00346A9D">
        <w:t>Podnikatelské subjekty podle převažující činnosti k 31.12.202</w:t>
      </w:r>
      <w:r w:rsidR="002F5712">
        <w:t>4</w:t>
      </w:r>
      <w:r w:rsidRPr="00346A9D">
        <w:t xml:space="preserve"> </w:t>
      </w:r>
    </w:p>
    <w:tbl>
      <w:tblPr>
        <w:tblW w:w="7727" w:type="dxa"/>
        <w:tblInd w:w="699" w:type="dxa"/>
        <w:tblBorders>
          <w:top w:val="dashSmallGap" w:sz="4" w:space="0" w:color="auto"/>
          <w:bottom w:val="dashSmallGap" w:sz="4" w:space="0" w:color="auto"/>
          <w:insideH w:val="dashSmallGap" w:sz="4" w:space="0" w:color="auto"/>
        </w:tblBorders>
        <w:tblCellMar>
          <w:left w:w="70" w:type="dxa"/>
          <w:right w:w="70" w:type="dxa"/>
        </w:tblCellMar>
        <w:tblLook w:val="04A0" w:firstRow="1" w:lastRow="0" w:firstColumn="1" w:lastColumn="0" w:noHBand="0" w:noVBand="1"/>
      </w:tblPr>
      <w:tblGrid>
        <w:gridCol w:w="3827"/>
        <w:gridCol w:w="1520"/>
        <w:gridCol w:w="1420"/>
        <w:gridCol w:w="960"/>
      </w:tblGrid>
      <w:tr w:rsidR="007D299A" w:rsidRPr="007D299A" w14:paraId="7D97CBFB" w14:textId="77777777" w:rsidTr="00B45213">
        <w:trPr>
          <w:trHeight w:val="750"/>
          <w:tblHeader/>
        </w:trPr>
        <w:tc>
          <w:tcPr>
            <w:tcW w:w="3827" w:type="dxa"/>
            <w:vAlign w:val="center"/>
            <w:hideMark/>
          </w:tcPr>
          <w:p w14:paraId="35EB5FFA" w14:textId="77777777" w:rsidR="007D299A" w:rsidRPr="007D299A" w:rsidRDefault="007D299A" w:rsidP="007D299A">
            <w:pPr>
              <w:spacing w:before="0" w:after="0"/>
              <w:ind w:left="0"/>
              <w:contextualSpacing/>
              <w:jc w:val="right"/>
              <w:rPr>
                <w:rFonts w:asciiTheme="minorHAnsi" w:hAnsiTheme="minorHAnsi" w:cstheme="minorHAnsi"/>
                <w:b/>
                <w:bCs/>
                <w:color w:val="000000"/>
                <w:szCs w:val="18"/>
              </w:rPr>
            </w:pPr>
          </w:p>
        </w:tc>
        <w:tc>
          <w:tcPr>
            <w:tcW w:w="1520" w:type="dxa"/>
            <w:vAlign w:val="center"/>
            <w:hideMark/>
          </w:tcPr>
          <w:p w14:paraId="21CDBE3B" w14:textId="77777777" w:rsidR="007D299A" w:rsidRPr="007D299A" w:rsidRDefault="007D299A" w:rsidP="007D299A">
            <w:pPr>
              <w:spacing w:before="0" w:after="0"/>
              <w:ind w:left="0"/>
              <w:contextualSpacing/>
              <w:jc w:val="right"/>
              <w:rPr>
                <w:rFonts w:asciiTheme="minorHAnsi" w:hAnsiTheme="minorHAnsi" w:cstheme="minorHAnsi"/>
                <w:b/>
                <w:bCs/>
                <w:color w:val="000000"/>
                <w:szCs w:val="18"/>
              </w:rPr>
            </w:pPr>
            <w:r w:rsidRPr="007D299A">
              <w:rPr>
                <w:rFonts w:asciiTheme="minorHAnsi" w:hAnsiTheme="minorHAnsi" w:cstheme="minorHAnsi"/>
                <w:b/>
                <w:bCs/>
                <w:color w:val="000000"/>
                <w:szCs w:val="18"/>
              </w:rPr>
              <w:t xml:space="preserve">Registrované </w:t>
            </w:r>
            <w:r w:rsidRPr="007D299A">
              <w:rPr>
                <w:rFonts w:asciiTheme="minorHAnsi" w:hAnsiTheme="minorHAnsi" w:cstheme="minorHAnsi"/>
                <w:b/>
                <w:bCs/>
                <w:color w:val="000000"/>
                <w:szCs w:val="18"/>
              </w:rPr>
              <w:br/>
              <w:t>podniky</w:t>
            </w:r>
          </w:p>
        </w:tc>
        <w:tc>
          <w:tcPr>
            <w:tcW w:w="1420" w:type="dxa"/>
            <w:vAlign w:val="center"/>
            <w:hideMark/>
          </w:tcPr>
          <w:p w14:paraId="6D07B10D" w14:textId="77777777" w:rsidR="007D299A" w:rsidRPr="007D299A" w:rsidRDefault="007D299A" w:rsidP="007D299A">
            <w:pPr>
              <w:spacing w:before="0" w:after="0"/>
              <w:ind w:left="0"/>
              <w:contextualSpacing/>
              <w:jc w:val="right"/>
              <w:rPr>
                <w:rFonts w:asciiTheme="minorHAnsi" w:hAnsiTheme="minorHAnsi" w:cstheme="minorHAnsi"/>
                <w:b/>
                <w:bCs/>
                <w:color w:val="000000"/>
                <w:szCs w:val="18"/>
              </w:rPr>
            </w:pPr>
            <w:r w:rsidRPr="007D299A">
              <w:rPr>
                <w:rFonts w:asciiTheme="minorHAnsi" w:hAnsiTheme="minorHAnsi" w:cstheme="minorHAnsi"/>
                <w:b/>
                <w:bCs/>
                <w:color w:val="000000"/>
                <w:szCs w:val="18"/>
              </w:rPr>
              <w:t xml:space="preserve">Podniky se </w:t>
            </w:r>
            <w:r w:rsidRPr="007D299A">
              <w:rPr>
                <w:rFonts w:asciiTheme="minorHAnsi" w:hAnsiTheme="minorHAnsi" w:cstheme="minorHAnsi"/>
                <w:b/>
                <w:bCs/>
                <w:color w:val="000000"/>
                <w:szCs w:val="18"/>
              </w:rPr>
              <w:br/>
              <w:t>zjištěnou aktivitou</w:t>
            </w:r>
          </w:p>
        </w:tc>
        <w:tc>
          <w:tcPr>
            <w:tcW w:w="960" w:type="dxa"/>
            <w:vAlign w:val="center"/>
            <w:hideMark/>
          </w:tcPr>
          <w:p w14:paraId="5B2034D6" w14:textId="77777777" w:rsidR="007D299A" w:rsidRPr="007D299A" w:rsidRDefault="007D299A" w:rsidP="007D299A">
            <w:pPr>
              <w:spacing w:before="0" w:after="0"/>
              <w:ind w:left="0"/>
              <w:contextualSpacing/>
              <w:jc w:val="right"/>
              <w:rPr>
                <w:rFonts w:asciiTheme="minorHAnsi" w:hAnsiTheme="minorHAnsi" w:cstheme="minorHAnsi"/>
                <w:b/>
                <w:bCs/>
                <w:color w:val="000000"/>
                <w:szCs w:val="18"/>
              </w:rPr>
            </w:pPr>
            <w:r w:rsidRPr="007D299A">
              <w:rPr>
                <w:rFonts w:asciiTheme="minorHAnsi" w:hAnsiTheme="minorHAnsi" w:cstheme="minorHAnsi"/>
                <w:b/>
                <w:bCs/>
                <w:color w:val="000000"/>
                <w:szCs w:val="18"/>
              </w:rPr>
              <w:t>Podíl</w:t>
            </w:r>
          </w:p>
        </w:tc>
      </w:tr>
      <w:tr w:rsidR="007D299A" w:rsidRPr="007D299A" w14:paraId="7F0AA2D7" w14:textId="77777777" w:rsidTr="00EF28BF">
        <w:trPr>
          <w:trHeight w:val="260"/>
        </w:trPr>
        <w:tc>
          <w:tcPr>
            <w:tcW w:w="3827" w:type="dxa"/>
            <w:vAlign w:val="center"/>
            <w:hideMark/>
          </w:tcPr>
          <w:p w14:paraId="43795F02" w14:textId="77777777" w:rsidR="007D299A" w:rsidRPr="007D299A" w:rsidRDefault="007D299A" w:rsidP="00EF28BF">
            <w:pPr>
              <w:spacing w:before="0" w:after="0"/>
              <w:ind w:left="0"/>
              <w:contextualSpacing/>
              <w:jc w:val="left"/>
              <w:rPr>
                <w:rFonts w:asciiTheme="minorHAnsi" w:hAnsiTheme="minorHAnsi" w:cstheme="minorHAnsi"/>
                <w:b/>
                <w:bCs/>
                <w:szCs w:val="18"/>
              </w:rPr>
            </w:pPr>
            <w:r w:rsidRPr="007D299A">
              <w:rPr>
                <w:rFonts w:asciiTheme="minorHAnsi" w:hAnsiTheme="minorHAnsi" w:cstheme="minorHAnsi"/>
                <w:b/>
                <w:bCs/>
                <w:szCs w:val="18"/>
              </w:rPr>
              <w:t>Celkem</w:t>
            </w:r>
          </w:p>
        </w:tc>
        <w:tc>
          <w:tcPr>
            <w:tcW w:w="1520" w:type="dxa"/>
            <w:vAlign w:val="center"/>
            <w:hideMark/>
          </w:tcPr>
          <w:p w14:paraId="223EAF43" w14:textId="77777777" w:rsidR="007D299A" w:rsidRPr="007D299A" w:rsidRDefault="007D299A" w:rsidP="00EF28BF">
            <w:pPr>
              <w:spacing w:before="0" w:after="0"/>
              <w:ind w:left="0"/>
              <w:contextualSpacing/>
              <w:jc w:val="right"/>
              <w:rPr>
                <w:rFonts w:asciiTheme="minorHAnsi" w:hAnsiTheme="minorHAnsi" w:cstheme="minorHAnsi"/>
                <w:color w:val="000000"/>
                <w:szCs w:val="18"/>
              </w:rPr>
            </w:pPr>
            <w:r w:rsidRPr="007D299A">
              <w:rPr>
                <w:rFonts w:asciiTheme="minorHAnsi" w:hAnsiTheme="minorHAnsi" w:cstheme="minorHAnsi"/>
                <w:color w:val="000000"/>
                <w:szCs w:val="18"/>
              </w:rPr>
              <w:t>765</w:t>
            </w:r>
          </w:p>
        </w:tc>
        <w:tc>
          <w:tcPr>
            <w:tcW w:w="1420" w:type="dxa"/>
            <w:vAlign w:val="center"/>
            <w:hideMark/>
          </w:tcPr>
          <w:p w14:paraId="59D66785" w14:textId="77777777" w:rsidR="007D299A" w:rsidRPr="007D299A" w:rsidRDefault="007D299A" w:rsidP="00EF28BF">
            <w:pPr>
              <w:spacing w:before="0" w:after="0"/>
              <w:ind w:left="0"/>
              <w:contextualSpacing/>
              <w:jc w:val="right"/>
              <w:rPr>
                <w:rFonts w:asciiTheme="minorHAnsi" w:hAnsiTheme="minorHAnsi" w:cstheme="minorHAnsi"/>
                <w:color w:val="000000"/>
                <w:szCs w:val="18"/>
              </w:rPr>
            </w:pPr>
            <w:r w:rsidRPr="007D299A">
              <w:rPr>
                <w:rFonts w:asciiTheme="minorHAnsi" w:hAnsiTheme="minorHAnsi" w:cstheme="minorHAnsi"/>
                <w:color w:val="000000"/>
                <w:szCs w:val="18"/>
              </w:rPr>
              <w:t>358</w:t>
            </w:r>
          </w:p>
        </w:tc>
        <w:tc>
          <w:tcPr>
            <w:tcW w:w="960" w:type="dxa"/>
            <w:noWrap/>
            <w:vAlign w:val="center"/>
            <w:hideMark/>
          </w:tcPr>
          <w:p w14:paraId="114E2C6A" w14:textId="77777777" w:rsidR="007D299A" w:rsidRPr="007D299A" w:rsidRDefault="007D299A" w:rsidP="00EF28BF">
            <w:pPr>
              <w:spacing w:before="0" w:after="0"/>
              <w:ind w:left="0"/>
              <w:contextualSpacing/>
              <w:jc w:val="right"/>
              <w:rPr>
                <w:rFonts w:asciiTheme="minorHAnsi" w:hAnsiTheme="minorHAnsi" w:cstheme="minorHAnsi"/>
                <w:color w:val="000000"/>
                <w:szCs w:val="18"/>
              </w:rPr>
            </w:pPr>
            <w:r w:rsidRPr="007D299A">
              <w:rPr>
                <w:rFonts w:asciiTheme="minorHAnsi" w:hAnsiTheme="minorHAnsi" w:cstheme="minorHAnsi"/>
                <w:color w:val="000000"/>
                <w:szCs w:val="18"/>
              </w:rPr>
              <w:t>100%</w:t>
            </w:r>
          </w:p>
        </w:tc>
      </w:tr>
      <w:tr w:rsidR="007D299A" w:rsidRPr="007D299A" w14:paraId="17CF4975" w14:textId="77777777" w:rsidTr="00EF28BF">
        <w:trPr>
          <w:trHeight w:val="250"/>
        </w:trPr>
        <w:tc>
          <w:tcPr>
            <w:tcW w:w="3827" w:type="dxa"/>
            <w:vAlign w:val="center"/>
            <w:hideMark/>
          </w:tcPr>
          <w:p w14:paraId="5616051F" w14:textId="77777777" w:rsidR="007D299A" w:rsidRPr="007D299A" w:rsidRDefault="007D299A" w:rsidP="00EF28BF">
            <w:pPr>
              <w:spacing w:before="0" w:after="0"/>
              <w:ind w:left="0"/>
              <w:contextualSpacing/>
              <w:jc w:val="left"/>
              <w:rPr>
                <w:rFonts w:asciiTheme="minorHAnsi" w:hAnsiTheme="minorHAnsi" w:cstheme="minorHAnsi"/>
                <w:color w:val="000000"/>
                <w:szCs w:val="18"/>
              </w:rPr>
            </w:pPr>
            <w:r w:rsidRPr="007D299A">
              <w:rPr>
                <w:rFonts w:asciiTheme="minorHAnsi" w:hAnsiTheme="minorHAnsi" w:cstheme="minorHAnsi"/>
                <w:color w:val="000000"/>
                <w:szCs w:val="18"/>
              </w:rPr>
              <w:t>A Zemědělství, lesnictví, rybářství</w:t>
            </w:r>
          </w:p>
        </w:tc>
        <w:tc>
          <w:tcPr>
            <w:tcW w:w="1520" w:type="dxa"/>
            <w:vAlign w:val="center"/>
            <w:hideMark/>
          </w:tcPr>
          <w:p w14:paraId="25CF4936" w14:textId="77777777" w:rsidR="007D299A" w:rsidRPr="007D299A" w:rsidRDefault="007D299A" w:rsidP="00EF28BF">
            <w:pPr>
              <w:spacing w:before="0" w:after="0"/>
              <w:ind w:left="0"/>
              <w:contextualSpacing/>
              <w:jc w:val="right"/>
              <w:rPr>
                <w:rFonts w:asciiTheme="minorHAnsi" w:hAnsiTheme="minorHAnsi" w:cstheme="minorHAnsi"/>
                <w:color w:val="000000"/>
                <w:szCs w:val="18"/>
              </w:rPr>
            </w:pPr>
            <w:r w:rsidRPr="007D299A">
              <w:rPr>
                <w:rFonts w:asciiTheme="minorHAnsi" w:hAnsiTheme="minorHAnsi" w:cstheme="minorHAnsi"/>
                <w:color w:val="000000"/>
                <w:szCs w:val="18"/>
              </w:rPr>
              <w:t>28</w:t>
            </w:r>
          </w:p>
        </w:tc>
        <w:tc>
          <w:tcPr>
            <w:tcW w:w="1420" w:type="dxa"/>
            <w:vAlign w:val="center"/>
            <w:hideMark/>
          </w:tcPr>
          <w:p w14:paraId="1C385305" w14:textId="77777777" w:rsidR="007D299A" w:rsidRPr="007D299A" w:rsidRDefault="007D299A" w:rsidP="00EF28BF">
            <w:pPr>
              <w:spacing w:before="0" w:after="0"/>
              <w:ind w:left="0"/>
              <w:contextualSpacing/>
              <w:jc w:val="right"/>
              <w:rPr>
                <w:rFonts w:asciiTheme="minorHAnsi" w:hAnsiTheme="minorHAnsi" w:cstheme="minorHAnsi"/>
                <w:color w:val="000000"/>
                <w:szCs w:val="18"/>
              </w:rPr>
            </w:pPr>
            <w:r w:rsidRPr="007D299A">
              <w:rPr>
                <w:rFonts w:asciiTheme="minorHAnsi" w:hAnsiTheme="minorHAnsi" w:cstheme="minorHAnsi"/>
                <w:color w:val="000000"/>
                <w:szCs w:val="18"/>
              </w:rPr>
              <w:t>12</w:t>
            </w:r>
          </w:p>
        </w:tc>
        <w:tc>
          <w:tcPr>
            <w:tcW w:w="960" w:type="dxa"/>
            <w:noWrap/>
            <w:vAlign w:val="center"/>
            <w:hideMark/>
          </w:tcPr>
          <w:p w14:paraId="37D59559" w14:textId="77777777" w:rsidR="007D299A" w:rsidRPr="007D299A" w:rsidRDefault="007D299A" w:rsidP="00EF28BF">
            <w:pPr>
              <w:spacing w:before="0" w:after="0"/>
              <w:ind w:left="0"/>
              <w:contextualSpacing/>
              <w:jc w:val="right"/>
              <w:rPr>
                <w:rFonts w:asciiTheme="minorHAnsi" w:hAnsiTheme="minorHAnsi" w:cstheme="minorHAnsi"/>
                <w:color w:val="000000"/>
                <w:szCs w:val="18"/>
              </w:rPr>
            </w:pPr>
            <w:r w:rsidRPr="007D299A">
              <w:rPr>
                <w:rFonts w:asciiTheme="minorHAnsi" w:hAnsiTheme="minorHAnsi" w:cstheme="minorHAnsi"/>
                <w:color w:val="000000"/>
                <w:szCs w:val="18"/>
              </w:rPr>
              <w:t>3%</w:t>
            </w:r>
          </w:p>
        </w:tc>
      </w:tr>
      <w:tr w:rsidR="007D299A" w:rsidRPr="007D299A" w14:paraId="5EA97F60" w14:textId="77777777" w:rsidTr="00EF28BF">
        <w:trPr>
          <w:trHeight w:val="250"/>
        </w:trPr>
        <w:tc>
          <w:tcPr>
            <w:tcW w:w="3827" w:type="dxa"/>
            <w:vAlign w:val="center"/>
            <w:hideMark/>
          </w:tcPr>
          <w:p w14:paraId="0641C3FB" w14:textId="77777777" w:rsidR="007D299A" w:rsidRPr="007D299A" w:rsidRDefault="007D299A" w:rsidP="00EF28BF">
            <w:pPr>
              <w:spacing w:before="0" w:after="0"/>
              <w:ind w:left="0"/>
              <w:contextualSpacing/>
              <w:jc w:val="left"/>
              <w:rPr>
                <w:rFonts w:asciiTheme="minorHAnsi" w:hAnsiTheme="minorHAnsi" w:cstheme="minorHAnsi"/>
                <w:color w:val="000000"/>
                <w:szCs w:val="18"/>
              </w:rPr>
            </w:pPr>
            <w:r w:rsidRPr="007D299A">
              <w:rPr>
                <w:rFonts w:asciiTheme="minorHAnsi" w:hAnsiTheme="minorHAnsi" w:cstheme="minorHAnsi"/>
                <w:color w:val="000000"/>
                <w:szCs w:val="18"/>
              </w:rPr>
              <w:t>B-E Průmysl celkem</w:t>
            </w:r>
          </w:p>
        </w:tc>
        <w:tc>
          <w:tcPr>
            <w:tcW w:w="1520" w:type="dxa"/>
            <w:vAlign w:val="center"/>
            <w:hideMark/>
          </w:tcPr>
          <w:p w14:paraId="240829AF" w14:textId="77777777" w:rsidR="007D299A" w:rsidRPr="007D299A" w:rsidRDefault="007D299A" w:rsidP="00EF28BF">
            <w:pPr>
              <w:spacing w:before="0" w:after="0"/>
              <w:ind w:left="0"/>
              <w:contextualSpacing/>
              <w:jc w:val="right"/>
              <w:rPr>
                <w:rFonts w:asciiTheme="minorHAnsi" w:hAnsiTheme="minorHAnsi" w:cstheme="minorHAnsi"/>
                <w:color w:val="000000"/>
                <w:szCs w:val="18"/>
              </w:rPr>
            </w:pPr>
            <w:r w:rsidRPr="007D299A">
              <w:rPr>
                <w:rFonts w:asciiTheme="minorHAnsi" w:hAnsiTheme="minorHAnsi" w:cstheme="minorHAnsi"/>
                <w:color w:val="000000"/>
                <w:szCs w:val="18"/>
              </w:rPr>
              <w:t>100</w:t>
            </w:r>
          </w:p>
        </w:tc>
        <w:tc>
          <w:tcPr>
            <w:tcW w:w="1420" w:type="dxa"/>
            <w:vAlign w:val="center"/>
            <w:hideMark/>
          </w:tcPr>
          <w:p w14:paraId="6833EC93" w14:textId="77777777" w:rsidR="007D299A" w:rsidRPr="007D299A" w:rsidRDefault="007D299A" w:rsidP="00EF28BF">
            <w:pPr>
              <w:spacing w:before="0" w:after="0"/>
              <w:ind w:left="0"/>
              <w:contextualSpacing/>
              <w:jc w:val="right"/>
              <w:rPr>
                <w:rFonts w:asciiTheme="minorHAnsi" w:hAnsiTheme="minorHAnsi" w:cstheme="minorHAnsi"/>
                <w:color w:val="000000"/>
                <w:szCs w:val="18"/>
              </w:rPr>
            </w:pPr>
            <w:r w:rsidRPr="007D299A">
              <w:rPr>
                <w:rFonts w:asciiTheme="minorHAnsi" w:hAnsiTheme="minorHAnsi" w:cstheme="minorHAnsi"/>
                <w:color w:val="000000"/>
                <w:szCs w:val="18"/>
              </w:rPr>
              <w:t>70</w:t>
            </w:r>
          </w:p>
        </w:tc>
        <w:tc>
          <w:tcPr>
            <w:tcW w:w="960" w:type="dxa"/>
            <w:noWrap/>
            <w:vAlign w:val="center"/>
            <w:hideMark/>
          </w:tcPr>
          <w:p w14:paraId="2B07A09D" w14:textId="77777777" w:rsidR="007D299A" w:rsidRPr="007D299A" w:rsidRDefault="007D299A" w:rsidP="00EF28BF">
            <w:pPr>
              <w:spacing w:before="0" w:after="0"/>
              <w:ind w:left="0"/>
              <w:contextualSpacing/>
              <w:jc w:val="right"/>
              <w:rPr>
                <w:rFonts w:asciiTheme="minorHAnsi" w:hAnsiTheme="minorHAnsi" w:cstheme="minorHAnsi"/>
                <w:color w:val="000000"/>
                <w:szCs w:val="18"/>
              </w:rPr>
            </w:pPr>
            <w:r w:rsidRPr="007D299A">
              <w:rPr>
                <w:rFonts w:asciiTheme="minorHAnsi" w:hAnsiTheme="minorHAnsi" w:cstheme="minorHAnsi"/>
                <w:color w:val="000000"/>
                <w:szCs w:val="18"/>
              </w:rPr>
              <w:t>20%</w:t>
            </w:r>
          </w:p>
        </w:tc>
      </w:tr>
      <w:tr w:rsidR="007D299A" w:rsidRPr="007D299A" w14:paraId="4B2F8A40" w14:textId="77777777" w:rsidTr="00EF28BF">
        <w:trPr>
          <w:trHeight w:val="250"/>
        </w:trPr>
        <w:tc>
          <w:tcPr>
            <w:tcW w:w="3827" w:type="dxa"/>
            <w:vAlign w:val="center"/>
            <w:hideMark/>
          </w:tcPr>
          <w:p w14:paraId="278865A3" w14:textId="77777777" w:rsidR="007D299A" w:rsidRPr="007D299A" w:rsidRDefault="007D299A" w:rsidP="00EF28BF">
            <w:pPr>
              <w:spacing w:before="0" w:after="0"/>
              <w:ind w:left="0"/>
              <w:contextualSpacing/>
              <w:jc w:val="left"/>
              <w:rPr>
                <w:rFonts w:asciiTheme="minorHAnsi" w:hAnsiTheme="minorHAnsi" w:cstheme="minorHAnsi"/>
                <w:color w:val="000000"/>
                <w:szCs w:val="18"/>
              </w:rPr>
            </w:pPr>
            <w:r w:rsidRPr="007D299A">
              <w:rPr>
                <w:rFonts w:asciiTheme="minorHAnsi" w:hAnsiTheme="minorHAnsi" w:cstheme="minorHAnsi"/>
                <w:color w:val="000000"/>
                <w:szCs w:val="18"/>
              </w:rPr>
              <w:t>F Stavebnictví</w:t>
            </w:r>
          </w:p>
        </w:tc>
        <w:tc>
          <w:tcPr>
            <w:tcW w:w="1520" w:type="dxa"/>
            <w:vAlign w:val="center"/>
            <w:hideMark/>
          </w:tcPr>
          <w:p w14:paraId="36AFD6F0" w14:textId="77777777" w:rsidR="007D299A" w:rsidRPr="007D299A" w:rsidRDefault="007D299A" w:rsidP="00EF28BF">
            <w:pPr>
              <w:spacing w:before="0" w:after="0"/>
              <w:ind w:left="0"/>
              <w:contextualSpacing/>
              <w:jc w:val="right"/>
              <w:rPr>
                <w:rFonts w:asciiTheme="minorHAnsi" w:hAnsiTheme="minorHAnsi" w:cstheme="minorHAnsi"/>
                <w:color w:val="000000"/>
                <w:szCs w:val="18"/>
              </w:rPr>
            </w:pPr>
            <w:r w:rsidRPr="007D299A">
              <w:rPr>
                <w:rFonts w:asciiTheme="minorHAnsi" w:hAnsiTheme="minorHAnsi" w:cstheme="minorHAnsi"/>
                <w:color w:val="000000"/>
                <w:szCs w:val="18"/>
              </w:rPr>
              <w:t>111</w:t>
            </w:r>
          </w:p>
        </w:tc>
        <w:tc>
          <w:tcPr>
            <w:tcW w:w="1420" w:type="dxa"/>
            <w:vAlign w:val="center"/>
            <w:hideMark/>
          </w:tcPr>
          <w:p w14:paraId="12D57BEC" w14:textId="77777777" w:rsidR="007D299A" w:rsidRPr="007D299A" w:rsidRDefault="007D299A" w:rsidP="00EF28BF">
            <w:pPr>
              <w:spacing w:before="0" w:after="0"/>
              <w:ind w:left="0"/>
              <w:contextualSpacing/>
              <w:jc w:val="right"/>
              <w:rPr>
                <w:rFonts w:asciiTheme="minorHAnsi" w:hAnsiTheme="minorHAnsi" w:cstheme="minorHAnsi"/>
                <w:color w:val="000000"/>
                <w:szCs w:val="18"/>
              </w:rPr>
            </w:pPr>
            <w:r w:rsidRPr="007D299A">
              <w:rPr>
                <w:rFonts w:asciiTheme="minorHAnsi" w:hAnsiTheme="minorHAnsi" w:cstheme="minorHAnsi"/>
                <w:color w:val="000000"/>
                <w:szCs w:val="18"/>
              </w:rPr>
              <w:t>60</w:t>
            </w:r>
          </w:p>
        </w:tc>
        <w:tc>
          <w:tcPr>
            <w:tcW w:w="960" w:type="dxa"/>
            <w:noWrap/>
            <w:vAlign w:val="center"/>
            <w:hideMark/>
          </w:tcPr>
          <w:p w14:paraId="22FFD232" w14:textId="77777777" w:rsidR="007D299A" w:rsidRPr="007D299A" w:rsidRDefault="007D299A" w:rsidP="00EF28BF">
            <w:pPr>
              <w:spacing w:before="0" w:after="0"/>
              <w:ind w:left="0"/>
              <w:contextualSpacing/>
              <w:jc w:val="right"/>
              <w:rPr>
                <w:rFonts w:asciiTheme="minorHAnsi" w:hAnsiTheme="minorHAnsi" w:cstheme="minorHAnsi"/>
                <w:color w:val="000000"/>
                <w:szCs w:val="18"/>
              </w:rPr>
            </w:pPr>
            <w:r w:rsidRPr="007D299A">
              <w:rPr>
                <w:rFonts w:asciiTheme="minorHAnsi" w:hAnsiTheme="minorHAnsi" w:cstheme="minorHAnsi"/>
                <w:color w:val="000000"/>
                <w:szCs w:val="18"/>
              </w:rPr>
              <w:t>17%</w:t>
            </w:r>
          </w:p>
        </w:tc>
      </w:tr>
      <w:tr w:rsidR="007D299A" w:rsidRPr="007D299A" w14:paraId="2A7AD298" w14:textId="77777777" w:rsidTr="00EF28BF">
        <w:trPr>
          <w:trHeight w:val="750"/>
        </w:trPr>
        <w:tc>
          <w:tcPr>
            <w:tcW w:w="3827" w:type="dxa"/>
            <w:vAlign w:val="center"/>
            <w:hideMark/>
          </w:tcPr>
          <w:p w14:paraId="79D79B07" w14:textId="77777777" w:rsidR="007D299A" w:rsidRPr="007D299A" w:rsidRDefault="007D299A" w:rsidP="00EF28BF">
            <w:pPr>
              <w:spacing w:before="0" w:after="0"/>
              <w:ind w:left="0"/>
              <w:contextualSpacing/>
              <w:jc w:val="left"/>
              <w:rPr>
                <w:rFonts w:asciiTheme="minorHAnsi" w:hAnsiTheme="minorHAnsi" w:cstheme="minorHAnsi"/>
                <w:color w:val="000000"/>
                <w:szCs w:val="18"/>
              </w:rPr>
            </w:pPr>
            <w:r w:rsidRPr="007D299A">
              <w:rPr>
                <w:rFonts w:asciiTheme="minorHAnsi" w:hAnsiTheme="minorHAnsi" w:cstheme="minorHAnsi"/>
                <w:color w:val="000000"/>
                <w:szCs w:val="18"/>
              </w:rPr>
              <w:t xml:space="preserve">G Velkoobchod a maloobchod; </w:t>
            </w:r>
            <w:r w:rsidRPr="007D299A">
              <w:rPr>
                <w:rFonts w:asciiTheme="minorHAnsi" w:hAnsiTheme="minorHAnsi" w:cstheme="minorHAnsi"/>
                <w:color w:val="000000"/>
                <w:szCs w:val="18"/>
              </w:rPr>
              <w:br/>
              <w:t xml:space="preserve">opravy a údržba </w:t>
            </w:r>
            <w:r w:rsidRPr="007D299A">
              <w:rPr>
                <w:rFonts w:asciiTheme="minorHAnsi" w:hAnsiTheme="minorHAnsi" w:cstheme="minorHAnsi"/>
                <w:color w:val="000000"/>
                <w:szCs w:val="18"/>
              </w:rPr>
              <w:br/>
              <w:t>motorových vozidel</w:t>
            </w:r>
          </w:p>
        </w:tc>
        <w:tc>
          <w:tcPr>
            <w:tcW w:w="1520" w:type="dxa"/>
            <w:vAlign w:val="center"/>
            <w:hideMark/>
          </w:tcPr>
          <w:p w14:paraId="5F635D51" w14:textId="77777777" w:rsidR="007D299A" w:rsidRPr="007D299A" w:rsidRDefault="007D299A" w:rsidP="00EF28BF">
            <w:pPr>
              <w:spacing w:before="0" w:after="0"/>
              <w:ind w:left="0"/>
              <w:contextualSpacing/>
              <w:jc w:val="right"/>
              <w:rPr>
                <w:rFonts w:asciiTheme="minorHAnsi" w:hAnsiTheme="minorHAnsi" w:cstheme="minorHAnsi"/>
                <w:color w:val="000000"/>
                <w:szCs w:val="18"/>
              </w:rPr>
            </w:pPr>
            <w:r w:rsidRPr="007D299A">
              <w:rPr>
                <w:rFonts w:asciiTheme="minorHAnsi" w:hAnsiTheme="minorHAnsi" w:cstheme="minorHAnsi"/>
                <w:color w:val="000000"/>
                <w:szCs w:val="18"/>
              </w:rPr>
              <w:t>121</w:t>
            </w:r>
          </w:p>
        </w:tc>
        <w:tc>
          <w:tcPr>
            <w:tcW w:w="1420" w:type="dxa"/>
            <w:vAlign w:val="center"/>
            <w:hideMark/>
          </w:tcPr>
          <w:p w14:paraId="01FFDD59" w14:textId="77777777" w:rsidR="007D299A" w:rsidRPr="007D299A" w:rsidRDefault="007D299A" w:rsidP="00EF28BF">
            <w:pPr>
              <w:spacing w:before="0" w:after="0"/>
              <w:ind w:left="0"/>
              <w:contextualSpacing/>
              <w:jc w:val="right"/>
              <w:rPr>
                <w:rFonts w:asciiTheme="minorHAnsi" w:hAnsiTheme="minorHAnsi" w:cstheme="minorHAnsi"/>
                <w:color w:val="000000"/>
                <w:szCs w:val="18"/>
              </w:rPr>
            </w:pPr>
            <w:r w:rsidRPr="007D299A">
              <w:rPr>
                <w:rFonts w:asciiTheme="minorHAnsi" w:hAnsiTheme="minorHAnsi" w:cstheme="minorHAnsi"/>
                <w:color w:val="000000"/>
                <w:szCs w:val="18"/>
              </w:rPr>
              <w:t>38</w:t>
            </w:r>
          </w:p>
        </w:tc>
        <w:tc>
          <w:tcPr>
            <w:tcW w:w="960" w:type="dxa"/>
            <w:noWrap/>
            <w:vAlign w:val="center"/>
            <w:hideMark/>
          </w:tcPr>
          <w:p w14:paraId="4FDB488B" w14:textId="77777777" w:rsidR="007D299A" w:rsidRPr="007D299A" w:rsidRDefault="007D299A" w:rsidP="00EF28BF">
            <w:pPr>
              <w:spacing w:before="0" w:after="0"/>
              <w:ind w:left="0"/>
              <w:contextualSpacing/>
              <w:jc w:val="right"/>
              <w:rPr>
                <w:rFonts w:asciiTheme="minorHAnsi" w:hAnsiTheme="minorHAnsi" w:cstheme="minorHAnsi"/>
                <w:color w:val="000000"/>
                <w:szCs w:val="18"/>
              </w:rPr>
            </w:pPr>
            <w:r w:rsidRPr="007D299A">
              <w:rPr>
                <w:rFonts w:asciiTheme="minorHAnsi" w:hAnsiTheme="minorHAnsi" w:cstheme="minorHAnsi"/>
                <w:color w:val="000000"/>
                <w:szCs w:val="18"/>
              </w:rPr>
              <w:t>11%</w:t>
            </w:r>
          </w:p>
        </w:tc>
      </w:tr>
      <w:tr w:rsidR="007D299A" w:rsidRPr="007D299A" w14:paraId="39DB9F87" w14:textId="77777777" w:rsidTr="00EF28BF">
        <w:trPr>
          <w:trHeight w:val="250"/>
        </w:trPr>
        <w:tc>
          <w:tcPr>
            <w:tcW w:w="3827" w:type="dxa"/>
            <w:vAlign w:val="center"/>
            <w:hideMark/>
          </w:tcPr>
          <w:p w14:paraId="44EDD062" w14:textId="77777777" w:rsidR="007D299A" w:rsidRPr="007D299A" w:rsidRDefault="007D299A" w:rsidP="00EF28BF">
            <w:pPr>
              <w:spacing w:before="0" w:after="0"/>
              <w:ind w:left="0"/>
              <w:contextualSpacing/>
              <w:jc w:val="left"/>
              <w:rPr>
                <w:rFonts w:asciiTheme="minorHAnsi" w:hAnsiTheme="minorHAnsi" w:cstheme="minorHAnsi"/>
                <w:color w:val="000000"/>
                <w:szCs w:val="18"/>
              </w:rPr>
            </w:pPr>
            <w:r w:rsidRPr="007D299A">
              <w:rPr>
                <w:rFonts w:asciiTheme="minorHAnsi" w:hAnsiTheme="minorHAnsi" w:cstheme="minorHAnsi"/>
                <w:color w:val="000000"/>
                <w:szCs w:val="18"/>
              </w:rPr>
              <w:t>H Doprava a skladování</w:t>
            </w:r>
          </w:p>
        </w:tc>
        <w:tc>
          <w:tcPr>
            <w:tcW w:w="1520" w:type="dxa"/>
            <w:vAlign w:val="center"/>
            <w:hideMark/>
          </w:tcPr>
          <w:p w14:paraId="72601E29" w14:textId="77777777" w:rsidR="007D299A" w:rsidRPr="007D299A" w:rsidRDefault="007D299A" w:rsidP="00EF28BF">
            <w:pPr>
              <w:spacing w:before="0" w:after="0"/>
              <w:ind w:left="0"/>
              <w:contextualSpacing/>
              <w:jc w:val="right"/>
              <w:rPr>
                <w:rFonts w:asciiTheme="minorHAnsi" w:hAnsiTheme="minorHAnsi" w:cstheme="minorHAnsi"/>
                <w:color w:val="000000"/>
                <w:szCs w:val="18"/>
              </w:rPr>
            </w:pPr>
            <w:r w:rsidRPr="007D299A">
              <w:rPr>
                <w:rFonts w:asciiTheme="minorHAnsi" w:hAnsiTheme="minorHAnsi" w:cstheme="minorHAnsi"/>
                <w:color w:val="000000"/>
                <w:szCs w:val="18"/>
              </w:rPr>
              <w:t>22</w:t>
            </w:r>
          </w:p>
        </w:tc>
        <w:tc>
          <w:tcPr>
            <w:tcW w:w="1420" w:type="dxa"/>
            <w:vAlign w:val="center"/>
            <w:hideMark/>
          </w:tcPr>
          <w:p w14:paraId="6C71ED93" w14:textId="77777777" w:rsidR="007D299A" w:rsidRPr="007D299A" w:rsidRDefault="007D299A" w:rsidP="00EF28BF">
            <w:pPr>
              <w:spacing w:before="0" w:after="0"/>
              <w:ind w:left="0"/>
              <w:contextualSpacing/>
              <w:jc w:val="right"/>
              <w:rPr>
                <w:rFonts w:asciiTheme="minorHAnsi" w:hAnsiTheme="minorHAnsi" w:cstheme="minorHAnsi"/>
                <w:color w:val="000000"/>
                <w:szCs w:val="18"/>
              </w:rPr>
            </w:pPr>
            <w:r w:rsidRPr="007D299A">
              <w:rPr>
                <w:rFonts w:asciiTheme="minorHAnsi" w:hAnsiTheme="minorHAnsi" w:cstheme="minorHAnsi"/>
                <w:color w:val="000000"/>
                <w:szCs w:val="18"/>
              </w:rPr>
              <w:t>12</w:t>
            </w:r>
          </w:p>
        </w:tc>
        <w:tc>
          <w:tcPr>
            <w:tcW w:w="960" w:type="dxa"/>
            <w:noWrap/>
            <w:vAlign w:val="center"/>
            <w:hideMark/>
          </w:tcPr>
          <w:p w14:paraId="69B402C8" w14:textId="77777777" w:rsidR="007D299A" w:rsidRPr="007D299A" w:rsidRDefault="007D299A" w:rsidP="00EF28BF">
            <w:pPr>
              <w:spacing w:before="0" w:after="0"/>
              <w:ind w:left="0"/>
              <w:contextualSpacing/>
              <w:jc w:val="right"/>
              <w:rPr>
                <w:rFonts w:asciiTheme="minorHAnsi" w:hAnsiTheme="minorHAnsi" w:cstheme="minorHAnsi"/>
                <w:color w:val="000000"/>
                <w:szCs w:val="18"/>
              </w:rPr>
            </w:pPr>
            <w:r w:rsidRPr="007D299A">
              <w:rPr>
                <w:rFonts w:asciiTheme="minorHAnsi" w:hAnsiTheme="minorHAnsi" w:cstheme="minorHAnsi"/>
                <w:color w:val="000000"/>
                <w:szCs w:val="18"/>
              </w:rPr>
              <w:t>3%</w:t>
            </w:r>
          </w:p>
        </w:tc>
      </w:tr>
      <w:tr w:rsidR="007D299A" w:rsidRPr="007D299A" w14:paraId="3B92ACD1" w14:textId="77777777" w:rsidTr="00EF28BF">
        <w:trPr>
          <w:trHeight w:val="500"/>
        </w:trPr>
        <w:tc>
          <w:tcPr>
            <w:tcW w:w="3827" w:type="dxa"/>
            <w:vAlign w:val="center"/>
            <w:hideMark/>
          </w:tcPr>
          <w:p w14:paraId="3983D4F6" w14:textId="77777777" w:rsidR="007D299A" w:rsidRPr="007D299A" w:rsidRDefault="007D299A" w:rsidP="00EF28BF">
            <w:pPr>
              <w:spacing w:before="0" w:after="0"/>
              <w:ind w:left="0"/>
              <w:contextualSpacing/>
              <w:jc w:val="left"/>
              <w:rPr>
                <w:rFonts w:asciiTheme="minorHAnsi" w:hAnsiTheme="minorHAnsi" w:cstheme="minorHAnsi"/>
                <w:color w:val="000000"/>
                <w:szCs w:val="18"/>
              </w:rPr>
            </w:pPr>
            <w:r w:rsidRPr="007D299A">
              <w:rPr>
                <w:rFonts w:asciiTheme="minorHAnsi" w:hAnsiTheme="minorHAnsi" w:cstheme="minorHAnsi"/>
                <w:color w:val="000000"/>
                <w:szCs w:val="18"/>
              </w:rPr>
              <w:t xml:space="preserve">I Ubytování, stravování </w:t>
            </w:r>
            <w:r w:rsidRPr="007D299A">
              <w:rPr>
                <w:rFonts w:asciiTheme="minorHAnsi" w:hAnsiTheme="minorHAnsi" w:cstheme="minorHAnsi"/>
                <w:color w:val="000000"/>
                <w:szCs w:val="18"/>
              </w:rPr>
              <w:br/>
              <w:t>a pohostinství</w:t>
            </w:r>
          </w:p>
        </w:tc>
        <w:tc>
          <w:tcPr>
            <w:tcW w:w="1520" w:type="dxa"/>
            <w:vAlign w:val="center"/>
            <w:hideMark/>
          </w:tcPr>
          <w:p w14:paraId="118DAFD2" w14:textId="77777777" w:rsidR="007D299A" w:rsidRPr="007D299A" w:rsidRDefault="007D299A" w:rsidP="00EF28BF">
            <w:pPr>
              <w:spacing w:before="0" w:after="0"/>
              <w:ind w:left="0"/>
              <w:contextualSpacing/>
              <w:jc w:val="right"/>
              <w:rPr>
                <w:rFonts w:asciiTheme="minorHAnsi" w:hAnsiTheme="minorHAnsi" w:cstheme="minorHAnsi"/>
                <w:color w:val="000000"/>
                <w:szCs w:val="18"/>
              </w:rPr>
            </w:pPr>
            <w:r w:rsidRPr="007D299A">
              <w:rPr>
                <w:rFonts w:asciiTheme="minorHAnsi" w:hAnsiTheme="minorHAnsi" w:cstheme="minorHAnsi"/>
                <w:color w:val="000000"/>
                <w:szCs w:val="18"/>
              </w:rPr>
              <w:t>47</w:t>
            </w:r>
          </w:p>
        </w:tc>
        <w:tc>
          <w:tcPr>
            <w:tcW w:w="1420" w:type="dxa"/>
            <w:vAlign w:val="center"/>
            <w:hideMark/>
          </w:tcPr>
          <w:p w14:paraId="039EC596" w14:textId="77777777" w:rsidR="007D299A" w:rsidRPr="007D299A" w:rsidRDefault="007D299A" w:rsidP="00EF28BF">
            <w:pPr>
              <w:spacing w:before="0" w:after="0"/>
              <w:ind w:left="0"/>
              <w:contextualSpacing/>
              <w:jc w:val="right"/>
              <w:rPr>
                <w:rFonts w:asciiTheme="minorHAnsi" w:hAnsiTheme="minorHAnsi" w:cstheme="minorHAnsi"/>
                <w:color w:val="000000"/>
                <w:szCs w:val="18"/>
              </w:rPr>
            </w:pPr>
            <w:r w:rsidRPr="007D299A">
              <w:rPr>
                <w:rFonts w:asciiTheme="minorHAnsi" w:hAnsiTheme="minorHAnsi" w:cstheme="minorHAnsi"/>
                <w:color w:val="000000"/>
                <w:szCs w:val="18"/>
              </w:rPr>
              <w:t>19</w:t>
            </w:r>
          </w:p>
        </w:tc>
        <w:tc>
          <w:tcPr>
            <w:tcW w:w="960" w:type="dxa"/>
            <w:noWrap/>
            <w:vAlign w:val="center"/>
            <w:hideMark/>
          </w:tcPr>
          <w:p w14:paraId="7D0ECB1A" w14:textId="77777777" w:rsidR="007D299A" w:rsidRPr="007D299A" w:rsidRDefault="007D299A" w:rsidP="00EF28BF">
            <w:pPr>
              <w:spacing w:before="0" w:after="0"/>
              <w:ind w:left="0"/>
              <w:contextualSpacing/>
              <w:jc w:val="right"/>
              <w:rPr>
                <w:rFonts w:asciiTheme="minorHAnsi" w:hAnsiTheme="minorHAnsi" w:cstheme="minorHAnsi"/>
                <w:color w:val="000000"/>
                <w:szCs w:val="18"/>
              </w:rPr>
            </w:pPr>
            <w:r w:rsidRPr="007D299A">
              <w:rPr>
                <w:rFonts w:asciiTheme="minorHAnsi" w:hAnsiTheme="minorHAnsi" w:cstheme="minorHAnsi"/>
                <w:color w:val="000000"/>
                <w:szCs w:val="18"/>
              </w:rPr>
              <w:t>5%</w:t>
            </w:r>
          </w:p>
        </w:tc>
      </w:tr>
      <w:tr w:rsidR="007D299A" w:rsidRPr="007D299A" w14:paraId="1766C77D" w14:textId="77777777" w:rsidTr="00EF28BF">
        <w:trPr>
          <w:trHeight w:val="250"/>
        </w:trPr>
        <w:tc>
          <w:tcPr>
            <w:tcW w:w="3827" w:type="dxa"/>
            <w:vAlign w:val="center"/>
            <w:hideMark/>
          </w:tcPr>
          <w:p w14:paraId="04FC97E2" w14:textId="77777777" w:rsidR="007D299A" w:rsidRPr="007D299A" w:rsidRDefault="007D299A" w:rsidP="00EF28BF">
            <w:pPr>
              <w:spacing w:before="0" w:after="0"/>
              <w:ind w:left="0"/>
              <w:contextualSpacing/>
              <w:jc w:val="left"/>
              <w:rPr>
                <w:rFonts w:asciiTheme="minorHAnsi" w:hAnsiTheme="minorHAnsi" w:cstheme="minorHAnsi"/>
                <w:color w:val="000000"/>
                <w:szCs w:val="18"/>
              </w:rPr>
            </w:pPr>
            <w:r w:rsidRPr="007D299A">
              <w:rPr>
                <w:rFonts w:asciiTheme="minorHAnsi" w:hAnsiTheme="minorHAnsi" w:cstheme="minorHAnsi"/>
                <w:color w:val="000000"/>
                <w:szCs w:val="18"/>
              </w:rPr>
              <w:lastRenderedPageBreak/>
              <w:t>J Informační a komunikační činnosti</w:t>
            </w:r>
          </w:p>
        </w:tc>
        <w:tc>
          <w:tcPr>
            <w:tcW w:w="1520" w:type="dxa"/>
            <w:vAlign w:val="center"/>
            <w:hideMark/>
          </w:tcPr>
          <w:p w14:paraId="695B774A" w14:textId="77777777" w:rsidR="007D299A" w:rsidRPr="007D299A" w:rsidRDefault="007D299A" w:rsidP="00EF28BF">
            <w:pPr>
              <w:spacing w:before="0" w:after="0"/>
              <w:ind w:left="0"/>
              <w:contextualSpacing/>
              <w:jc w:val="right"/>
              <w:rPr>
                <w:rFonts w:asciiTheme="minorHAnsi" w:hAnsiTheme="minorHAnsi" w:cstheme="minorHAnsi"/>
                <w:color w:val="000000"/>
                <w:szCs w:val="18"/>
              </w:rPr>
            </w:pPr>
            <w:r w:rsidRPr="007D299A">
              <w:rPr>
                <w:rFonts w:asciiTheme="minorHAnsi" w:hAnsiTheme="minorHAnsi" w:cstheme="minorHAnsi"/>
                <w:color w:val="000000"/>
                <w:szCs w:val="18"/>
              </w:rPr>
              <w:t>13</w:t>
            </w:r>
          </w:p>
        </w:tc>
        <w:tc>
          <w:tcPr>
            <w:tcW w:w="1420" w:type="dxa"/>
            <w:vAlign w:val="center"/>
            <w:hideMark/>
          </w:tcPr>
          <w:p w14:paraId="74FC48F1" w14:textId="77777777" w:rsidR="007D299A" w:rsidRPr="007D299A" w:rsidRDefault="007D299A" w:rsidP="00EF28BF">
            <w:pPr>
              <w:spacing w:before="0" w:after="0"/>
              <w:ind w:left="0"/>
              <w:contextualSpacing/>
              <w:jc w:val="right"/>
              <w:rPr>
                <w:rFonts w:asciiTheme="minorHAnsi" w:hAnsiTheme="minorHAnsi" w:cstheme="minorHAnsi"/>
                <w:color w:val="000000"/>
                <w:szCs w:val="18"/>
              </w:rPr>
            </w:pPr>
            <w:r w:rsidRPr="007D299A">
              <w:rPr>
                <w:rFonts w:asciiTheme="minorHAnsi" w:hAnsiTheme="minorHAnsi" w:cstheme="minorHAnsi"/>
                <w:color w:val="000000"/>
                <w:szCs w:val="18"/>
              </w:rPr>
              <w:t>9</w:t>
            </w:r>
          </w:p>
        </w:tc>
        <w:tc>
          <w:tcPr>
            <w:tcW w:w="960" w:type="dxa"/>
            <w:noWrap/>
            <w:vAlign w:val="center"/>
            <w:hideMark/>
          </w:tcPr>
          <w:p w14:paraId="0D873772" w14:textId="77777777" w:rsidR="007D299A" w:rsidRPr="007D299A" w:rsidRDefault="007D299A" w:rsidP="00EF28BF">
            <w:pPr>
              <w:spacing w:before="0" w:after="0"/>
              <w:ind w:left="0"/>
              <w:contextualSpacing/>
              <w:jc w:val="right"/>
              <w:rPr>
                <w:rFonts w:asciiTheme="minorHAnsi" w:hAnsiTheme="minorHAnsi" w:cstheme="minorHAnsi"/>
                <w:color w:val="000000"/>
                <w:szCs w:val="18"/>
              </w:rPr>
            </w:pPr>
            <w:r w:rsidRPr="007D299A">
              <w:rPr>
                <w:rFonts w:asciiTheme="minorHAnsi" w:hAnsiTheme="minorHAnsi" w:cstheme="minorHAnsi"/>
                <w:color w:val="000000"/>
                <w:szCs w:val="18"/>
              </w:rPr>
              <w:t>3%</w:t>
            </w:r>
          </w:p>
        </w:tc>
      </w:tr>
      <w:tr w:rsidR="007D299A" w:rsidRPr="007D299A" w14:paraId="1B7F4A98" w14:textId="77777777" w:rsidTr="00EF28BF">
        <w:trPr>
          <w:trHeight w:val="250"/>
        </w:trPr>
        <w:tc>
          <w:tcPr>
            <w:tcW w:w="3827" w:type="dxa"/>
            <w:vAlign w:val="center"/>
            <w:hideMark/>
          </w:tcPr>
          <w:p w14:paraId="5CFFCD4A" w14:textId="77777777" w:rsidR="007D299A" w:rsidRPr="007D299A" w:rsidRDefault="007D299A" w:rsidP="00EF28BF">
            <w:pPr>
              <w:spacing w:before="0" w:after="0"/>
              <w:ind w:left="0"/>
              <w:contextualSpacing/>
              <w:jc w:val="left"/>
              <w:rPr>
                <w:rFonts w:asciiTheme="minorHAnsi" w:hAnsiTheme="minorHAnsi" w:cstheme="minorHAnsi"/>
                <w:color w:val="000000"/>
                <w:szCs w:val="18"/>
              </w:rPr>
            </w:pPr>
            <w:r w:rsidRPr="007D299A">
              <w:rPr>
                <w:rFonts w:asciiTheme="minorHAnsi" w:hAnsiTheme="minorHAnsi" w:cstheme="minorHAnsi"/>
                <w:color w:val="000000"/>
                <w:szCs w:val="18"/>
              </w:rPr>
              <w:t>K Peněžnictví a pojišťovnictví</w:t>
            </w:r>
          </w:p>
        </w:tc>
        <w:tc>
          <w:tcPr>
            <w:tcW w:w="1520" w:type="dxa"/>
            <w:vAlign w:val="center"/>
            <w:hideMark/>
          </w:tcPr>
          <w:p w14:paraId="5C7389A4" w14:textId="77777777" w:rsidR="007D299A" w:rsidRPr="007D299A" w:rsidRDefault="007D299A" w:rsidP="00EF28BF">
            <w:pPr>
              <w:spacing w:before="0" w:after="0"/>
              <w:ind w:left="0"/>
              <w:contextualSpacing/>
              <w:jc w:val="right"/>
              <w:rPr>
                <w:rFonts w:asciiTheme="minorHAnsi" w:hAnsiTheme="minorHAnsi" w:cstheme="minorHAnsi"/>
                <w:color w:val="000000"/>
                <w:szCs w:val="18"/>
              </w:rPr>
            </w:pPr>
            <w:r w:rsidRPr="007D299A">
              <w:rPr>
                <w:rFonts w:asciiTheme="minorHAnsi" w:hAnsiTheme="minorHAnsi" w:cstheme="minorHAnsi"/>
                <w:color w:val="000000"/>
                <w:szCs w:val="18"/>
              </w:rPr>
              <w:t>6</w:t>
            </w:r>
          </w:p>
        </w:tc>
        <w:tc>
          <w:tcPr>
            <w:tcW w:w="1420" w:type="dxa"/>
            <w:vAlign w:val="center"/>
            <w:hideMark/>
          </w:tcPr>
          <w:p w14:paraId="577438C9" w14:textId="77777777" w:rsidR="007D299A" w:rsidRPr="007D299A" w:rsidRDefault="007D299A" w:rsidP="00EF28BF">
            <w:pPr>
              <w:spacing w:before="0" w:after="0"/>
              <w:ind w:left="0"/>
              <w:contextualSpacing/>
              <w:jc w:val="right"/>
              <w:rPr>
                <w:rFonts w:asciiTheme="minorHAnsi" w:hAnsiTheme="minorHAnsi" w:cstheme="minorHAnsi"/>
                <w:color w:val="000000"/>
                <w:szCs w:val="18"/>
              </w:rPr>
            </w:pPr>
            <w:r w:rsidRPr="007D299A">
              <w:rPr>
                <w:rFonts w:asciiTheme="minorHAnsi" w:hAnsiTheme="minorHAnsi" w:cstheme="minorHAnsi"/>
                <w:color w:val="000000"/>
                <w:szCs w:val="18"/>
              </w:rPr>
              <w:t>4</w:t>
            </w:r>
          </w:p>
        </w:tc>
        <w:tc>
          <w:tcPr>
            <w:tcW w:w="960" w:type="dxa"/>
            <w:noWrap/>
            <w:vAlign w:val="center"/>
            <w:hideMark/>
          </w:tcPr>
          <w:p w14:paraId="20B3598D" w14:textId="77777777" w:rsidR="007D299A" w:rsidRPr="007D299A" w:rsidRDefault="007D299A" w:rsidP="00EF28BF">
            <w:pPr>
              <w:spacing w:before="0" w:after="0"/>
              <w:ind w:left="0"/>
              <w:contextualSpacing/>
              <w:jc w:val="right"/>
              <w:rPr>
                <w:rFonts w:asciiTheme="minorHAnsi" w:hAnsiTheme="minorHAnsi" w:cstheme="minorHAnsi"/>
                <w:color w:val="000000"/>
                <w:szCs w:val="18"/>
              </w:rPr>
            </w:pPr>
            <w:r w:rsidRPr="007D299A">
              <w:rPr>
                <w:rFonts w:asciiTheme="minorHAnsi" w:hAnsiTheme="minorHAnsi" w:cstheme="minorHAnsi"/>
                <w:color w:val="000000"/>
                <w:szCs w:val="18"/>
              </w:rPr>
              <w:t>1%</w:t>
            </w:r>
          </w:p>
        </w:tc>
      </w:tr>
      <w:tr w:rsidR="007D299A" w:rsidRPr="007D299A" w14:paraId="26BBBFA6" w14:textId="77777777" w:rsidTr="00EF28BF">
        <w:trPr>
          <w:trHeight w:val="250"/>
        </w:trPr>
        <w:tc>
          <w:tcPr>
            <w:tcW w:w="3827" w:type="dxa"/>
            <w:vAlign w:val="center"/>
            <w:hideMark/>
          </w:tcPr>
          <w:p w14:paraId="7D5D70EC" w14:textId="77777777" w:rsidR="007D299A" w:rsidRPr="007D299A" w:rsidRDefault="007D299A" w:rsidP="00EF28BF">
            <w:pPr>
              <w:spacing w:before="0" w:after="0"/>
              <w:ind w:left="0"/>
              <w:contextualSpacing/>
              <w:jc w:val="left"/>
              <w:rPr>
                <w:rFonts w:asciiTheme="minorHAnsi" w:hAnsiTheme="minorHAnsi" w:cstheme="minorHAnsi"/>
                <w:color w:val="000000"/>
                <w:szCs w:val="18"/>
              </w:rPr>
            </w:pPr>
            <w:r w:rsidRPr="007D299A">
              <w:rPr>
                <w:rFonts w:asciiTheme="minorHAnsi" w:hAnsiTheme="minorHAnsi" w:cstheme="minorHAnsi"/>
                <w:color w:val="000000"/>
                <w:szCs w:val="18"/>
              </w:rPr>
              <w:t>L Činnosti v oblasti nemovitostí</w:t>
            </w:r>
          </w:p>
        </w:tc>
        <w:tc>
          <w:tcPr>
            <w:tcW w:w="1520" w:type="dxa"/>
            <w:vAlign w:val="center"/>
            <w:hideMark/>
          </w:tcPr>
          <w:p w14:paraId="04C2076C" w14:textId="77777777" w:rsidR="007D299A" w:rsidRPr="007D299A" w:rsidRDefault="007D299A" w:rsidP="00EF28BF">
            <w:pPr>
              <w:spacing w:before="0" w:after="0"/>
              <w:ind w:left="0"/>
              <w:contextualSpacing/>
              <w:jc w:val="right"/>
              <w:rPr>
                <w:rFonts w:asciiTheme="minorHAnsi" w:hAnsiTheme="minorHAnsi" w:cstheme="minorHAnsi"/>
                <w:color w:val="000000"/>
                <w:szCs w:val="18"/>
              </w:rPr>
            </w:pPr>
            <w:r w:rsidRPr="007D299A">
              <w:rPr>
                <w:rFonts w:asciiTheme="minorHAnsi" w:hAnsiTheme="minorHAnsi" w:cstheme="minorHAnsi"/>
                <w:color w:val="000000"/>
                <w:szCs w:val="18"/>
              </w:rPr>
              <w:t>75</w:t>
            </w:r>
          </w:p>
        </w:tc>
        <w:tc>
          <w:tcPr>
            <w:tcW w:w="1420" w:type="dxa"/>
            <w:vAlign w:val="center"/>
            <w:hideMark/>
          </w:tcPr>
          <w:p w14:paraId="22A36D1D" w14:textId="77777777" w:rsidR="007D299A" w:rsidRPr="007D299A" w:rsidRDefault="007D299A" w:rsidP="00EF28BF">
            <w:pPr>
              <w:spacing w:before="0" w:after="0"/>
              <w:ind w:left="0"/>
              <w:contextualSpacing/>
              <w:jc w:val="right"/>
              <w:rPr>
                <w:rFonts w:asciiTheme="minorHAnsi" w:hAnsiTheme="minorHAnsi" w:cstheme="minorHAnsi"/>
                <w:color w:val="000000"/>
                <w:szCs w:val="18"/>
              </w:rPr>
            </w:pPr>
            <w:r w:rsidRPr="007D299A">
              <w:rPr>
                <w:rFonts w:asciiTheme="minorHAnsi" w:hAnsiTheme="minorHAnsi" w:cstheme="minorHAnsi"/>
                <w:color w:val="000000"/>
                <w:szCs w:val="18"/>
              </w:rPr>
              <w:t>13</w:t>
            </w:r>
          </w:p>
        </w:tc>
        <w:tc>
          <w:tcPr>
            <w:tcW w:w="960" w:type="dxa"/>
            <w:noWrap/>
            <w:vAlign w:val="center"/>
            <w:hideMark/>
          </w:tcPr>
          <w:p w14:paraId="729DB1D2" w14:textId="77777777" w:rsidR="007D299A" w:rsidRPr="007D299A" w:rsidRDefault="007D299A" w:rsidP="00EF28BF">
            <w:pPr>
              <w:spacing w:before="0" w:after="0"/>
              <w:ind w:left="0"/>
              <w:contextualSpacing/>
              <w:jc w:val="right"/>
              <w:rPr>
                <w:rFonts w:asciiTheme="minorHAnsi" w:hAnsiTheme="minorHAnsi" w:cstheme="minorHAnsi"/>
                <w:color w:val="000000"/>
                <w:szCs w:val="18"/>
              </w:rPr>
            </w:pPr>
            <w:r w:rsidRPr="007D299A">
              <w:rPr>
                <w:rFonts w:asciiTheme="minorHAnsi" w:hAnsiTheme="minorHAnsi" w:cstheme="minorHAnsi"/>
                <w:color w:val="000000"/>
                <w:szCs w:val="18"/>
              </w:rPr>
              <w:t>4%</w:t>
            </w:r>
          </w:p>
        </w:tc>
      </w:tr>
      <w:tr w:rsidR="007D299A" w:rsidRPr="007D299A" w14:paraId="4F56C752" w14:textId="77777777" w:rsidTr="00EF28BF">
        <w:trPr>
          <w:trHeight w:val="500"/>
        </w:trPr>
        <w:tc>
          <w:tcPr>
            <w:tcW w:w="3827" w:type="dxa"/>
            <w:vAlign w:val="center"/>
            <w:hideMark/>
          </w:tcPr>
          <w:p w14:paraId="0BB40E9C" w14:textId="77777777" w:rsidR="007D299A" w:rsidRPr="007D299A" w:rsidRDefault="007D299A" w:rsidP="00EF28BF">
            <w:pPr>
              <w:spacing w:before="0" w:after="0"/>
              <w:ind w:left="0"/>
              <w:contextualSpacing/>
              <w:jc w:val="left"/>
              <w:rPr>
                <w:rFonts w:asciiTheme="minorHAnsi" w:hAnsiTheme="minorHAnsi" w:cstheme="minorHAnsi"/>
                <w:color w:val="000000"/>
                <w:szCs w:val="18"/>
              </w:rPr>
            </w:pPr>
            <w:r w:rsidRPr="007D299A">
              <w:rPr>
                <w:rFonts w:asciiTheme="minorHAnsi" w:hAnsiTheme="minorHAnsi" w:cstheme="minorHAnsi"/>
                <w:color w:val="000000"/>
                <w:szCs w:val="18"/>
              </w:rPr>
              <w:t xml:space="preserve">M Profesní, vědecké </w:t>
            </w:r>
            <w:r w:rsidRPr="007D299A">
              <w:rPr>
                <w:rFonts w:asciiTheme="minorHAnsi" w:hAnsiTheme="minorHAnsi" w:cstheme="minorHAnsi"/>
                <w:color w:val="000000"/>
                <w:szCs w:val="18"/>
              </w:rPr>
              <w:br/>
              <w:t>a technické činnosti</w:t>
            </w:r>
          </w:p>
        </w:tc>
        <w:tc>
          <w:tcPr>
            <w:tcW w:w="1520" w:type="dxa"/>
            <w:vAlign w:val="center"/>
            <w:hideMark/>
          </w:tcPr>
          <w:p w14:paraId="15A13F35" w14:textId="77777777" w:rsidR="007D299A" w:rsidRPr="007D299A" w:rsidRDefault="007D299A" w:rsidP="00EF28BF">
            <w:pPr>
              <w:spacing w:before="0" w:after="0"/>
              <w:ind w:left="0"/>
              <w:contextualSpacing/>
              <w:jc w:val="right"/>
              <w:rPr>
                <w:rFonts w:asciiTheme="minorHAnsi" w:hAnsiTheme="minorHAnsi" w:cstheme="minorHAnsi"/>
                <w:color w:val="000000"/>
                <w:szCs w:val="18"/>
              </w:rPr>
            </w:pPr>
            <w:r w:rsidRPr="007D299A">
              <w:rPr>
                <w:rFonts w:asciiTheme="minorHAnsi" w:hAnsiTheme="minorHAnsi" w:cstheme="minorHAnsi"/>
                <w:color w:val="000000"/>
                <w:szCs w:val="18"/>
              </w:rPr>
              <w:t>76</w:t>
            </w:r>
          </w:p>
        </w:tc>
        <w:tc>
          <w:tcPr>
            <w:tcW w:w="1420" w:type="dxa"/>
            <w:vAlign w:val="center"/>
            <w:hideMark/>
          </w:tcPr>
          <w:p w14:paraId="66028122" w14:textId="77777777" w:rsidR="007D299A" w:rsidRPr="007D299A" w:rsidRDefault="007D299A" w:rsidP="00EF28BF">
            <w:pPr>
              <w:spacing w:before="0" w:after="0"/>
              <w:ind w:left="0"/>
              <w:contextualSpacing/>
              <w:jc w:val="right"/>
              <w:rPr>
                <w:rFonts w:asciiTheme="minorHAnsi" w:hAnsiTheme="minorHAnsi" w:cstheme="minorHAnsi"/>
                <w:color w:val="000000"/>
                <w:szCs w:val="18"/>
              </w:rPr>
            </w:pPr>
            <w:r w:rsidRPr="007D299A">
              <w:rPr>
                <w:rFonts w:asciiTheme="minorHAnsi" w:hAnsiTheme="minorHAnsi" w:cstheme="minorHAnsi"/>
                <w:color w:val="000000"/>
                <w:szCs w:val="18"/>
              </w:rPr>
              <w:t>43</w:t>
            </w:r>
          </w:p>
        </w:tc>
        <w:tc>
          <w:tcPr>
            <w:tcW w:w="960" w:type="dxa"/>
            <w:noWrap/>
            <w:vAlign w:val="center"/>
            <w:hideMark/>
          </w:tcPr>
          <w:p w14:paraId="0920EDFD" w14:textId="77777777" w:rsidR="007D299A" w:rsidRPr="007D299A" w:rsidRDefault="007D299A" w:rsidP="00EF28BF">
            <w:pPr>
              <w:spacing w:before="0" w:after="0"/>
              <w:ind w:left="0"/>
              <w:contextualSpacing/>
              <w:jc w:val="right"/>
              <w:rPr>
                <w:rFonts w:asciiTheme="minorHAnsi" w:hAnsiTheme="minorHAnsi" w:cstheme="minorHAnsi"/>
                <w:color w:val="000000"/>
                <w:szCs w:val="18"/>
              </w:rPr>
            </w:pPr>
            <w:r w:rsidRPr="007D299A">
              <w:rPr>
                <w:rFonts w:asciiTheme="minorHAnsi" w:hAnsiTheme="minorHAnsi" w:cstheme="minorHAnsi"/>
                <w:color w:val="000000"/>
                <w:szCs w:val="18"/>
              </w:rPr>
              <w:t>12%</w:t>
            </w:r>
          </w:p>
        </w:tc>
      </w:tr>
      <w:tr w:rsidR="007D299A" w:rsidRPr="007D299A" w14:paraId="0324AA84" w14:textId="77777777" w:rsidTr="00EF28BF">
        <w:trPr>
          <w:trHeight w:val="500"/>
        </w:trPr>
        <w:tc>
          <w:tcPr>
            <w:tcW w:w="3827" w:type="dxa"/>
            <w:vAlign w:val="center"/>
            <w:hideMark/>
          </w:tcPr>
          <w:p w14:paraId="4F296869" w14:textId="77777777" w:rsidR="007D299A" w:rsidRPr="007D299A" w:rsidRDefault="007D299A" w:rsidP="00EF28BF">
            <w:pPr>
              <w:spacing w:before="0" w:after="0"/>
              <w:ind w:left="0"/>
              <w:contextualSpacing/>
              <w:jc w:val="left"/>
              <w:rPr>
                <w:rFonts w:asciiTheme="minorHAnsi" w:hAnsiTheme="minorHAnsi" w:cstheme="minorHAnsi"/>
                <w:color w:val="000000"/>
                <w:szCs w:val="18"/>
              </w:rPr>
            </w:pPr>
            <w:r w:rsidRPr="007D299A">
              <w:rPr>
                <w:rFonts w:asciiTheme="minorHAnsi" w:hAnsiTheme="minorHAnsi" w:cstheme="minorHAnsi"/>
                <w:color w:val="000000"/>
                <w:szCs w:val="18"/>
              </w:rPr>
              <w:t xml:space="preserve">N Administrativní a </w:t>
            </w:r>
            <w:r w:rsidRPr="007D299A">
              <w:rPr>
                <w:rFonts w:asciiTheme="minorHAnsi" w:hAnsiTheme="minorHAnsi" w:cstheme="minorHAnsi"/>
                <w:color w:val="000000"/>
                <w:szCs w:val="18"/>
              </w:rPr>
              <w:br/>
              <w:t>podpůrné činnosti</w:t>
            </w:r>
          </w:p>
        </w:tc>
        <w:tc>
          <w:tcPr>
            <w:tcW w:w="1520" w:type="dxa"/>
            <w:vAlign w:val="center"/>
            <w:hideMark/>
          </w:tcPr>
          <w:p w14:paraId="029752E6" w14:textId="77777777" w:rsidR="007D299A" w:rsidRPr="007D299A" w:rsidRDefault="007D299A" w:rsidP="00EF28BF">
            <w:pPr>
              <w:spacing w:before="0" w:after="0"/>
              <w:ind w:left="0"/>
              <w:contextualSpacing/>
              <w:jc w:val="right"/>
              <w:rPr>
                <w:rFonts w:asciiTheme="minorHAnsi" w:hAnsiTheme="minorHAnsi" w:cstheme="minorHAnsi"/>
                <w:color w:val="000000"/>
                <w:szCs w:val="18"/>
              </w:rPr>
            </w:pPr>
            <w:r w:rsidRPr="007D299A">
              <w:rPr>
                <w:rFonts w:asciiTheme="minorHAnsi" w:hAnsiTheme="minorHAnsi" w:cstheme="minorHAnsi"/>
                <w:color w:val="000000"/>
                <w:szCs w:val="18"/>
              </w:rPr>
              <w:t>16</w:t>
            </w:r>
          </w:p>
        </w:tc>
        <w:tc>
          <w:tcPr>
            <w:tcW w:w="1420" w:type="dxa"/>
            <w:vAlign w:val="center"/>
            <w:hideMark/>
          </w:tcPr>
          <w:p w14:paraId="0253F15D" w14:textId="77777777" w:rsidR="007D299A" w:rsidRPr="007D299A" w:rsidRDefault="007D299A" w:rsidP="00EF28BF">
            <w:pPr>
              <w:spacing w:before="0" w:after="0"/>
              <w:ind w:left="0"/>
              <w:contextualSpacing/>
              <w:jc w:val="right"/>
              <w:rPr>
                <w:rFonts w:asciiTheme="minorHAnsi" w:hAnsiTheme="minorHAnsi" w:cstheme="minorHAnsi"/>
                <w:color w:val="000000"/>
                <w:szCs w:val="18"/>
              </w:rPr>
            </w:pPr>
            <w:r w:rsidRPr="007D299A">
              <w:rPr>
                <w:rFonts w:asciiTheme="minorHAnsi" w:hAnsiTheme="minorHAnsi" w:cstheme="minorHAnsi"/>
                <w:color w:val="000000"/>
                <w:szCs w:val="18"/>
              </w:rPr>
              <w:t>11</w:t>
            </w:r>
          </w:p>
        </w:tc>
        <w:tc>
          <w:tcPr>
            <w:tcW w:w="960" w:type="dxa"/>
            <w:noWrap/>
            <w:vAlign w:val="center"/>
            <w:hideMark/>
          </w:tcPr>
          <w:p w14:paraId="695F2BEA" w14:textId="77777777" w:rsidR="007D299A" w:rsidRPr="007D299A" w:rsidRDefault="007D299A" w:rsidP="00EF28BF">
            <w:pPr>
              <w:spacing w:before="0" w:after="0"/>
              <w:ind w:left="0"/>
              <w:contextualSpacing/>
              <w:jc w:val="right"/>
              <w:rPr>
                <w:rFonts w:asciiTheme="minorHAnsi" w:hAnsiTheme="minorHAnsi" w:cstheme="minorHAnsi"/>
                <w:color w:val="000000"/>
                <w:szCs w:val="18"/>
              </w:rPr>
            </w:pPr>
            <w:r w:rsidRPr="007D299A">
              <w:rPr>
                <w:rFonts w:asciiTheme="minorHAnsi" w:hAnsiTheme="minorHAnsi" w:cstheme="minorHAnsi"/>
                <w:color w:val="000000"/>
                <w:szCs w:val="18"/>
              </w:rPr>
              <w:t>3%</w:t>
            </w:r>
          </w:p>
        </w:tc>
      </w:tr>
      <w:tr w:rsidR="007D299A" w:rsidRPr="007D299A" w14:paraId="0CBF51FB" w14:textId="77777777" w:rsidTr="00EF28BF">
        <w:trPr>
          <w:trHeight w:val="750"/>
        </w:trPr>
        <w:tc>
          <w:tcPr>
            <w:tcW w:w="3827" w:type="dxa"/>
            <w:vAlign w:val="center"/>
            <w:hideMark/>
          </w:tcPr>
          <w:p w14:paraId="30AE351D" w14:textId="77777777" w:rsidR="007D299A" w:rsidRPr="007D299A" w:rsidRDefault="007D299A" w:rsidP="00EF28BF">
            <w:pPr>
              <w:spacing w:before="0" w:after="0"/>
              <w:ind w:left="0"/>
              <w:contextualSpacing/>
              <w:jc w:val="left"/>
              <w:rPr>
                <w:rFonts w:asciiTheme="minorHAnsi" w:hAnsiTheme="minorHAnsi" w:cstheme="minorHAnsi"/>
                <w:color w:val="000000"/>
                <w:szCs w:val="18"/>
              </w:rPr>
            </w:pPr>
            <w:r w:rsidRPr="007D299A">
              <w:rPr>
                <w:rFonts w:asciiTheme="minorHAnsi" w:hAnsiTheme="minorHAnsi" w:cstheme="minorHAnsi"/>
                <w:color w:val="000000"/>
                <w:szCs w:val="18"/>
              </w:rPr>
              <w:t xml:space="preserve">O Veřejná správa </w:t>
            </w:r>
            <w:r w:rsidRPr="007D299A">
              <w:rPr>
                <w:rFonts w:asciiTheme="minorHAnsi" w:hAnsiTheme="minorHAnsi" w:cstheme="minorHAnsi"/>
                <w:color w:val="000000"/>
                <w:szCs w:val="18"/>
              </w:rPr>
              <w:br/>
              <w:t>a obrana;</w:t>
            </w:r>
            <w:r w:rsidRPr="007D299A">
              <w:rPr>
                <w:rFonts w:asciiTheme="minorHAnsi" w:hAnsiTheme="minorHAnsi" w:cstheme="minorHAnsi"/>
                <w:color w:val="000000"/>
                <w:szCs w:val="18"/>
              </w:rPr>
              <w:br/>
              <w:t xml:space="preserve"> povinné sociální zabezpečení</w:t>
            </w:r>
          </w:p>
        </w:tc>
        <w:tc>
          <w:tcPr>
            <w:tcW w:w="1520" w:type="dxa"/>
            <w:vAlign w:val="center"/>
            <w:hideMark/>
          </w:tcPr>
          <w:p w14:paraId="263864FE" w14:textId="77777777" w:rsidR="007D299A" w:rsidRPr="007D299A" w:rsidRDefault="007D299A" w:rsidP="00EF28BF">
            <w:pPr>
              <w:spacing w:before="0" w:after="0"/>
              <w:ind w:left="0"/>
              <w:contextualSpacing/>
              <w:jc w:val="right"/>
              <w:rPr>
                <w:rFonts w:asciiTheme="minorHAnsi" w:hAnsiTheme="minorHAnsi" w:cstheme="minorHAnsi"/>
                <w:color w:val="000000"/>
                <w:szCs w:val="18"/>
              </w:rPr>
            </w:pPr>
            <w:r w:rsidRPr="007D299A">
              <w:rPr>
                <w:rFonts w:asciiTheme="minorHAnsi" w:hAnsiTheme="minorHAnsi" w:cstheme="minorHAnsi"/>
                <w:color w:val="000000"/>
                <w:szCs w:val="18"/>
              </w:rPr>
              <w:t>3</w:t>
            </w:r>
          </w:p>
        </w:tc>
        <w:tc>
          <w:tcPr>
            <w:tcW w:w="1420" w:type="dxa"/>
            <w:vAlign w:val="center"/>
            <w:hideMark/>
          </w:tcPr>
          <w:p w14:paraId="5C872B61" w14:textId="77777777" w:rsidR="007D299A" w:rsidRPr="007D299A" w:rsidRDefault="007D299A" w:rsidP="00EF28BF">
            <w:pPr>
              <w:spacing w:before="0" w:after="0"/>
              <w:ind w:left="0"/>
              <w:contextualSpacing/>
              <w:jc w:val="right"/>
              <w:rPr>
                <w:rFonts w:asciiTheme="minorHAnsi" w:hAnsiTheme="minorHAnsi" w:cstheme="minorHAnsi"/>
                <w:color w:val="000000"/>
                <w:szCs w:val="18"/>
              </w:rPr>
            </w:pPr>
            <w:r w:rsidRPr="007D299A">
              <w:rPr>
                <w:rFonts w:asciiTheme="minorHAnsi" w:hAnsiTheme="minorHAnsi" w:cstheme="minorHAnsi"/>
                <w:color w:val="000000"/>
                <w:szCs w:val="18"/>
              </w:rPr>
              <w:t>3</w:t>
            </w:r>
          </w:p>
        </w:tc>
        <w:tc>
          <w:tcPr>
            <w:tcW w:w="960" w:type="dxa"/>
            <w:noWrap/>
            <w:vAlign w:val="center"/>
            <w:hideMark/>
          </w:tcPr>
          <w:p w14:paraId="4898108A" w14:textId="77777777" w:rsidR="007D299A" w:rsidRPr="007D299A" w:rsidRDefault="007D299A" w:rsidP="00EF28BF">
            <w:pPr>
              <w:spacing w:before="0" w:after="0"/>
              <w:ind w:left="0"/>
              <w:contextualSpacing/>
              <w:jc w:val="right"/>
              <w:rPr>
                <w:rFonts w:asciiTheme="minorHAnsi" w:hAnsiTheme="minorHAnsi" w:cstheme="minorHAnsi"/>
                <w:color w:val="000000"/>
                <w:szCs w:val="18"/>
              </w:rPr>
            </w:pPr>
            <w:r w:rsidRPr="007D299A">
              <w:rPr>
                <w:rFonts w:asciiTheme="minorHAnsi" w:hAnsiTheme="minorHAnsi" w:cstheme="minorHAnsi"/>
                <w:color w:val="000000"/>
                <w:szCs w:val="18"/>
              </w:rPr>
              <w:t>1%</w:t>
            </w:r>
          </w:p>
        </w:tc>
      </w:tr>
      <w:tr w:rsidR="007D299A" w:rsidRPr="007D299A" w14:paraId="13645A03" w14:textId="77777777" w:rsidTr="00EF28BF">
        <w:trPr>
          <w:trHeight w:val="250"/>
        </w:trPr>
        <w:tc>
          <w:tcPr>
            <w:tcW w:w="3827" w:type="dxa"/>
            <w:vAlign w:val="center"/>
            <w:hideMark/>
          </w:tcPr>
          <w:p w14:paraId="22B8C77A" w14:textId="77777777" w:rsidR="007D299A" w:rsidRPr="007D299A" w:rsidRDefault="007D299A" w:rsidP="00EF28BF">
            <w:pPr>
              <w:spacing w:before="0" w:after="0"/>
              <w:ind w:left="0"/>
              <w:contextualSpacing/>
              <w:jc w:val="left"/>
              <w:rPr>
                <w:rFonts w:asciiTheme="minorHAnsi" w:hAnsiTheme="minorHAnsi" w:cstheme="minorHAnsi"/>
                <w:color w:val="000000"/>
                <w:szCs w:val="18"/>
              </w:rPr>
            </w:pPr>
            <w:r w:rsidRPr="007D299A">
              <w:rPr>
                <w:rFonts w:asciiTheme="minorHAnsi" w:hAnsiTheme="minorHAnsi" w:cstheme="minorHAnsi"/>
                <w:color w:val="000000"/>
                <w:szCs w:val="18"/>
              </w:rPr>
              <w:t>P Vzdělávání</w:t>
            </w:r>
          </w:p>
        </w:tc>
        <w:tc>
          <w:tcPr>
            <w:tcW w:w="1520" w:type="dxa"/>
            <w:vAlign w:val="center"/>
            <w:hideMark/>
          </w:tcPr>
          <w:p w14:paraId="25C95D20" w14:textId="77777777" w:rsidR="007D299A" w:rsidRPr="007D299A" w:rsidRDefault="007D299A" w:rsidP="00EF28BF">
            <w:pPr>
              <w:spacing w:before="0" w:after="0"/>
              <w:ind w:left="0"/>
              <w:contextualSpacing/>
              <w:jc w:val="right"/>
              <w:rPr>
                <w:rFonts w:asciiTheme="minorHAnsi" w:hAnsiTheme="minorHAnsi" w:cstheme="minorHAnsi"/>
                <w:color w:val="000000"/>
                <w:szCs w:val="18"/>
              </w:rPr>
            </w:pPr>
            <w:r w:rsidRPr="007D299A">
              <w:rPr>
                <w:rFonts w:asciiTheme="minorHAnsi" w:hAnsiTheme="minorHAnsi" w:cstheme="minorHAnsi"/>
                <w:color w:val="000000"/>
                <w:szCs w:val="18"/>
              </w:rPr>
              <w:t>22</w:t>
            </w:r>
          </w:p>
        </w:tc>
        <w:tc>
          <w:tcPr>
            <w:tcW w:w="1420" w:type="dxa"/>
            <w:vAlign w:val="center"/>
            <w:hideMark/>
          </w:tcPr>
          <w:p w14:paraId="39066B3E" w14:textId="77777777" w:rsidR="007D299A" w:rsidRPr="007D299A" w:rsidRDefault="007D299A" w:rsidP="00EF28BF">
            <w:pPr>
              <w:spacing w:before="0" w:after="0"/>
              <w:ind w:left="0"/>
              <w:contextualSpacing/>
              <w:jc w:val="right"/>
              <w:rPr>
                <w:rFonts w:asciiTheme="minorHAnsi" w:hAnsiTheme="minorHAnsi" w:cstheme="minorHAnsi"/>
                <w:color w:val="000000"/>
                <w:szCs w:val="18"/>
              </w:rPr>
            </w:pPr>
            <w:r w:rsidRPr="007D299A">
              <w:rPr>
                <w:rFonts w:asciiTheme="minorHAnsi" w:hAnsiTheme="minorHAnsi" w:cstheme="minorHAnsi"/>
                <w:color w:val="000000"/>
                <w:szCs w:val="18"/>
              </w:rPr>
              <w:t>14</w:t>
            </w:r>
          </w:p>
        </w:tc>
        <w:tc>
          <w:tcPr>
            <w:tcW w:w="960" w:type="dxa"/>
            <w:noWrap/>
            <w:vAlign w:val="center"/>
            <w:hideMark/>
          </w:tcPr>
          <w:p w14:paraId="464D0277" w14:textId="77777777" w:rsidR="007D299A" w:rsidRPr="007D299A" w:rsidRDefault="007D299A" w:rsidP="00EF28BF">
            <w:pPr>
              <w:spacing w:before="0" w:after="0"/>
              <w:ind w:left="0"/>
              <w:contextualSpacing/>
              <w:jc w:val="right"/>
              <w:rPr>
                <w:rFonts w:asciiTheme="minorHAnsi" w:hAnsiTheme="minorHAnsi" w:cstheme="minorHAnsi"/>
                <w:color w:val="000000"/>
                <w:szCs w:val="18"/>
              </w:rPr>
            </w:pPr>
            <w:r w:rsidRPr="007D299A">
              <w:rPr>
                <w:rFonts w:asciiTheme="minorHAnsi" w:hAnsiTheme="minorHAnsi" w:cstheme="minorHAnsi"/>
                <w:color w:val="000000"/>
                <w:szCs w:val="18"/>
              </w:rPr>
              <w:t>4%</w:t>
            </w:r>
          </w:p>
        </w:tc>
      </w:tr>
      <w:tr w:rsidR="007D299A" w:rsidRPr="007D299A" w14:paraId="326BEA7A" w14:textId="77777777" w:rsidTr="00EF28BF">
        <w:trPr>
          <w:trHeight w:val="250"/>
        </w:trPr>
        <w:tc>
          <w:tcPr>
            <w:tcW w:w="3827" w:type="dxa"/>
            <w:vAlign w:val="center"/>
            <w:hideMark/>
          </w:tcPr>
          <w:p w14:paraId="0BDDE335" w14:textId="77777777" w:rsidR="007D299A" w:rsidRPr="007D299A" w:rsidRDefault="007D299A" w:rsidP="00EF28BF">
            <w:pPr>
              <w:spacing w:before="0" w:after="0"/>
              <w:ind w:left="0"/>
              <w:contextualSpacing/>
              <w:jc w:val="left"/>
              <w:rPr>
                <w:rFonts w:asciiTheme="minorHAnsi" w:hAnsiTheme="minorHAnsi" w:cstheme="minorHAnsi"/>
                <w:color w:val="000000"/>
                <w:szCs w:val="18"/>
              </w:rPr>
            </w:pPr>
            <w:r w:rsidRPr="007D299A">
              <w:rPr>
                <w:rFonts w:asciiTheme="minorHAnsi" w:hAnsiTheme="minorHAnsi" w:cstheme="minorHAnsi"/>
                <w:color w:val="000000"/>
                <w:szCs w:val="18"/>
              </w:rPr>
              <w:t>Q Zdravotní a sociální péče</w:t>
            </w:r>
          </w:p>
        </w:tc>
        <w:tc>
          <w:tcPr>
            <w:tcW w:w="1520" w:type="dxa"/>
            <w:vAlign w:val="center"/>
            <w:hideMark/>
          </w:tcPr>
          <w:p w14:paraId="5A6231FB" w14:textId="77777777" w:rsidR="007D299A" w:rsidRPr="007D299A" w:rsidRDefault="007D299A" w:rsidP="00EF28BF">
            <w:pPr>
              <w:spacing w:before="0" w:after="0"/>
              <w:ind w:left="0"/>
              <w:contextualSpacing/>
              <w:jc w:val="right"/>
              <w:rPr>
                <w:rFonts w:asciiTheme="minorHAnsi" w:hAnsiTheme="minorHAnsi" w:cstheme="minorHAnsi"/>
                <w:color w:val="000000"/>
                <w:szCs w:val="18"/>
              </w:rPr>
            </w:pPr>
            <w:r w:rsidRPr="007D299A">
              <w:rPr>
                <w:rFonts w:asciiTheme="minorHAnsi" w:hAnsiTheme="minorHAnsi" w:cstheme="minorHAnsi"/>
                <w:color w:val="000000"/>
                <w:szCs w:val="18"/>
              </w:rPr>
              <w:t>13</w:t>
            </w:r>
          </w:p>
        </w:tc>
        <w:tc>
          <w:tcPr>
            <w:tcW w:w="1420" w:type="dxa"/>
            <w:vAlign w:val="center"/>
            <w:hideMark/>
          </w:tcPr>
          <w:p w14:paraId="04246033" w14:textId="77777777" w:rsidR="007D299A" w:rsidRPr="007D299A" w:rsidRDefault="007D299A" w:rsidP="00EF28BF">
            <w:pPr>
              <w:spacing w:before="0" w:after="0"/>
              <w:ind w:left="0"/>
              <w:contextualSpacing/>
              <w:jc w:val="right"/>
              <w:rPr>
                <w:rFonts w:asciiTheme="minorHAnsi" w:hAnsiTheme="minorHAnsi" w:cstheme="minorHAnsi"/>
                <w:color w:val="000000"/>
                <w:szCs w:val="18"/>
              </w:rPr>
            </w:pPr>
            <w:r w:rsidRPr="007D299A">
              <w:rPr>
                <w:rFonts w:asciiTheme="minorHAnsi" w:hAnsiTheme="minorHAnsi" w:cstheme="minorHAnsi"/>
                <w:color w:val="000000"/>
                <w:szCs w:val="18"/>
              </w:rPr>
              <w:t>12</w:t>
            </w:r>
          </w:p>
        </w:tc>
        <w:tc>
          <w:tcPr>
            <w:tcW w:w="960" w:type="dxa"/>
            <w:noWrap/>
            <w:vAlign w:val="center"/>
            <w:hideMark/>
          </w:tcPr>
          <w:p w14:paraId="028B3B3B" w14:textId="77777777" w:rsidR="007D299A" w:rsidRPr="007D299A" w:rsidRDefault="007D299A" w:rsidP="00EF28BF">
            <w:pPr>
              <w:spacing w:before="0" w:after="0"/>
              <w:ind w:left="0"/>
              <w:contextualSpacing/>
              <w:jc w:val="right"/>
              <w:rPr>
                <w:rFonts w:asciiTheme="minorHAnsi" w:hAnsiTheme="minorHAnsi" w:cstheme="minorHAnsi"/>
                <w:color w:val="000000"/>
                <w:szCs w:val="18"/>
              </w:rPr>
            </w:pPr>
            <w:r w:rsidRPr="007D299A">
              <w:rPr>
                <w:rFonts w:asciiTheme="minorHAnsi" w:hAnsiTheme="minorHAnsi" w:cstheme="minorHAnsi"/>
                <w:color w:val="000000"/>
                <w:szCs w:val="18"/>
              </w:rPr>
              <w:t>3%</w:t>
            </w:r>
          </w:p>
        </w:tc>
      </w:tr>
      <w:tr w:rsidR="007D299A" w:rsidRPr="007D299A" w14:paraId="6AFE992A" w14:textId="77777777" w:rsidTr="00EF28BF">
        <w:trPr>
          <w:trHeight w:val="500"/>
        </w:trPr>
        <w:tc>
          <w:tcPr>
            <w:tcW w:w="3827" w:type="dxa"/>
            <w:vAlign w:val="center"/>
            <w:hideMark/>
          </w:tcPr>
          <w:p w14:paraId="710F0BF5" w14:textId="77777777" w:rsidR="007D299A" w:rsidRPr="007D299A" w:rsidRDefault="007D299A" w:rsidP="00EF28BF">
            <w:pPr>
              <w:spacing w:before="0" w:after="0"/>
              <w:ind w:left="0"/>
              <w:contextualSpacing/>
              <w:jc w:val="left"/>
              <w:rPr>
                <w:rFonts w:asciiTheme="minorHAnsi" w:hAnsiTheme="minorHAnsi" w:cstheme="minorHAnsi"/>
                <w:color w:val="000000"/>
                <w:szCs w:val="18"/>
              </w:rPr>
            </w:pPr>
            <w:r w:rsidRPr="007D299A">
              <w:rPr>
                <w:rFonts w:asciiTheme="minorHAnsi" w:hAnsiTheme="minorHAnsi" w:cstheme="minorHAnsi"/>
                <w:color w:val="000000"/>
                <w:szCs w:val="18"/>
              </w:rPr>
              <w:t xml:space="preserve">R Kulturní, zábavní </w:t>
            </w:r>
            <w:r w:rsidRPr="007D299A">
              <w:rPr>
                <w:rFonts w:asciiTheme="minorHAnsi" w:hAnsiTheme="minorHAnsi" w:cstheme="minorHAnsi"/>
                <w:color w:val="000000"/>
                <w:szCs w:val="18"/>
              </w:rPr>
              <w:br/>
              <w:t>a rekreační činnosti</w:t>
            </w:r>
          </w:p>
        </w:tc>
        <w:tc>
          <w:tcPr>
            <w:tcW w:w="1520" w:type="dxa"/>
            <w:vAlign w:val="center"/>
            <w:hideMark/>
          </w:tcPr>
          <w:p w14:paraId="694AAB57" w14:textId="77777777" w:rsidR="007D299A" w:rsidRPr="007D299A" w:rsidRDefault="007D299A" w:rsidP="00EF28BF">
            <w:pPr>
              <w:spacing w:before="0" w:after="0"/>
              <w:ind w:left="0"/>
              <w:contextualSpacing/>
              <w:jc w:val="right"/>
              <w:rPr>
                <w:rFonts w:asciiTheme="minorHAnsi" w:hAnsiTheme="minorHAnsi" w:cstheme="minorHAnsi"/>
                <w:color w:val="000000"/>
                <w:szCs w:val="18"/>
              </w:rPr>
            </w:pPr>
            <w:r w:rsidRPr="007D299A">
              <w:rPr>
                <w:rFonts w:asciiTheme="minorHAnsi" w:hAnsiTheme="minorHAnsi" w:cstheme="minorHAnsi"/>
                <w:color w:val="000000"/>
                <w:szCs w:val="18"/>
              </w:rPr>
              <w:t>22</w:t>
            </w:r>
          </w:p>
        </w:tc>
        <w:tc>
          <w:tcPr>
            <w:tcW w:w="1420" w:type="dxa"/>
            <w:vAlign w:val="center"/>
            <w:hideMark/>
          </w:tcPr>
          <w:p w14:paraId="709C13D3" w14:textId="77777777" w:rsidR="007D299A" w:rsidRPr="007D299A" w:rsidRDefault="007D299A" w:rsidP="00EF28BF">
            <w:pPr>
              <w:spacing w:before="0" w:after="0"/>
              <w:ind w:left="0"/>
              <w:contextualSpacing/>
              <w:jc w:val="right"/>
              <w:rPr>
                <w:rFonts w:asciiTheme="minorHAnsi" w:hAnsiTheme="minorHAnsi" w:cstheme="minorHAnsi"/>
                <w:color w:val="000000"/>
                <w:szCs w:val="18"/>
              </w:rPr>
            </w:pPr>
            <w:r w:rsidRPr="007D299A">
              <w:rPr>
                <w:rFonts w:asciiTheme="minorHAnsi" w:hAnsiTheme="minorHAnsi" w:cstheme="minorHAnsi"/>
                <w:color w:val="000000"/>
                <w:szCs w:val="18"/>
              </w:rPr>
              <w:t>9</w:t>
            </w:r>
          </w:p>
        </w:tc>
        <w:tc>
          <w:tcPr>
            <w:tcW w:w="960" w:type="dxa"/>
            <w:noWrap/>
            <w:vAlign w:val="center"/>
            <w:hideMark/>
          </w:tcPr>
          <w:p w14:paraId="2EB18315" w14:textId="77777777" w:rsidR="007D299A" w:rsidRPr="007D299A" w:rsidRDefault="007D299A" w:rsidP="00EF28BF">
            <w:pPr>
              <w:spacing w:before="0" w:after="0"/>
              <w:ind w:left="0"/>
              <w:contextualSpacing/>
              <w:jc w:val="right"/>
              <w:rPr>
                <w:rFonts w:asciiTheme="minorHAnsi" w:hAnsiTheme="minorHAnsi" w:cstheme="minorHAnsi"/>
                <w:color w:val="000000"/>
                <w:szCs w:val="18"/>
              </w:rPr>
            </w:pPr>
            <w:r w:rsidRPr="007D299A">
              <w:rPr>
                <w:rFonts w:asciiTheme="minorHAnsi" w:hAnsiTheme="minorHAnsi" w:cstheme="minorHAnsi"/>
                <w:color w:val="000000"/>
                <w:szCs w:val="18"/>
              </w:rPr>
              <w:t>3%</w:t>
            </w:r>
          </w:p>
        </w:tc>
      </w:tr>
      <w:tr w:rsidR="007D299A" w:rsidRPr="007D299A" w14:paraId="54176B36" w14:textId="77777777" w:rsidTr="00EF28BF">
        <w:trPr>
          <w:trHeight w:val="250"/>
        </w:trPr>
        <w:tc>
          <w:tcPr>
            <w:tcW w:w="3827" w:type="dxa"/>
            <w:vAlign w:val="center"/>
            <w:hideMark/>
          </w:tcPr>
          <w:p w14:paraId="4446C69C" w14:textId="77777777" w:rsidR="007D299A" w:rsidRPr="007D299A" w:rsidRDefault="007D299A" w:rsidP="00EF28BF">
            <w:pPr>
              <w:spacing w:before="0" w:after="0"/>
              <w:ind w:left="0"/>
              <w:contextualSpacing/>
              <w:jc w:val="left"/>
              <w:rPr>
                <w:rFonts w:asciiTheme="minorHAnsi" w:hAnsiTheme="minorHAnsi" w:cstheme="minorHAnsi"/>
                <w:color w:val="000000"/>
                <w:szCs w:val="18"/>
              </w:rPr>
            </w:pPr>
            <w:r w:rsidRPr="007D299A">
              <w:rPr>
                <w:rFonts w:asciiTheme="minorHAnsi" w:hAnsiTheme="minorHAnsi" w:cstheme="minorHAnsi"/>
                <w:color w:val="000000"/>
                <w:szCs w:val="18"/>
              </w:rPr>
              <w:t>S Ostatní činnosti</w:t>
            </w:r>
          </w:p>
        </w:tc>
        <w:tc>
          <w:tcPr>
            <w:tcW w:w="1520" w:type="dxa"/>
            <w:vAlign w:val="center"/>
            <w:hideMark/>
          </w:tcPr>
          <w:p w14:paraId="6A3E2D4E" w14:textId="77777777" w:rsidR="007D299A" w:rsidRPr="007D299A" w:rsidRDefault="007D299A" w:rsidP="00EF28BF">
            <w:pPr>
              <w:spacing w:before="0" w:after="0"/>
              <w:ind w:left="0"/>
              <w:contextualSpacing/>
              <w:jc w:val="right"/>
              <w:rPr>
                <w:rFonts w:asciiTheme="minorHAnsi" w:hAnsiTheme="minorHAnsi" w:cstheme="minorHAnsi"/>
                <w:color w:val="000000"/>
                <w:szCs w:val="18"/>
              </w:rPr>
            </w:pPr>
            <w:r w:rsidRPr="007D299A">
              <w:rPr>
                <w:rFonts w:asciiTheme="minorHAnsi" w:hAnsiTheme="minorHAnsi" w:cstheme="minorHAnsi"/>
                <w:color w:val="000000"/>
                <w:szCs w:val="18"/>
              </w:rPr>
              <w:t>53</w:t>
            </w:r>
          </w:p>
        </w:tc>
        <w:tc>
          <w:tcPr>
            <w:tcW w:w="1420" w:type="dxa"/>
            <w:vAlign w:val="center"/>
            <w:hideMark/>
          </w:tcPr>
          <w:p w14:paraId="6E5CF2FB" w14:textId="77777777" w:rsidR="007D299A" w:rsidRPr="007D299A" w:rsidRDefault="007D299A" w:rsidP="00EF28BF">
            <w:pPr>
              <w:spacing w:before="0" w:after="0"/>
              <w:ind w:left="0"/>
              <w:contextualSpacing/>
              <w:jc w:val="right"/>
              <w:rPr>
                <w:rFonts w:asciiTheme="minorHAnsi" w:hAnsiTheme="minorHAnsi" w:cstheme="minorHAnsi"/>
                <w:color w:val="000000"/>
                <w:szCs w:val="18"/>
              </w:rPr>
            </w:pPr>
            <w:r w:rsidRPr="007D299A">
              <w:rPr>
                <w:rFonts w:asciiTheme="minorHAnsi" w:hAnsiTheme="minorHAnsi" w:cstheme="minorHAnsi"/>
                <w:color w:val="000000"/>
                <w:szCs w:val="18"/>
              </w:rPr>
              <w:t>29</w:t>
            </w:r>
          </w:p>
        </w:tc>
        <w:tc>
          <w:tcPr>
            <w:tcW w:w="960" w:type="dxa"/>
            <w:noWrap/>
            <w:vAlign w:val="center"/>
            <w:hideMark/>
          </w:tcPr>
          <w:p w14:paraId="7EE28BBA" w14:textId="77777777" w:rsidR="007D299A" w:rsidRPr="007D299A" w:rsidRDefault="007D299A" w:rsidP="00EF28BF">
            <w:pPr>
              <w:spacing w:before="0" w:after="0"/>
              <w:ind w:left="0"/>
              <w:contextualSpacing/>
              <w:jc w:val="right"/>
              <w:rPr>
                <w:rFonts w:asciiTheme="minorHAnsi" w:hAnsiTheme="minorHAnsi" w:cstheme="minorHAnsi"/>
                <w:color w:val="000000"/>
                <w:szCs w:val="18"/>
              </w:rPr>
            </w:pPr>
            <w:r w:rsidRPr="007D299A">
              <w:rPr>
                <w:rFonts w:asciiTheme="minorHAnsi" w:hAnsiTheme="minorHAnsi" w:cstheme="minorHAnsi"/>
                <w:color w:val="000000"/>
                <w:szCs w:val="18"/>
              </w:rPr>
              <w:t>8%</w:t>
            </w:r>
          </w:p>
        </w:tc>
      </w:tr>
    </w:tbl>
    <w:p w14:paraId="27B8340E" w14:textId="24B4B337" w:rsidR="00F20095" w:rsidRPr="006C66C2" w:rsidRDefault="00F20095" w:rsidP="00B45213">
      <w:pPr>
        <w:pStyle w:val="Citt"/>
        <w:jc w:val="left"/>
      </w:pPr>
      <w:r w:rsidRPr="00346A9D">
        <w:t>(zdroj: ČSÚ, SLDB 202</w:t>
      </w:r>
      <w:r w:rsidR="00B45213">
        <w:t>4</w:t>
      </w:r>
      <w:r w:rsidRPr="00346A9D">
        <w:t>)</w:t>
      </w:r>
    </w:p>
    <w:p w14:paraId="60B1C76A" w14:textId="15771D2E" w:rsidR="00F20095" w:rsidRDefault="00F20095" w:rsidP="00F20095">
      <w:r w:rsidRPr="008708F5">
        <w:t>Podnikatelské subjekty podle právní normy k 31.12.202</w:t>
      </w:r>
      <w:r w:rsidR="00B45213">
        <w:t>4</w:t>
      </w:r>
      <w:r w:rsidRPr="008708F5">
        <w:t xml:space="preserve"> </w:t>
      </w:r>
    </w:p>
    <w:tbl>
      <w:tblPr>
        <w:tblW w:w="7727" w:type="dxa"/>
        <w:tblInd w:w="699" w:type="dxa"/>
        <w:tblBorders>
          <w:top w:val="dashSmallGap" w:sz="4" w:space="0" w:color="auto"/>
          <w:bottom w:val="dashSmallGap" w:sz="4" w:space="0" w:color="auto"/>
          <w:insideH w:val="dashSmallGap" w:sz="4" w:space="0" w:color="auto"/>
        </w:tblBorders>
        <w:tblCellMar>
          <w:left w:w="70" w:type="dxa"/>
          <w:right w:w="70" w:type="dxa"/>
        </w:tblCellMar>
        <w:tblLook w:val="04A0" w:firstRow="1" w:lastRow="0" w:firstColumn="1" w:lastColumn="0" w:noHBand="0" w:noVBand="1"/>
      </w:tblPr>
      <w:tblGrid>
        <w:gridCol w:w="3827"/>
        <w:gridCol w:w="1520"/>
        <w:gridCol w:w="1420"/>
        <w:gridCol w:w="960"/>
      </w:tblGrid>
      <w:tr w:rsidR="00B45213" w:rsidRPr="00B45213" w14:paraId="24FAF8CC" w14:textId="77777777" w:rsidTr="00B45213">
        <w:trPr>
          <w:trHeight w:val="750"/>
        </w:trPr>
        <w:tc>
          <w:tcPr>
            <w:tcW w:w="3827" w:type="dxa"/>
            <w:vAlign w:val="center"/>
            <w:hideMark/>
          </w:tcPr>
          <w:p w14:paraId="36CFF23B" w14:textId="77777777" w:rsidR="00B45213" w:rsidRPr="00B45213" w:rsidRDefault="00B45213" w:rsidP="00B45213">
            <w:pPr>
              <w:spacing w:before="0" w:after="0"/>
              <w:ind w:left="0"/>
              <w:jc w:val="right"/>
              <w:rPr>
                <w:rFonts w:asciiTheme="minorHAnsi" w:hAnsiTheme="minorHAnsi" w:cstheme="minorHAnsi"/>
                <w:b/>
                <w:bCs/>
                <w:color w:val="000000"/>
                <w:szCs w:val="18"/>
              </w:rPr>
            </w:pPr>
          </w:p>
        </w:tc>
        <w:tc>
          <w:tcPr>
            <w:tcW w:w="1520" w:type="dxa"/>
            <w:vAlign w:val="center"/>
            <w:hideMark/>
          </w:tcPr>
          <w:p w14:paraId="628C913B" w14:textId="77777777" w:rsidR="00B45213" w:rsidRPr="00B45213" w:rsidRDefault="00B45213" w:rsidP="00B45213">
            <w:pPr>
              <w:spacing w:before="0" w:after="0"/>
              <w:ind w:left="0"/>
              <w:jc w:val="right"/>
              <w:rPr>
                <w:rFonts w:asciiTheme="minorHAnsi" w:hAnsiTheme="minorHAnsi" w:cstheme="minorHAnsi"/>
                <w:b/>
                <w:bCs/>
                <w:color w:val="000000"/>
                <w:szCs w:val="18"/>
              </w:rPr>
            </w:pPr>
            <w:r w:rsidRPr="00B45213">
              <w:rPr>
                <w:rFonts w:asciiTheme="minorHAnsi" w:hAnsiTheme="minorHAnsi" w:cstheme="minorHAnsi"/>
                <w:b/>
                <w:bCs/>
                <w:color w:val="000000"/>
                <w:szCs w:val="18"/>
              </w:rPr>
              <w:t xml:space="preserve">Registrované </w:t>
            </w:r>
            <w:r w:rsidRPr="00B45213">
              <w:rPr>
                <w:rFonts w:asciiTheme="minorHAnsi" w:hAnsiTheme="minorHAnsi" w:cstheme="minorHAnsi"/>
                <w:b/>
                <w:bCs/>
                <w:color w:val="000000"/>
                <w:szCs w:val="18"/>
              </w:rPr>
              <w:br/>
              <w:t>podniky</w:t>
            </w:r>
          </w:p>
        </w:tc>
        <w:tc>
          <w:tcPr>
            <w:tcW w:w="1420" w:type="dxa"/>
            <w:vAlign w:val="center"/>
            <w:hideMark/>
          </w:tcPr>
          <w:p w14:paraId="45AC6F6E" w14:textId="77777777" w:rsidR="00B45213" w:rsidRPr="00B45213" w:rsidRDefault="00B45213" w:rsidP="00B45213">
            <w:pPr>
              <w:spacing w:before="0" w:after="0"/>
              <w:ind w:left="0"/>
              <w:jc w:val="right"/>
              <w:rPr>
                <w:rFonts w:asciiTheme="minorHAnsi" w:hAnsiTheme="minorHAnsi" w:cstheme="minorHAnsi"/>
                <w:b/>
                <w:bCs/>
                <w:color w:val="000000"/>
                <w:szCs w:val="18"/>
              </w:rPr>
            </w:pPr>
            <w:r w:rsidRPr="00B45213">
              <w:rPr>
                <w:rFonts w:asciiTheme="minorHAnsi" w:hAnsiTheme="minorHAnsi" w:cstheme="minorHAnsi"/>
                <w:b/>
                <w:bCs/>
                <w:color w:val="000000"/>
                <w:szCs w:val="18"/>
              </w:rPr>
              <w:t xml:space="preserve">Podniky se </w:t>
            </w:r>
            <w:r w:rsidRPr="00B45213">
              <w:rPr>
                <w:rFonts w:asciiTheme="minorHAnsi" w:hAnsiTheme="minorHAnsi" w:cstheme="minorHAnsi"/>
                <w:b/>
                <w:bCs/>
                <w:color w:val="000000"/>
                <w:szCs w:val="18"/>
              </w:rPr>
              <w:br/>
              <w:t>zjištěnou aktivitou</w:t>
            </w:r>
          </w:p>
        </w:tc>
        <w:tc>
          <w:tcPr>
            <w:tcW w:w="960" w:type="dxa"/>
            <w:vAlign w:val="center"/>
            <w:hideMark/>
          </w:tcPr>
          <w:p w14:paraId="033BB77D" w14:textId="77777777" w:rsidR="00B45213" w:rsidRPr="00B45213" w:rsidRDefault="00B45213" w:rsidP="00B45213">
            <w:pPr>
              <w:spacing w:before="0" w:after="0"/>
              <w:ind w:left="0"/>
              <w:jc w:val="right"/>
              <w:rPr>
                <w:rFonts w:asciiTheme="minorHAnsi" w:hAnsiTheme="minorHAnsi" w:cstheme="minorHAnsi"/>
                <w:b/>
                <w:bCs/>
                <w:color w:val="000000"/>
                <w:szCs w:val="18"/>
              </w:rPr>
            </w:pPr>
            <w:r w:rsidRPr="00B45213">
              <w:rPr>
                <w:rFonts w:asciiTheme="minorHAnsi" w:hAnsiTheme="minorHAnsi" w:cstheme="minorHAnsi"/>
                <w:b/>
                <w:bCs/>
                <w:color w:val="000000"/>
                <w:szCs w:val="18"/>
              </w:rPr>
              <w:t>Podíl</w:t>
            </w:r>
          </w:p>
        </w:tc>
      </w:tr>
      <w:tr w:rsidR="00B45213" w:rsidRPr="00B45213" w14:paraId="34B560CA" w14:textId="77777777" w:rsidTr="00B45213">
        <w:trPr>
          <w:trHeight w:val="260"/>
        </w:trPr>
        <w:tc>
          <w:tcPr>
            <w:tcW w:w="3827" w:type="dxa"/>
            <w:vAlign w:val="center"/>
            <w:hideMark/>
          </w:tcPr>
          <w:p w14:paraId="4B278167" w14:textId="77777777" w:rsidR="00B45213" w:rsidRPr="00B45213" w:rsidRDefault="00B45213" w:rsidP="00B45213">
            <w:pPr>
              <w:spacing w:before="0" w:after="0"/>
              <w:ind w:left="0"/>
              <w:jc w:val="left"/>
              <w:rPr>
                <w:rFonts w:asciiTheme="minorHAnsi" w:hAnsiTheme="minorHAnsi" w:cstheme="minorHAnsi"/>
                <w:b/>
                <w:bCs/>
                <w:szCs w:val="18"/>
              </w:rPr>
            </w:pPr>
            <w:r w:rsidRPr="00B45213">
              <w:rPr>
                <w:rFonts w:asciiTheme="minorHAnsi" w:hAnsiTheme="minorHAnsi" w:cstheme="minorHAnsi"/>
                <w:b/>
                <w:bCs/>
                <w:szCs w:val="18"/>
              </w:rPr>
              <w:t>Celkem</w:t>
            </w:r>
          </w:p>
        </w:tc>
        <w:tc>
          <w:tcPr>
            <w:tcW w:w="1520" w:type="dxa"/>
            <w:vAlign w:val="center"/>
            <w:hideMark/>
          </w:tcPr>
          <w:p w14:paraId="459C2E59" w14:textId="77777777" w:rsidR="00B45213" w:rsidRPr="00B45213" w:rsidRDefault="00B45213" w:rsidP="00B45213">
            <w:pPr>
              <w:spacing w:before="0" w:after="0"/>
              <w:ind w:left="0"/>
              <w:jc w:val="right"/>
              <w:rPr>
                <w:rFonts w:asciiTheme="minorHAnsi" w:hAnsiTheme="minorHAnsi" w:cstheme="minorHAnsi"/>
                <w:color w:val="000000"/>
                <w:szCs w:val="18"/>
              </w:rPr>
            </w:pPr>
            <w:r w:rsidRPr="00B45213">
              <w:rPr>
                <w:rFonts w:asciiTheme="minorHAnsi" w:hAnsiTheme="minorHAnsi" w:cstheme="minorHAnsi"/>
                <w:color w:val="000000"/>
                <w:szCs w:val="18"/>
              </w:rPr>
              <w:t>765</w:t>
            </w:r>
          </w:p>
        </w:tc>
        <w:tc>
          <w:tcPr>
            <w:tcW w:w="1420" w:type="dxa"/>
            <w:vAlign w:val="center"/>
            <w:hideMark/>
          </w:tcPr>
          <w:p w14:paraId="13AAF5AF" w14:textId="77777777" w:rsidR="00B45213" w:rsidRPr="00B45213" w:rsidRDefault="00B45213" w:rsidP="00B45213">
            <w:pPr>
              <w:spacing w:before="0" w:after="0"/>
              <w:ind w:left="0"/>
              <w:jc w:val="right"/>
              <w:rPr>
                <w:rFonts w:asciiTheme="minorHAnsi" w:hAnsiTheme="minorHAnsi" w:cstheme="minorHAnsi"/>
                <w:color w:val="000000"/>
                <w:szCs w:val="18"/>
              </w:rPr>
            </w:pPr>
            <w:r w:rsidRPr="00B45213">
              <w:rPr>
                <w:rFonts w:asciiTheme="minorHAnsi" w:hAnsiTheme="minorHAnsi" w:cstheme="minorHAnsi"/>
                <w:color w:val="000000"/>
                <w:szCs w:val="18"/>
              </w:rPr>
              <w:t>370</w:t>
            </w:r>
          </w:p>
        </w:tc>
        <w:tc>
          <w:tcPr>
            <w:tcW w:w="960" w:type="dxa"/>
            <w:noWrap/>
            <w:vAlign w:val="bottom"/>
            <w:hideMark/>
          </w:tcPr>
          <w:p w14:paraId="209FFCE3" w14:textId="77777777" w:rsidR="00B45213" w:rsidRPr="00B45213" w:rsidRDefault="00B45213" w:rsidP="00B45213">
            <w:pPr>
              <w:spacing w:before="0" w:after="0"/>
              <w:ind w:left="0"/>
              <w:jc w:val="right"/>
              <w:rPr>
                <w:rFonts w:asciiTheme="minorHAnsi" w:hAnsiTheme="minorHAnsi" w:cstheme="minorHAnsi"/>
                <w:color w:val="000000"/>
                <w:szCs w:val="18"/>
              </w:rPr>
            </w:pPr>
          </w:p>
        </w:tc>
      </w:tr>
      <w:tr w:rsidR="00B45213" w:rsidRPr="00B45213" w14:paraId="07A9761A" w14:textId="77777777" w:rsidTr="00B45213">
        <w:trPr>
          <w:trHeight w:val="260"/>
        </w:trPr>
        <w:tc>
          <w:tcPr>
            <w:tcW w:w="3827" w:type="dxa"/>
            <w:vAlign w:val="center"/>
            <w:hideMark/>
          </w:tcPr>
          <w:p w14:paraId="2D4EF46F" w14:textId="77777777" w:rsidR="00B45213" w:rsidRPr="00B45213" w:rsidRDefault="00B45213" w:rsidP="00B45213">
            <w:pPr>
              <w:spacing w:before="0" w:after="0"/>
              <w:ind w:left="0"/>
              <w:jc w:val="left"/>
              <w:rPr>
                <w:rFonts w:asciiTheme="minorHAnsi" w:hAnsiTheme="minorHAnsi" w:cstheme="minorHAnsi"/>
                <w:b/>
                <w:bCs/>
                <w:szCs w:val="18"/>
              </w:rPr>
            </w:pPr>
            <w:r w:rsidRPr="00B45213">
              <w:rPr>
                <w:rFonts w:asciiTheme="minorHAnsi" w:hAnsiTheme="minorHAnsi" w:cstheme="minorHAnsi"/>
                <w:b/>
                <w:bCs/>
                <w:szCs w:val="18"/>
              </w:rPr>
              <w:t>Fyzické osoby</w:t>
            </w:r>
          </w:p>
        </w:tc>
        <w:tc>
          <w:tcPr>
            <w:tcW w:w="1520" w:type="dxa"/>
            <w:vAlign w:val="center"/>
            <w:hideMark/>
          </w:tcPr>
          <w:p w14:paraId="49041200" w14:textId="77777777" w:rsidR="00B45213" w:rsidRPr="00B45213" w:rsidRDefault="00B45213" w:rsidP="00B45213">
            <w:pPr>
              <w:spacing w:before="0" w:after="0"/>
              <w:ind w:left="0"/>
              <w:jc w:val="right"/>
              <w:rPr>
                <w:rFonts w:asciiTheme="minorHAnsi" w:hAnsiTheme="minorHAnsi" w:cstheme="minorHAnsi"/>
                <w:color w:val="000000"/>
                <w:szCs w:val="18"/>
              </w:rPr>
            </w:pPr>
            <w:r w:rsidRPr="00B45213">
              <w:rPr>
                <w:rFonts w:asciiTheme="minorHAnsi" w:hAnsiTheme="minorHAnsi" w:cstheme="minorHAnsi"/>
                <w:color w:val="000000"/>
                <w:szCs w:val="18"/>
              </w:rPr>
              <w:t>593</w:t>
            </w:r>
          </w:p>
        </w:tc>
        <w:tc>
          <w:tcPr>
            <w:tcW w:w="1420" w:type="dxa"/>
            <w:vAlign w:val="center"/>
            <w:hideMark/>
          </w:tcPr>
          <w:p w14:paraId="3C33755F" w14:textId="77777777" w:rsidR="00B45213" w:rsidRPr="00B45213" w:rsidRDefault="00B45213" w:rsidP="00B45213">
            <w:pPr>
              <w:spacing w:before="0" w:after="0"/>
              <w:ind w:left="0"/>
              <w:jc w:val="right"/>
              <w:rPr>
                <w:rFonts w:asciiTheme="minorHAnsi" w:hAnsiTheme="minorHAnsi" w:cstheme="minorHAnsi"/>
                <w:color w:val="000000"/>
                <w:szCs w:val="18"/>
              </w:rPr>
            </w:pPr>
            <w:r w:rsidRPr="00B45213">
              <w:rPr>
                <w:rFonts w:asciiTheme="minorHAnsi" w:hAnsiTheme="minorHAnsi" w:cstheme="minorHAnsi"/>
                <w:color w:val="000000"/>
                <w:szCs w:val="18"/>
              </w:rPr>
              <w:t>290</w:t>
            </w:r>
          </w:p>
        </w:tc>
        <w:tc>
          <w:tcPr>
            <w:tcW w:w="960" w:type="dxa"/>
            <w:noWrap/>
            <w:vAlign w:val="center"/>
            <w:hideMark/>
          </w:tcPr>
          <w:p w14:paraId="1D2AA284" w14:textId="77777777" w:rsidR="00B45213" w:rsidRPr="00B45213" w:rsidRDefault="00B45213" w:rsidP="00B45213">
            <w:pPr>
              <w:spacing w:before="0" w:after="0"/>
              <w:ind w:left="0"/>
              <w:jc w:val="right"/>
              <w:rPr>
                <w:rFonts w:asciiTheme="minorHAnsi" w:hAnsiTheme="minorHAnsi" w:cstheme="minorHAnsi"/>
                <w:color w:val="000000"/>
                <w:szCs w:val="18"/>
              </w:rPr>
            </w:pPr>
            <w:r w:rsidRPr="00B45213">
              <w:rPr>
                <w:rFonts w:asciiTheme="minorHAnsi" w:hAnsiTheme="minorHAnsi" w:cstheme="minorHAnsi"/>
                <w:color w:val="000000"/>
                <w:szCs w:val="18"/>
              </w:rPr>
              <w:t>78%</w:t>
            </w:r>
          </w:p>
        </w:tc>
      </w:tr>
      <w:tr w:rsidR="00B45213" w:rsidRPr="00B45213" w14:paraId="1CCAC720" w14:textId="77777777" w:rsidTr="00B45213">
        <w:trPr>
          <w:trHeight w:val="750"/>
        </w:trPr>
        <w:tc>
          <w:tcPr>
            <w:tcW w:w="3827" w:type="dxa"/>
            <w:vAlign w:val="center"/>
            <w:hideMark/>
          </w:tcPr>
          <w:p w14:paraId="0B247640" w14:textId="77777777" w:rsidR="00B45213" w:rsidRPr="00B45213" w:rsidRDefault="00B45213" w:rsidP="00B45213">
            <w:pPr>
              <w:spacing w:before="0" w:after="0"/>
              <w:ind w:left="0"/>
              <w:jc w:val="left"/>
              <w:rPr>
                <w:rFonts w:asciiTheme="minorHAnsi" w:hAnsiTheme="minorHAnsi" w:cstheme="minorHAnsi"/>
                <w:color w:val="000000"/>
                <w:szCs w:val="18"/>
              </w:rPr>
            </w:pPr>
            <w:r w:rsidRPr="00B45213">
              <w:rPr>
                <w:rFonts w:asciiTheme="minorHAnsi" w:hAnsiTheme="minorHAnsi" w:cstheme="minorHAnsi"/>
                <w:color w:val="000000"/>
                <w:szCs w:val="18"/>
              </w:rPr>
              <w:t xml:space="preserve">Fyzické osoby </w:t>
            </w:r>
            <w:r w:rsidRPr="00B45213">
              <w:rPr>
                <w:rFonts w:asciiTheme="minorHAnsi" w:hAnsiTheme="minorHAnsi" w:cstheme="minorHAnsi"/>
                <w:color w:val="000000"/>
                <w:szCs w:val="18"/>
              </w:rPr>
              <w:br/>
              <w:t xml:space="preserve">podnikající dle </w:t>
            </w:r>
            <w:r w:rsidRPr="00B45213">
              <w:rPr>
                <w:rFonts w:asciiTheme="minorHAnsi" w:hAnsiTheme="minorHAnsi" w:cstheme="minorHAnsi"/>
                <w:color w:val="000000"/>
                <w:szCs w:val="18"/>
              </w:rPr>
              <w:br/>
              <w:t>živnostenského zákona</w:t>
            </w:r>
          </w:p>
        </w:tc>
        <w:tc>
          <w:tcPr>
            <w:tcW w:w="1520" w:type="dxa"/>
            <w:vAlign w:val="center"/>
            <w:hideMark/>
          </w:tcPr>
          <w:p w14:paraId="10D92E93" w14:textId="77777777" w:rsidR="00B45213" w:rsidRPr="00B45213" w:rsidRDefault="00B45213" w:rsidP="00B45213">
            <w:pPr>
              <w:spacing w:before="0" w:after="0"/>
              <w:ind w:left="0"/>
              <w:jc w:val="right"/>
              <w:rPr>
                <w:rFonts w:asciiTheme="minorHAnsi" w:hAnsiTheme="minorHAnsi" w:cstheme="minorHAnsi"/>
                <w:color w:val="000000"/>
                <w:szCs w:val="18"/>
              </w:rPr>
            </w:pPr>
            <w:r w:rsidRPr="00B45213">
              <w:rPr>
                <w:rFonts w:asciiTheme="minorHAnsi" w:hAnsiTheme="minorHAnsi" w:cstheme="minorHAnsi"/>
                <w:color w:val="000000"/>
                <w:szCs w:val="18"/>
              </w:rPr>
              <w:t>575</w:t>
            </w:r>
          </w:p>
        </w:tc>
        <w:tc>
          <w:tcPr>
            <w:tcW w:w="1420" w:type="dxa"/>
            <w:vAlign w:val="center"/>
            <w:hideMark/>
          </w:tcPr>
          <w:p w14:paraId="76DC6F27" w14:textId="77777777" w:rsidR="00B45213" w:rsidRPr="00B45213" w:rsidRDefault="00B45213" w:rsidP="00B45213">
            <w:pPr>
              <w:spacing w:before="0" w:after="0"/>
              <w:ind w:left="0"/>
              <w:jc w:val="right"/>
              <w:rPr>
                <w:rFonts w:asciiTheme="minorHAnsi" w:hAnsiTheme="minorHAnsi" w:cstheme="minorHAnsi"/>
                <w:color w:val="000000"/>
                <w:szCs w:val="18"/>
              </w:rPr>
            </w:pPr>
            <w:r w:rsidRPr="00B45213">
              <w:rPr>
                <w:rFonts w:asciiTheme="minorHAnsi" w:hAnsiTheme="minorHAnsi" w:cstheme="minorHAnsi"/>
                <w:color w:val="000000"/>
                <w:szCs w:val="18"/>
              </w:rPr>
              <w:t>273</w:t>
            </w:r>
          </w:p>
        </w:tc>
        <w:tc>
          <w:tcPr>
            <w:tcW w:w="960" w:type="dxa"/>
            <w:noWrap/>
            <w:vAlign w:val="center"/>
            <w:hideMark/>
          </w:tcPr>
          <w:p w14:paraId="01A11C64" w14:textId="77777777" w:rsidR="00B45213" w:rsidRPr="00B45213" w:rsidRDefault="00B45213" w:rsidP="00B45213">
            <w:pPr>
              <w:spacing w:before="0" w:after="0"/>
              <w:ind w:left="0"/>
              <w:jc w:val="right"/>
              <w:rPr>
                <w:rFonts w:asciiTheme="minorHAnsi" w:hAnsiTheme="minorHAnsi" w:cstheme="minorHAnsi"/>
                <w:color w:val="000000"/>
                <w:szCs w:val="18"/>
              </w:rPr>
            </w:pPr>
            <w:r w:rsidRPr="00B45213">
              <w:rPr>
                <w:rFonts w:asciiTheme="minorHAnsi" w:hAnsiTheme="minorHAnsi" w:cstheme="minorHAnsi"/>
                <w:color w:val="000000"/>
                <w:szCs w:val="18"/>
              </w:rPr>
              <w:t>94%</w:t>
            </w:r>
          </w:p>
        </w:tc>
      </w:tr>
      <w:tr w:rsidR="00B45213" w:rsidRPr="00B45213" w14:paraId="5E993FBA" w14:textId="77777777" w:rsidTr="00B45213">
        <w:trPr>
          <w:trHeight w:val="750"/>
        </w:trPr>
        <w:tc>
          <w:tcPr>
            <w:tcW w:w="3827" w:type="dxa"/>
            <w:vAlign w:val="center"/>
            <w:hideMark/>
          </w:tcPr>
          <w:p w14:paraId="2A45E334" w14:textId="77777777" w:rsidR="00B45213" w:rsidRPr="00B45213" w:rsidRDefault="00B45213" w:rsidP="00B45213">
            <w:pPr>
              <w:spacing w:before="0" w:after="0"/>
              <w:ind w:left="0"/>
              <w:jc w:val="left"/>
              <w:rPr>
                <w:rFonts w:asciiTheme="minorHAnsi" w:hAnsiTheme="minorHAnsi" w:cstheme="minorHAnsi"/>
                <w:color w:val="000000"/>
                <w:szCs w:val="18"/>
              </w:rPr>
            </w:pPr>
            <w:r w:rsidRPr="00B45213">
              <w:rPr>
                <w:rFonts w:asciiTheme="minorHAnsi" w:hAnsiTheme="minorHAnsi" w:cstheme="minorHAnsi"/>
                <w:color w:val="000000"/>
                <w:szCs w:val="18"/>
              </w:rPr>
              <w:t xml:space="preserve">Fyzické osoby </w:t>
            </w:r>
            <w:r w:rsidRPr="00B45213">
              <w:rPr>
                <w:rFonts w:asciiTheme="minorHAnsi" w:hAnsiTheme="minorHAnsi" w:cstheme="minorHAnsi"/>
                <w:color w:val="000000"/>
                <w:szCs w:val="18"/>
              </w:rPr>
              <w:br/>
              <w:t xml:space="preserve">podnikající dle jiného </w:t>
            </w:r>
            <w:r w:rsidRPr="00B45213">
              <w:rPr>
                <w:rFonts w:asciiTheme="minorHAnsi" w:hAnsiTheme="minorHAnsi" w:cstheme="minorHAnsi"/>
                <w:color w:val="000000"/>
                <w:szCs w:val="18"/>
              </w:rPr>
              <w:br/>
              <w:t>než živnostenského zákona</w:t>
            </w:r>
          </w:p>
        </w:tc>
        <w:tc>
          <w:tcPr>
            <w:tcW w:w="1520" w:type="dxa"/>
            <w:vAlign w:val="center"/>
            <w:hideMark/>
          </w:tcPr>
          <w:p w14:paraId="562A194B" w14:textId="77777777" w:rsidR="00B45213" w:rsidRPr="00B45213" w:rsidRDefault="00B45213" w:rsidP="00B45213">
            <w:pPr>
              <w:spacing w:before="0" w:after="0"/>
              <w:ind w:left="0"/>
              <w:jc w:val="right"/>
              <w:rPr>
                <w:rFonts w:asciiTheme="minorHAnsi" w:hAnsiTheme="minorHAnsi" w:cstheme="minorHAnsi"/>
                <w:color w:val="000000"/>
                <w:szCs w:val="18"/>
              </w:rPr>
            </w:pPr>
            <w:r w:rsidRPr="00B45213">
              <w:rPr>
                <w:rFonts w:asciiTheme="minorHAnsi" w:hAnsiTheme="minorHAnsi" w:cstheme="minorHAnsi"/>
                <w:color w:val="000000"/>
                <w:szCs w:val="18"/>
              </w:rPr>
              <w:t>16</w:t>
            </w:r>
          </w:p>
        </w:tc>
        <w:tc>
          <w:tcPr>
            <w:tcW w:w="1420" w:type="dxa"/>
            <w:vAlign w:val="center"/>
            <w:hideMark/>
          </w:tcPr>
          <w:p w14:paraId="28193ACF" w14:textId="77777777" w:rsidR="00B45213" w:rsidRPr="00B45213" w:rsidRDefault="00B45213" w:rsidP="00B45213">
            <w:pPr>
              <w:spacing w:before="0" w:after="0"/>
              <w:ind w:left="0"/>
              <w:jc w:val="right"/>
              <w:rPr>
                <w:rFonts w:asciiTheme="minorHAnsi" w:hAnsiTheme="minorHAnsi" w:cstheme="minorHAnsi"/>
                <w:color w:val="000000"/>
                <w:szCs w:val="18"/>
              </w:rPr>
            </w:pPr>
            <w:r w:rsidRPr="00B45213">
              <w:rPr>
                <w:rFonts w:asciiTheme="minorHAnsi" w:hAnsiTheme="minorHAnsi" w:cstheme="minorHAnsi"/>
                <w:color w:val="000000"/>
                <w:szCs w:val="18"/>
              </w:rPr>
              <w:t>15</w:t>
            </w:r>
          </w:p>
        </w:tc>
        <w:tc>
          <w:tcPr>
            <w:tcW w:w="960" w:type="dxa"/>
            <w:noWrap/>
            <w:vAlign w:val="center"/>
            <w:hideMark/>
          </w:tcPr>
          <w:p w14:paraId="6AF1F036" w14:textId="77777777" w:rsidR="00B45213" w:rsidRPr="00B45213" w:rsidRDefault="00B45213" w:rsidP="00B45213">
            <w:pPr>
              <w:spacing w:before="0" w:after="0"/>
              <w:ind w:left="0"/>
              <w:jc w:val="right"/>
              <w:rPr>
                <w:rFonts w:asciiTheme="minorHAnsi" w:hAnsiTheme="minorHAnsi" w:cstheme="minorHAnsi"/>
                <w:color w:val="000000"/>
                <w:szCs w:val="18"/>
              </w:rPr>
            </w:pPr>
            <w:r w:rsidRPr="00B45213">
              <w:rPr>
                <w:rFonts w:asciiTheme="minorHAnsi" w:hAnsiTheme="minorHAnsi" w:cstheme="minorHAnsi"/>
                <w:color w:val="000000"/>
                <w:szCs w:val="18"/>
              </w:rPr>
              <w:t>5%</w:t>
            </w:r>
          </w:p>
        </w:tc>
      </w:tr>
      <w:tr w:rsidR="00B45213" w:rsidRPr="00B45213" w14:paraId="203D27C4" w14:textId="77777777" w:rsidTr="00B45213">
        <w:trPr>
          <w:trHeight w:val="250"/>
        </w:trPr>
        <w:tc>
          <w:tcPr>
            <w:tcW w:w="3827" w:type="dxa"/>
            <w:vAlign w:val="center"/>
            <w:hideMark/>
          </w:tcPr>
          <w:p w14:paraId="382EA301" w14:textId="77777777" w:rsidR="00B45213" w:rsidRPr="00B45213" w:rsidRDefault="00B45213" w:rsidP="00B45213">
            <w:pPr>
              <w:spacing w:before="0" w:after="0"/>
              <w:ind w:left="0"/>
              <w:jc w:val="left"/>
              <w:rPr>
                <w:rFonts w:asciiTheme="minorHAnsi" w:hAnsiTheme="minorHAnsi" w:cstheme="minorHAnsi"/>
                <w:color w:val="000000"/>
                <w:szCs w:val="18"/>
              </w:rPr>
            </w:pPr>
            <w:r w:rsidRPr="00B45213">
              <w:rPr>
                <w:rFonts w:asciiTheme="minorHAnsi" w:hAnsiTheme="minorHAnsi" w:cstheme="minorHAnsi"/>
                <w:color w:val="000000"/>
                <w:szCs w:val="18"/>
              </w:rPr>
              <w:t>Zemědělští podnikatelé</w:t>
            </w:r>
          </w:p>
        </w:tc>
        <w:tc>
          <w:tcPr>
            <w:tcW w:w="1520" w:type="dxa"/>
            <w:vAlign w:val="center"/>
            <w:hideMark/>
          </w:tcPr>
          <w:p w14:paraId="70302E6F" w14:textId="77777777" w:rsidR="00B45213" w:rsidRPr="00B45213" w:rsidRDefault="00B45213" w:rsidP="00B45213">
            <w:pPr>
              <w:spacing w:before="0" w:after="0"/>
              <w:ind w:left="0"/>
              <w:jc w:val="right"/>
              <w:rPr>
                <w:rFonts w:asciiTheme="minorHAnsi" w:hAnsiTheme="minorHAnsi" w:cstheme="minorHAnsi"/>
                <w:color w:val="000000"/>
                <w:szCs w:val="18"/>
              </w:rPr>
            </w:pPr>
            <w:r w:rsidRPr="00B45213">
              <w:rPr>
                <w:rFonts w:asciiTheme="minorHAnsi" w:hAnsiTheme="minorHAnsi" w:cstheme="minorHAnsi"/>
                <w:color w:val="000000"/>
                <w:szCs w:val="18"/>
              </w:rPr>
              <w:t>1</w:t>
            </w:r>
          </w:p>
        </w:tc>
        <w:tc>
          <w:tcPr>
            <w:tcW w:w="1420" w:type="dxa"/>
            <w:vAlign w:val="center"/>
            <w:hideMark/>
          </w:tcPr>
          <w:p w14:paraId="037246B3" w14:textId="77777777" w:rsidR="00B45213" w:rsidRPr="00B45213" w:rsidRDefault="00B45213" w:rsidP="00B45213">
            <w:pPr>
              <w:spacing w:before="0" w:after="0"/>
              <w:ind w:left="0"/>
              <w:jc w:val="right"/>
              <w:rPr>
                <w:rFonts w:asciiTheme="minorHAnsi" w:hAnsiTheme="minorHAnsi" w:cstheme="minorHAnsi"/>
                <w:color w:val="000000"/>
                <w:szCs w:val="18"/>
              </w:rPr>
            </w:pPr>
            <w:r w:rsidRPr="00B45213">
              <w:rPr>
                <w:rFonts w:asciiTheme="minorHAnsi" w:hAnsiTheme="minorHAnsi" w:cstheme="minorHAnsi"/>
                <w:color w:val="000000"/>
                <w:szCs w:val="18"/>
              </w:rPr>
              <w:t>1</w:t>
            </w:r>
          </w:p>
        </w:tc>
        <w:tc>
          <w:tcPr>
            <w:tcW w:w="960" w:type="dxa"/>
            <w:noWrap/>
            <w:vAlign w:val="center"/>
            <w:hideMark/>
          </w:tcPr>
          <w:p w14:paraId="520EE392" w14:textId="77777777" w:rsidR="00B45213" w:rsidRPr="00B45213" w:rsidRDefault="00B45213" w:rsidP="00B45213">
            <w:pPr>
              <w:spacing w:before="0" w:after="0"/>
              <w:ind w:left="0"/>
              <w:jc w:val="right"/>
              <w:rPr>
                <w:rFonts w:asciiTheme="minorHAnsi" w:hAnsiTheme="minorHAnsi" w:cstheme="minorHAnsi"/>
                <w:color w:val="000000"/>
                <w:szCs w:val="18"/>
              </w:rPr>
            </w:pPr>
            <w:r w:rsidRPr="00B45213">
              <w:rPr>
                <w:rFonts w:asciiTheme="minorHAnsi" w:hAnsiTheme="minorHAnsi" w:cstheme="minorHAnsi"/>
                <w:color w:val="000000"/>
                <w:szCs w:val="18"/>
              </w:rPr>
              <w:t>0%</w:t>
            </w:r>
          </w:p>
        </w:tc>
      </w:tr>
      <w:tr w:rsidR="00B45213" w:rsidRPr="00B45213" w14:paraId="00A515F1" w14:textId="77777777" w:rsidTr="00B45213">
        <w:trPr>
          <w:trHeight w:val="260"/>
        </w:trPr>
        <w:tc>
          <w:tcPr>
            <w:tcW w:w="3827" w:type="dxa"/>
            <w:vAlign w:val="center"/>
            <w:hideMark/>
          </w:tcPr>
          <w:p w14:paraId="652B47DE" w14:textId="77777777" w:rsidR="00B45213" w:rsidRPr="00B45213" w:rsidRDefault="00B45213" w:rsidP="00B45213">
            <w:pPr>
              <w:spacing w:before="0" w:after="0"/>
              <w:ind w:left="0"/>
              <w:jc w:val="left"/>
              <w:rPr>
                <w:rFonts w:asciiTheme="minorHAnsi" w:hAnsiTheme="minorHAnsi" w:cstheme="minorHAnsi"/>
                <w:b/>
                <w:bCs/>
                <w:szCs w:val="18"/>
              </w:rPr>
            </w:pPr>
            <w:r w:rsidRPr="00B45213">
              <w:rPr>
                <w:rFonts w:asciiTheme="minorHAnsi" w:hAnsiTheme="minorHAnsi" w:cstheme="minorHAnsi"/>
                <w:b/>
                <w:bCs/>
                <w:szCs w:val="18"/>
              </w:rPr>
              <w:t>Právnické osoby</w:t>
            </w:r>
          </w:p>
        </w:tc>
        <w:tc>
          <w:tcPr>
            <w:tcW w:w="1520" w:type="dxa"/>
            <w:vAlign w:val="center"/>
            <w:hideMark/>
          </w:tcPr>
          <w:p w14:paraId="4870FC4B" w14:textId="77777777" w:rsidR="00B45213" w:rsidRPr="00B45213" w:rsidRDefault="00B45213" w:rsidP="00B45213">
            <w:pPr>
              <w:spacing w:before="0" w:after="0"/>
              <w:ind w:left="0"/>
              <w:jc w:val="right"/>
              <w:rPr>
                <w:rFonts w:asciiTheme="minorHAnsi" w:hAnsiTheme="minorHAnsi" w:cstheme="minorHAnsi"/>
                <w:color w:val="000000"/>
                <w:szCs w:val="18"/>
              </w:rPr>
            </w:pPr>
            <w:r w:rsidRPr="00B45213">
              <w:rPr>
                <w:rFonts w:asciiTheme="minorHAnsi" w:hAnsiTheme="minorHAnsi" w:cstheme="minorHAnsi"/>
                <w:color w:val="000000"/>
                <w:szCs w:val="18"/>
              </w:rPr>
              <w:t>172</w:t>
            </w:r>
          </w:p>
        </w:tc>
        <w:tc>
          <w:tcPr>
            <w:tcW w:w="1420" w:type="dxa"/>
            <w:vAlign w:val="center"/>
            <w:hideMark/>
          </w:tcPr>
          <w:p w14:paraId="318BB19F" w14:textId="77777777" w:rsidR="00B45213" w:rsidRPr="00B45213" w:rsidRDefault="00B45213" w:rsidP="00B45213">
            <w:pPr>
              <w:spacing w:before="0" w:after="0"/>
              <w:ind w:left="0"/>
              <w:jc w:val="right"/>
              <w:rPr>
                <w:rFonts w:asciiTheme="minorHAnsi" w:hAnsiTheme="minorHAnsi" w:cstheme="minorHAnsi"/>
                <w:color w:val="000000"/>
                <w:szCs w:val="18"/>
              </w:rPr>
            </w:pPr>
            <w:r w:rsidRPr="00B45213">
              <w:rPr>
                <w:rFonts w:asciiTheme="minorHAnsi" w:hAnsiTheme="minorHAnsi" w:cstheme="minorHAnsi"/>
                <w:color w:val="000000"/>
                <w:szCs w:val="18"/>
              </w:rPr>
              <w:t>80</w:t>
            </w:r>
          </w:p>
        </w:tc>
        <w:tc>
          <w:tcPr>
            <w:tcW w:w="960" w:type="dxa"/>
            <w:noWrap/>
            <w:vAlign w:val="center"/>
            <w:hideMark/>
          </w:tcPr>
          <w:p w14:paraId="5729FB93" w14:textId="77777777" w:rsidR="00B45213" w:rsidRPr="00B45213" w:rsidRDefault="00B45213" w:rsidP="00B45213">
            <w:pPr>
              <w:spacing w:before="0" w:after="0"/>
              <w:ind w:left="0"/>
              <w:jc w:val="right"/>
              <w:rPr>
                <w:rFonts w:asciiTheme="minorHAnsi" w:hAnsiTheme="minorHAnsi" w:cstheme="minorHAnsi"/>
                <w:color w:val="000000"/>
                <w:szCs w:val="18"/>
              </w:rPr>
            </w:pPr>
            <w:r w:rsidRPr="00B45213">
              <w:rPr>
                <w:rFonts w:asciiTheme="minorHAnsi" w:hAnsiTheme="minorHAnsi" w:cstheme="minorHAnsi"/>
                <w:color w:val="000000"/>
                <w:szCs w:val="18"/>
              </w:rPr>
              <w:t>22%</w:t>
            </w:r>
          </w:p>
        </w:tc>
      </w:tr>
      <w:tr w:rsidR="00B45213" w:rsidRPr="00B45213" w14:paraId="5CAEAC90" w14:textId="77777777" w:rsidTr="00B45213">
        <w:trPr>
          <w:trHeight w:val="250"/>
        </w:trPr>
        <w:tc>
          <w:tcPr>
            <w:tcW w:w="3827" w:type="dxa"/>
            <w:vAlign w:val="center"/>
            <w:hideMark/>
          </w:tcPr>
          <w:p w14:paraId="5847625E" w14:textId="77777777" w:rsidR="00B45213" w:rsidRPr="00B45213" w:rsidRDefault="00B45213" w:rsidP="00B45213">
            <w:pPr>
              <w:spacing w:before="0" w:after="0"/>
              <w:ind w:left="0"/>
              <w:jc w:val="left"/>
              <w:rPr>
                <w:rFonts w:asciiTheme="minorHAnsi" w:hAnsiTheme="minorHAnsi" w:cstheme="minorHAnsi"/>
                <w:color w:val="000000"/>
                <w:szCs w:val="18"/>
              </w:rPr>
            </w:pPr>
            <w:r w:rsidRPr="00B45213">
              <w:rPr>
                <w:rFonts w:asciiTheme="minorHAnsi" w:hAnsiTheme="minorHAnsi" w:cstheme="minorHAnsi"/>
                <w:color w:val="000000"/>
                <w:szCs w:val="18"/>
              </w:rPr>
              <w:t>Obchodní společnosti</w:t>
            </w:r>
          </w:p>
        </w:tc>
        <w:tc>
          <w:tcPr>
            <w:tcW w:w="1520" w:type="dxa"/>
            <w:vAlign w:val="center"/>
            <w:hideMark/>
          </w:tcPr>
          <w:p w14:paraId="4595833F" w14:textId="77777777" w:rsidR="00B45213" w:rsidRPr="00B45213" w:rsidRDefault="00B45213" w:rsidP="00B45213">
            <w:pPr>
              <w:spacing w:before="0" w:after="0"/>
              <w:ind w:left="0"/>
              <w:jc w:val="right"/>
              <w:rPr>
                <w:rFonts w:asciiTheme="minorHAnsi" w:hAnsiTheme="minorHAnsi" w:cstheme="minorHAnsi"/>
                <w:color w:val="000000"/>
                <w:szCs w:val="18"/>
              </w:rPr>
            </w:pPr>
            <w:r w:rsidRPr="00B45213">
              <w:rPr>
                <w:rFonts w:asciiTheme="minorHAnsi" w:hAnsiTheme="minorHAnsi" w:cstheme="minorHAnsi"/>
                <w:color w:val="000000"/>
                <w:szCs w:val="18"/>
              </w:rPr>
              <w:t>67</w:t>
            </w:r>
          </w:p>
        </w:tc>
        <w:tc>
          <w:tcPr>
            <w:tcW w:w="1420" w:type="dxa"/>
            <w:vAlign w:val="center"/>
            <w:hideMark/>
          </w:tcPr>
          <w:p w14:paraId="13D8D7B0" w14:textId="77777777" w:rsidR="00B45213" w:rsidRPr="00B45213" w:rsidRDefault="00B45213" w:rsidP="00B45213">
            <w:pPr>
              <w:spacing w:before="0" w:after="0"/>
              <w:ind w:left="0"/>
              <w:jc w:val="right"/>
              <w:rPr>
                <w:rFonts w:asciiTheme="minorHAnsi" w:hAnsiTheme="minorHAnsi" w:cstheme="minorHAnsi"/>
                <w:color w:val="000000"/>
                <w:szCs w:val="18"/>
              </w:rPr>
            </w:pPr>
            <w:r w:rsidRPr="00B45213">
              <w:rPr>
                <w:rFonts w:asciiTheme="minorHAnsi" w:hAnsiTheme="minorHAnsi" w:cstheme="minorHAnsi"/>
                <w:color w:val="000000"/>
                <w:szCs w:val="18"/>
              </w:rPr>
              <w:t>58</w:t>
            </w:r>
          </w:p>
        </w:tc>
        <w:tc>
          <w:tcPr>
            <w:tcW w:w="960" w:type="dxa"/>
            <w:noWrap/>
            <w:vAlign w:val="center"/>
            <w:hideMark/>
          </w:tcPr>
          <w:p w14:paraId="00D73F93" w14:textId="77777777" w:rsidR="00B45213" w:rsidRPr="00B45213" w:rsidRDefault="00B45213" w:rsidP="00B45213">
            <w:pPr>
              <w:spacing w:before="0" w:after="0"/>
              <w:ind w:left="0"/>
              <w:jc w:val="right"/>
              <w:rPr>
                <w:rFonts w:asciiTheme="minorHAnsi" w:hAnsiTheme="minorHAnsi" w:cstheme="minorHAnsi"/>
                <w:color w:val="000000"/>
                <w:szCs w:val="18"/>
              </w:rPr>
            </w:pPr>
            <w:r w:rsidRPr="00B45213">
              <w:rPr>
                <w:rFonts w:asciiTheme="minorHAnsi" w:hAnsiTheme="minorHAnsi" w:cstheme="minorHAnsi"/>
                <w:color w:val="000000"/>
                <w:szCs w:val="18"/>
              </w:rPr>
              <w:t>73%</w:t>
            </w:r>
          </w:p>
        </w:tc>
      </w:tr>
      <w:tr w:rsidR="00B45213" w:rsidRPr="00B45213" w14:paraId="3DCA82FE" w14:textId="77777777" w:rsidTr="00B45213">
        <w:trPr>
          <w:trHeight w:val="250"/>
        </w:trPr>
        <w:tc>
          <w:tcPr>
            <w:tcW w:w="3827" w:type="dxa"/>
            <w:vAlign w:val="center"/>
            <w:hideMark/>
          </w:tcPr>
          <w:p w14:paraId="341EF911" w14:textId="77777777" w:rsidR="00B45213" w:rsidRPr="00B45213" w:rsidRDefault="00B45213" w:rsidP="00B45213">
            <w:pPr>
              <w:spacing w:before="0" w:after="0"/>
              <w:ind w:left="0" w:firstLineChars="100" w:firstLine="180"/>
              <w:jc w:val="left"/>
              <w:rPr>
                <w:rFonts w:asciiTheme="minorHAnsi" w:hAnsiTheme="minorHAnsi" w:cstheme="minorHAnsi"/>
                <w:color w:val="000000"/>
                <w:szCs w:val="18"/>
              </w:rPr>
            </w:pPr>
            <w:r w:rsidRPr="00B45213">
              <w:rPr>
                <w:rFonts w:asciiTheme="minorHAnsi" w:hAnsiTheme="minorHAnsi" w:cstheme="minorHAnsi"/>
                <w:color w:val="000000"/>
                <w:szCs w:val="18"/>
              </w:rPr>
              <w:t>akciové společnosti</w:t>
            </w:r>
          </w:p>
        </w:tc>
        <w:tc>
          <w:tcPr>
            <w:tcW w:w="1520" w:type="dxa"/>
            <w:vAlign w:val="center"/>
            <w:hideMark/>
          </w:tcPr>
          <w:p w14:paraId="2345BD92" w14:textId="77777777" w:rsidR="00B45213" w:rsidRPr="00B45213" w:rsidRDefault="00B45213" w:rsidP="00B45213">
            <w:pPr>
              <w:spacing w:before="0" w:after="0"/>
              <w:ind w:left="0"/>
              <w:jc w:val="right"/>
              <w:rPr>
                <w:rFonts w:asciiTheme="minorHAnsi" w:hAnsiTheme="minorHAnsi" w:cstheme="minorHAnsi"/>
                <w:color w:val="000000"/>
                <w:szCs w:val="18"/>
              </w:rPr>
            </w:pPr>
            <w:r w:rsidRPr="00B45213">
              <w:rPr>
                <w:rFonts w:asciiTheme="minorHAnsi" w:hAnsiTheme="minorHAnsi" w:cstheme="minorHAnsi"/>
                <w:color w:val="000000"/>
                <w:szCs w:val="18"/>
              </w:rPr>
              <w:t>2</w:t>
            </w:r>
          </w:p>
        </w:tc>
        <w:tc>
          <w:tcPr>
            <w:tcW w:w="1420" w:type="dxa"/>
            <w:vAlign w:val="center"/>
            <w:hideMark/>
          </w:tcPr>
          <w:p w14:paraId="45864CF3" w14:textId="77777777" w:rsidR="00B45213" w:rsidRPr="00B45213" w:rsidRDefault="00B45213" w:rsidP="00B45213">
            <w:pPr>
              <w:spacing w:before="0" w:after="0"/>
              <w:ind w:left="0"/>
              <w:jc w:val="right"/>
              <w:rPr>
                <w:rFonts w:asciiTheme="minorHAnsi" w:hAnsiTheme="minorHAnsi" w:cstheme="minorHAnsi"/>
                <w:color w:val="000000"/>
                <w:szCs w:val="18"/>
              </w:rPr>
            </w:pPr>
            <w:r w:rsidRPr="00B45213">
              <w:rPr>
                <w:rFonts w:asciiTheme="minorHAnsi" w:hAnsiTheme="minorHAnsi" w:cstheme="minorHAnsi"/>
                <w:color w:val="000000"/>
                <w:szCs w:val="18"/>
              </w:rPr>
              <w:t>2</w:t>
            </w:r>
          </w:p>
        </w:tc>
        <w:tc>
          <w:tcPr>
            <w:tcW w:w="960" w:type="dxa"/>
            <w:noWrap/>
            <w:vAlign w:val="center"/>
            <w:hideMark/>
          </w:tcPr>
          <w:p w14:paraId="4C42E7FC" w14:textId="77777777" w:rsidR="00B45213" w:rsidRPr="00B45213" w:rsidRDefault="00B45213" w:rsidP="00B45213">
            <w:pPr>
              <w:spacing w:before="0" w:after="0"/>
              <w:ind w:left="0"/>
              <w:jc w:val="right"/>
              <w:rPr>
                <w:rFonts w:asciiTheme="minorHAnsi" w:hAnsiTheme="minorHAnsi" w:cstheme="minorHAnsi"/>
                <w:color w:val="000000"/>
                <w:szCs w:val="18"/>
              </w:rPr>
            </w:pPr>
            <w:r w:rsidRPr="00B45213">
              <w:rPr>
                <w:rFonts w:asciiTheme="minorHAnsi" w:hAnsiTheme="minorHAnsi" w:cstheme="minorHAnsi"/>
                <w:color w:val="000000"/>
                <w:szCs w:val="18"/>
              </w:rPr>
              <w:t>3%</w:t>
            </w:r>
          </w:p>
        </w:tc>
      </w:tr>
      <w:tr w:rsidR="00B45213" w:rsidRPr="00B45213" w14:paraId="478C1B65" w14:textId="77777777" w:rsidTr="00B45213">
        <w:trPr>
          <w:trHeight w:val="250"/>
        </w:trPr>
        <w:tc>
          <w:tcPr>
            <w:tcW w:w="3827" w:type="dxa"/>
            <w:vAlign w:val="center"/>
            <w:hideMark/>
          </w:tcPr>
          <w:p w14:paraId="1D1018F3" w14:textId="77777777" w:rsidR="00B45213" w:rsidRPr="00B45213" w:rsidRDefault="00B45213" w:rsidP="00B45213">
            <w:pPr>
              <w:spacing w:before="0" w:after="0"/>
              <w:ind w:left="0"/>
              <w:jc w:val="left"/>
              <w:rPr>
                <w:rFonts w:asciiTheme="minorHAnsi" w:hAnsiTheme="minorHAnsi" w:cstheme="minorHAnsi"/>
                <w:color w:val="000000"/>
                <w:szCs w:val="18"/>
              </w:rPr>
            </w:pPr>
            <w:r w:rsidRPr="00B45213">
              <w:rPr>
                <w:rFonts w:asciiTheme="minorHAnsi" w:hAnsiTheme="minorHAnsi" w:cstheme="minorHAnsi"/>
                <w:color w:val="000000"/>
                <w:szCs w:val="18"/>
              </w:rPr>
              <w:t>Družstva</w:t>
            </w:r>
          </w:p>
        </w:tc>
        <w:tc>
          <w:tcPr>
            <w:tcW w:w="1520" w:type="dxa"/>
            <w:vAlign w:val="center"/>
            <w:hideMark/>
          </w:tcPr>
          <w:p w14:paraId="0D99F17B" w14:textId="77777777" w:rsidR="00B45213" w:rsidRPr="00B45213" w:rsidRDefault="00B45213" w:rsidP="00B45213">
            <w:pPr>
              <w:spacing w:before="0" w:after="0"/>
              <w:ind w:left="0"/>
              <w:jc w:val="right"/>
              <w:rPr>
                <w:rFonts w:asciiTheme="minorHAnsi" w:hAnsiTheme="minorHAnsi" w:cstheme="minorHAnsi"/>
                <w:color w:val="000000"/>
                <w:szCs w:val="18"/>
              </w:rPr>
            </w:pPr>
            <w:r w:rsidRPr="00B45213">
              <w:rPr>
                <w:rFonts w:asciiTheme="minorHAnsi" w:hAnsiTheme="minorHAnsi" w:cstheme="minorHAnsi"/>
                <w:color w:val="000000"/>
                <w:szCs w:val="18"/>
              </w:rPr>
              <w:t>2</w:t>
            </w:r>
          </w:p>
        </w:tc>
        <w:tc>
          <w:tcPr>
            <w:tcW w:w="1420" w:type="dxa"/>
            <w:vAlign w:val="center"/>
            <w:hideMark/>
          </w:tcPr>
          <w:p w14:paraId="65D1AEEF" w14:textId="77777777" w:rsidR="00B45213" w:rsidRPr="00B45213" w:rsidRDefault="00B45213" w:rsidP="00B45213">
            <w:pPr>
              <w:spacing w:before="0" w:after="0"/>
              <w:ind w:left="0"/>
              <w:jc w:val="right"/>
              <w:rPr>
                <w:rFonts w:asciiTheme="minorHAnsi" w:hAnsiTheme="minorHAnsi" w:cstheme="minorHAnsi"/>
                <w:color w:val="000000"/>
                <w:szCs w:val="18"/>
              </w:rPr>
            </w:pPr>
            <w:r w:rsidRPr="00B45213">
              <w:rPr>
                <w:rFonts w:asciiTheme="minorHAnsi" w:hAnsiTheme="minorHAnsi" w:cstheme="minorHAnsi"/>
                <w:color w:val="000000"/>
                <w:szCs w:val="18"/>
              </w:rPr>
              <w:t>2</w:t>
            </w:r>
          </w:p>
        </w:tc>
        <w:tc>
          <w:tcPr>
            <w:tcW w:w="960" w:type="dxa"/>
            <w:noWrap/>
            <w:vAlign w:val="center"/>
            <w:hideMark/>
          </w:tcPr>
          <w:p w14:paraId="3830E9F5" w14:textId="77777777" w:rsidR="00B45213" w:rsidRPr="00B45213" w:rsidRDefault="00B45213" w:rsidP="00B45213">
            <w:pPr>
              <w:spacing w:before="0" w:after="0"/>
              <w:ind w:left="0"/>
              <w:jc w:val="right"/>
              <w:rPr>
                <w:rFonts w:asciiTheme="minorHAnsi" w:hAnsiTheme="minorHAnsi" w:cstheme="minorHAnsi"/>
                <w:color w:val="000000"/>
                <w:szCs w:val="18"/>
              </w:rPr>
            </w:pPr>
            <w:r w:rsidRPr="00B45213">
              <w:rPr>
                <w:rFonts w:asciiTheme="minorHAnsi" w:hAnsiTheme="minorHAnsi" w:cstheme="minorHAnsi"/>
                <w:color w:val="000000"/>
                <w:szCs w:val="18"/>
              </w:rPr>
              <w:t>3%</w:t>
            </w:r>
          </w:p>
        </w:tc>
      </w:tr>
    </w:tbl>
    <w:p w14:paraId="1EB05FBE" w14:textId="3F2EFD4E" w:rsidR="00F20095" w:rsidRPr="006C66C2" w:rsidRDefault="00F20095" w:rsidP="00B45213">
      <w:pPr>
        <w:pStyle w:val="Citt"/>
        <w:jc w:val="left"/>
      </w:pPr>
      <w:r w:rsidRPr="008708F5">
        <w:t>(zdroj: ČSÚ, SLDB 202</w:t>
      </w:r>
      <w:r w:rsidR="00B45213">
        <w:t>4</w:t>
      </w:r>
      <w:r w:rsidRPr="008708F5">
        <w:t>)</w:t>
      </w:r>
    </w:p>
    <w:p w14:paraId="6F55B531" w14:textId="06EDC5AC" w:rsidR="00F20095" w:rsidRPr="008708F5" w:rsidRDefault="00F20095" w:rsidP="00F20095">
      <w:r w:rsidRPr="008708F5">
        <w:t xml:space="preserve">Ve </w:t>
      </w:r>
      <w:r w:rsidR="00B45213">
        <w:t>Hlubočkách</w:t>
      </w:r>
      <w:r w:rsidRPr="008708F5">
        <w:t xml:space="preserve"> je poměrně velký počet podnikatelských subjektů, z toho 7</w:t>
      </w:r>
      <w:r w:rsidR="00596810">
        <w:t>8</w:t>
      </w:r>
      <w:r w:rsidRPr="008708F5">
        <w:t xml:space="preserve"> % fyzických osob a 2</w:t>
      </w:r>
      <w:r w:rsidR="00596810">
        <w:t>2</w:t>
      </w:r>
      <w:r w:rsidRPr="008708F5">
        <w:t xml:space="preserve"> % právnických osob. </w:t>
      </w:r>
      <w:r w:rsidR="00596810">
        <w:t>Nejvyšší je zastoupení podnikatelských subjektů v průmyslu a stavebnictví, což odráží dlouhodobě stabilizovaný stav hospodářského prostředí obce. Potenciálem je i nezanedbatelný podél profesní, vědecké a technické činnosti.</w:t>
      </w:r>
    </w:p>
    <w:p w14:paraId="23B4EAD9" w14:textId="0FEDEB4D" w:rsidR="00F20095" w:rsidRPr="00F20095" w:rsidRDefault="00F20095" w:rsidP="00F20095">
      <w:r w:rsidRPr="008708F5">
        <w:rPr>
          <w:b/>
          <w:bCs/>
        </w:rPr>
        <w:t>Z uvedeného vyplývá, že</w:t>
      </w:r>
      <w:r>
        <w:rPr>
          <w:b/>
          <w:bCs/>
        </w:rPr>
        <w:t xml:space="preserve"> rozvoj podnikání je vhodné integrovat do polyfunkčního charakteru využití území a </w:t>
      </w:r>
      <w:r w:rsidR="00BF0231">
        <w:rPr>
          <w:b/>
          <w:bCs/>
        </w:rPr>
        <w:t>stávající plošně rozsáhlé průmyslové a podnikatelské areály stabilizovat</w:t>
      </w:r>
      <w:r>
        <w:rPr>
          <w:b/>
          <w:bCs/>
        </w:rPr>
        <w:t>.</w:t>
      </w:r>
      <w:r w:rsidRPr="008708F5">
        <w:rPr>
          <w:b/>
          <w:bCs/>
        </w:rPr>
        <w:t xml:space="preserve"> Převažující</w:t>
      </w:r>
      <w:r>
        <w:rPr>
          <w:b/>
          <w:bCs/>
        </w:rPr>
        <w:t>mi</w:t>
      </w:r>
      <w:r w:rsidRPr="008708F5">
        <w:rPr>
          <w:b/>
          <w:bCs/>
        </w:rPr>
        <w:t xml:space="preserve"> činnost</w:t>
      </w:r>
      <w:r>
        <w:rPr>
          <w:b/>
          <w:bCs/>
        </w:rPr>
        <w:t>mi</w:t>
      </w:r>
      <w:r w:rsidRPr="008708F5">
        <w:rPr>
          <w:b/>
          <w:bCs/>
        </w:rPr>
        <w:t xml:space="preserve"> </w:t>
      </w:r>
      <w:r w:rsidR="00BF0231">
        <w:rPr>
          <w:b/>
          <w:bCs/>
        </w:rPr>
        <w:t>jsou průmysl</w:t>
      </w:r>
      <w:r w:rsidRPr="008708F5">
        <w:rPr>
          <w:b/>
          <w:bCs/>
        </w:rPr>
        <w:t>, stavebnictví a</w:t>
      </w:r>
      <w:r>
        <w:rPr>
          <w:b/>
          <w:bCs/>
        </w:rPr>
        <w:t> </w:t>
      </w:r>
      <w:r w:rsidRPr="008708F5">
        <w:rPr>
          <w:b/>
          <w:bCs/>
        </w:rPr>
        <w:t>průmysl</w:t>
      </w:r>
      <w:r w:rsidR="00BF0231">
        <w:rPr>
          <w:b/>
          <w:bCs/>
        </w:rPr>
        <w:t xml:space="preserve"> a </w:t>
      </w:r>
      <w:r w:rsidR="00BF0231" w:rsidRPr="008708F5">
        <w:rPr>
          <w:b/>
          <w:bCs/>
        </w:rPr>
        <w:t>profesní a</w:t>
      </w:r>
      <w:r w:rsidR="00BF0231">
        <w:rPr>
          <w:b/>
          <w:bCs/>
        </w:rPr>
        <w:t> </w:t>
      </w:r>
      <w:r w:rsidR="00BF0231" w:rsidRPr="008708F5">
        <w:rPr>
          <w:b/>
          <w:bCs/>
        </w:rPr>
        <w:t>vědecké činnost</w:t>
      </w:r>
      <w:r w:rsidR="00BF0231">
        <w:rPr>
          <w:b/>
          <w:bCs/>
        </w:rPr>
        <w:t>i.</w:t>
      </w:r>
    </w:p>
    <w:p w14:paraId="29CA5891" w14:textId="0C7438BB" w:rsidR="00816728" w:rsidRDefault="00816728" w:rsidP="00816728">
      <w:pPr>
        <w:pStyle w:val="Nadpis3"/>
      </w:pPr>
      <w:bookmarkStart w:id="160" w:name="_Toc232612666"/>
      <w:r>
        <w:t>Využití zastavěného území</w:t>
      </w:r>
      <w:bookmarkEnd w:id="160"/>
    </w:p>
    <w:p w14:paraId="635FBF02" w14:textId="7FF5236A" w:rsidR="00816728" w:rsidRDefault="00816728" w:rsidP="00EA5F70">
      <w:r>
        <w:t xml:space="preserve">Zastavěné území obce má rozlohu cca 275,1 ha. </w:t>
      </w:r>
      <w:r w:rsidRPr="00040C21">
        <w:t xml:space="preserve">V zastavěném území </w:t>
      </w:r>
      <w:r>
        <w:t>obce</w:t>
      </w:r>
      <w:r w:rsidRPr="00040C21">
        <w:t xml:space="preserve"> včetně místních částí je cca</w:t>
      </w:r>
      <w:r>
        <w:t> </w:t>
      </w:r>
      <w:r w:rsidR="009611F0">
        <w:t>97,2 </w:t>
      </w:r>
      <w:r w:rsidRPr="00040C21">
        <w:t xml:space="preserve">ha stabilizovaných ploch smíšených obytných. </w:t>
      </w:r>
      <w:r>
        <w:t xml:space="preserve">Průměrná teoretická hustota obyvatel ve vztahu k zastavěnému území obce je cca </w:t>
      </w:r>
      <w:r w:rsidR="009611F0">
        <w:t>40</w:t>
      </w:r>
      <w:r>
        <w:t xml:space="preserve"> obyv./ha. Stávající průměrná hustota obyvatel je základním údajem pro</w:t>
      </w:r>
      <w:r w:rsidR="00C96D3E">
        <w:t> </w:t>
      </w:r>
      <w:r>
        <w:t>bilanci nárůstu počtu obyvatel v rámci návrhových ploch.</w:t>
      </w:r>
    </w:p>
    <w:p w14:paraId="32013335" w14:textId="71948415" w:rsidR="00AC1A02" w:rsidRDefault="00AC1A02">
      <w:pPr>
        <w:spacing w:before="0" w:after="0"/>
        <w:ind w:left="0"/>
        <w:jc w:val="left"/>
      </w:pPr>
      <w:r>
        <w:br w:type="page"/>
      </w:r>
    </w:p>
    <w:p w14:paraId="2D8F4C52" w14:textId="2B661BA1" w:rsidR="003A2C2D" w:rsidRDefault="00F820DD" w:rsidP="00F820DD">
      <w:pPr>
        <w:pStyle w:val="Nadpis2"/>
      </w:pPr>
      <w:bookmarkStart w:id="161" w:name="_Toc232612667"/>
      <w:r>
        <w:lastRenderedPageBreak/>
        <w:t>Vyhodnocení</w:t>
      </w:r>
      <w:bookmarkEnd w:id="161"/>
    </w:p>
    <w:p w14:paraId="2539F073" w14:textId="77777777" w:rsidR="00F820DD" w:rsidRPr="00040C21" w:rsidRDefault="00F820DD" w:rsidP="00F820DD">
      <w:pPr>
        <w:pStyle w:val="Nadpis3"/>
      </w:pPr>
      <w:bookmarkStart w:id="162" w:name="_Toc213941404"/>
      <w:bookmarkStart w:id="163" w:name="_Toc213941672"/>
      <w:bookmarkStart w:id="164" w:name="_Toc232612668"/>
      <w:r w:rsidRPr="00040C21">
        <w:t>Vyhodnocení pot</w:t>
      </w:r>
      <w:r w:rsidRPr="00040C21">
        <w:rPr>
          <w:rFonts w:hint="eastAsia"/>
        </w:rPr>
        <w:t>ř</w:t>
      </w:r>
      <w:r w:rsidRPr="00040C21">
        <w:t>eby zastavitelných ploch pro bydlení</w:t>
      </w:r>
      <w:bookmarkEnd w:id="162"/>
      <w:bookmarkEnd w:id="163"/>
      <w:bookmarkEnd w:id="164"/>
    </w:p>
    <w:p w14:paraId="5C0F01BB" w14:textId="2073BC3D" w:rsidR="00360343" w:rsidRDefault="00360343" w:rsidP="00F820DD">
      <w:r>
        <w:t>Ze zprávy o uplatňování ÚP Hlubočky vyplývá, že bylo využito cca 20% ploch pro bydlení. Zároveň některé návrhové plochy byly s ohledem na stavební vývoj obce zahrnuty do zastavěného území jako proluky v souvislé zástavbě.</w:t>
      </w:r>
    </w:p>
    <w:p w14:paraId="3ACA43F8" w14:textId="5537E312" w:rsidR="00F820DD" w:rsidRPr="00040C21" w:rsidRDefault="00F820DD" w:rsidP="00F820DD">
      <w:r>
        <w:t>Rozsah návrhových</w:t>
      </w:r>
      <w:r w:rsidRPr="00040C21">
        <w:t xml:space="preserve"> ploch pro bydlení byl proveden na základě východisek stanovených v kap. </w:t>
      </w:r>
      <w:r>
        <w:t>XII.b</w:t>
      </w:r>
      <w:r w:rsidRPr="00040C21">
        <w:t xml:space="preserve">. </w:t>
      </w:r>
    </w:p>
    <w:p w14:paraId="7C9E52E9" w14:textId="77777777" w:rsidR="00F820DD" w:rsidRPr="00040C21" w:rsidRDefault="00F820DD" w:rsidP="00F820DD">
      <w:r w:rsidRPr="00040C21">
        <w:t>Odhad potřeby zastavitelných ploch předpokládá:</w:t>
      </w:r>
    </w:p>
    <w:p w14:paraId="60DFC255" w14:textId="0AEED224" w:rsidR="00F820DD" w:rsidRPr="00040C21" w:rsidRDefault="00F820DD">
      <w:pPr>
        <w:pStyle w:val="Odstavecseseznamem"/>
        <w:numPr>
          <w:ilvl w:val="0"/>
          <w:numId w:val="23"/>
        </w:numPr>
        <w:ind w:left="1134"/>
      </w:pPr>
      <w:r w:rsidRPr="00040C21">
        <w:t>cílový rok vyhodnocení 20</w:t>
      </w:r>
      <w:r w:rsidR="004561E7">
        <w:t>42</w:t>
      </w:r>
      <w:r>
        <w:t xml:space="preserve"> (</w:t>
      </w:r>
      <w:r w:rsidR="004561E7">
        <w:t>4</w:t>
      </w:r>
      <w:r>
        <w:t xml:space="preserve"> čtyřletá evaluační období)</w:t>
      </w:r>
    </w:p>
    <w:p w14:paraId="032F234E" w14:textId="7D357ACD" w:rsidR="00F820DD" w:rsidRDefault="00F820DD">
      <w:pPr>
        <w:pStyle w:val="Odstavecseseznamem"/>
        <w:numPr>
          <w:ilvl w:val="0"/>
          <w:numId w:val="23"/>
        </w:numPr>
        <w:ind w:left="1134"/>
      </w:pPr>
      <w:r w:rsidRPr="00435001">
        <w:t xml:space="preserve">předpokládaný maximální nárůst počtu obyvatel cca </w:t>
      </w:r>
      <w:r w:rsidR="006C00BA">
        <w:t>15 - 20</w:t>
      </w:r>
      <w:r w:rsidRPr="00435001">
        <w:t>% oproti stávajícímu stavu</w:t>
      </w:r>
      <w:r>
        <w:t xml:space="preserve">, celkem nárůst </w:t>
      </w:r>
      <w:r w:rsidR="000C37C0">
        <w:t>5</w:t>
      </w:r>
      <w:r w:rsidR="006C00BA">
        <w:t>00 až 800</w:t>
      </w:r>
      <w:r>
        <w:t xml:space="preserve"> obyvatel</w:t>
      </w:r>
    </w:p>
    <w:p w14:paraId="7A9F1A3A" w14:textId="77777777" w:rsidR="00F820DD" w:rsidRPr="00040C21" w:rsidRDefault="00F820DD">
      <w:pPr>
        <w:pStyle w:val="Odstavecseseznamem"/>
        <w:numPr>
          <w:ilvl w:val="0"/>
          <w:numId w:val="23"/>
        </w:numPr>
        <w:ind w:left="1134"/>
      </w:pPr>
      <w:r w:rsidRPr="00040C21">
        <w:t xml:space="preserve">předpoklad cca </w:t>
      </w:r>
      <w:r>
        <w:t>150–250</w:t>
      </w:r>
      <w:r w:rsidRPr="00040C21">
        <w:t xml:space="preserve"> nových bytů (vlastní výpočet)</w:t>
      </w:r>
    </w:p>
    <w:p w14:paraId="44BE187C" w14:textId="4D190554" w:rsidR="00F820DD" w:rsidRPr="00040C21" w:rsidRDefault="00F820DD">
      <w:pPr>
        <w:pStyle w:val="Odstavecseseznamem"/>
        <w:numPr>
          <w:ilvl w:val="0"/>
          <w:numId w:val="23"/>
        </w:numPr>
        <w:ind w:left="1134"/>
      </w:pPr>
      <w:r w:rsidRPr="00040C21">
        <w:t xml:space="preserve">předpoklad cca </w:t>
      </w:r>
      <w:r w:rsidR="0000519F">
        <w:t>10-12</w:t>
      </w:r>
      <w:r w:rsidRPr="00040C21">
        <w:t xml:space="preserve"> ha nových zastavitelných ploch pro bydlení</w:t>
      </w:r>
    </w:p>
    <w:p w14:paraId="4BBE18CD" w14:textId="7134E5D5" w:rsidR="00F820DD" w:rsidRDefault="00F820DD" w:rsidP="00F820DD">
      <w:r w:rsidRPr="00040C21">
        <w:t xml:space="preserve">Územní plán vymezuje cca </w:t>
      </w:r>
      <w:r>
        <w:rPr>
          <w:b/>
          <w:bCs/>
        </w:rPr>
        <w:t>16,5</w:t>
      </w:r>
      <w:r w:rsidRPr="005A302B">
        <w:rPr>
          <w:b/>
          <w:bCs/>
        </w:rPr>
        <w:t xml:space="preserve"> ha</w:t>
      </w:r>
      <w:r w:rsidRPr="00040C21">
        <w:t xml:space="preserve"> </w:t>
      </w:r>
      <w:r>
        <w:t>návrhových</w:t>
      </w:r>
      <w:r w:rsidRPr="00040C21">
        <w:t xml:space="preserve"> ploch smíšených obytných</w:t>
      </w:r>
      <w:r>
        <w:t xml:space="preserve"> </w:t>
      </w:r>
      <w:r w:rsidRPr="00040C21">
        <w:t>pro</w:t>
      </w:r>
      <w:r>
        <w:t> </w:t>
      </w:r>
      <w:r w:rsidRPr="00040C21">
        <w:t>uspokojení bytové potřeby. Je nutné uvést, že podíl ploch smíšených obytných slouží pro rozvoj občanského vybaven</w:t>
      </w:r>
      <w:r>
        <w:t>í, podnikání a</w:t>
      </w:r>
      <w:r w:rsidR="00C618EE">
        <w:t> </w:t>
      </w:r>
      <w:r>
        <w:t>služeb</w:t>
      </w:r>
      <w:r w:rsidRPr="00040C21">
        <w:t xml:space="preserve">. </w:t>
      </w:r>
      <w:r>
        <w:t xml:space="preserve">Přepokládá se využití cca 80 % vymezených ploch pro bydlení, tedy </w:t>
      </w:r>
      <w:r w:rsidRPr="005A302B">
        <w:rPr>
          <w:b/>
          <w:bCs/>
        </w:rPr>
        <w:t xml:space="preserve">cca </w:t>
      </w:r>
      <w:r>
        <w:rPr>
          <w:b/>
          <w:bCs/>
        </w:rPr>
        <w:t xml:space="preserve">13 </w:t>
      </w:r>
      <w:r w:rsidRPr="005A302B">
        <w:rPr>
          <w:b/>
          <w:bCs/>
        </w:rPr>
        <w:t>ha</w:t>
      </w:r>
      <w:r>
        <w:t>.</w:t>
      </w:r>
    </w:p>
    <w:p w14:paraId="56CA3C73" w14:textId="77777777" w:rsidR="00F820DD" w:rsidRDefault="00F820DD" w:rsidP="00F820DD">
      <w:r>
        <w:t xml:space="preserve">Průměrná hustota návrhových ploch smíšených obytných je 35–50 obyv./ha dle polohy ve struktuře obce. </w:t>
      </w:r>
    </w:p>
    <w:p w14:paraId="277DE8A9" w14:textId="1182F750" w:rsidR="00F820DD" w:rsidRPr="00040C21" w:rsidRDefault="00F820DD" w:rsidP="00F820DD">
      <w:r>
        <w:t xml:space="preserve">Stávající počet obyvatel je </w:t>
      </w:r>
      <w:r w:rsidR="00F444AD">
        <w:t xml:space="preserve">4 </w:t>
      </w:r>
      <w:r w:rsidR="005B58A3">
        <w:t>176</w:t>
      </w:r>
      <w:r>
        <w:t xml:space="preserve">, předpokládaný počet obyvatel při naplnění návrhových ploch je cca </w:t>
      </w:r>
      <w:r w:rsidR="00F444AD" w:rsidRPr="009611F0">
        <w:rPr>
          <w:b/>
          <w:bCs/>
        </w:rPr>
        <w:t>4 800</w:t>
      </w:r>
      <w:r w:rsidR="00F444AD">
        <w:t xml:space="preserve"> až </w:t>
      </w:r>
      <w:r w:rsidR="00F444AD" w:rsidRPr="009611F0">
        <w:rPr>
          <w:b/>
          <w:bCs/>
        </w:rPr>
        <w:t>5 000</w:t>
      </w:r>
      <w:r>
        <w:t xml:space="preserve"> obyvatel</w:t>
      </w:r>
      <w:r w:rsidR="005B58A3">
        <w:t>, nárůst obyvatel je předpokládán ve výši do 20% stávajícího počtu obyvatel</w:t>
      </w:r>
      <w:r>
        <w:t>.</w:t>
      </w:r>
    </w:p>
    <w:p w14:paraId="24536FEA" w14:textId="77777777" w:rsidR="00F820DD" w:rsidRDefault="00F820DD" w:rsidP="00F820DD">
      <w:r w:rsidRPr="00040C21">
        <w:t xml:space="preserve">Je možné konstatovat, že rozsah ploch </w:t>
      </w:r>
      <w:r>
        <w:t>pro bydlení odpovídá předpokládané potřebě v návrhovém horizontu územního plánu</w:t>
      </w:r>
      <w:r w:rsidRPr="00040C21">
        <w:t>.</w:t>
      </w:r>
    </w:p>
    <w:p w14:paraId="2FF939A7" w14:textId="77777777" w:rsidR="00F820DD" w:rsidRDefault="00F820DD" w:rsidP="00F820DD">
      <w:pPr>
        <w:pStyle w:val="Nadpis3"/>
      </w:pPr>
      <w:bookmarkStart w:id="165" w:name="_Toc232612669"/>
      <w:r>
        <w:t>Vyhodnocení potřeby ploch rekreace</w:t>
      </w:r>
      <w:bookmarkEnd w:id="165"/>
    </w:p>
    <w:p w14:paraId="072586C0" w14:textId="27A9F8E9" w:rsidR="00F820DD" w:rsidRDefault="00F820DD" w:rsidP="00F820DD">
      <w:r>
        <w:t>Plochy individuální rekreace jsou dle zadání ÚP stabilizovány a jejich rozvoj není navrhován.</w:t>
      </w:r>
    </w:p>
    <w:p w14:paraId="45AF2760" w14:textId="77777777" w:rsidR="00F820DD" w:rsidRDefault="00F820DD" w:rsidP="00F820DD">
      <w:r>
        <w:t>V rámci stabilizovaných ploch individuální rekreace bude pro rozvoj rekreačního využití území využito stávajících proluk a nezastavěných pozemků.</w:t>
      </w:r>
    </w:p>
    <w:p w14:paraId="1F22FF32" w14:textId="77777777" w:rsidR="00F820DD" w:rsidRPr="00040C21" w:rsidRDefault="00F820DD" w:rsidP="00F820DD">
      <w:pPr>
        <w:pStyle w:val="Nadpis3"/>
      </w:pPr>
      <w:bookmarkStart w:id="166" w:name="_Toc213941405"/>
      <w:bookmarkStart w:id="167" w:name="_Toc213941673"/>
      <w:bookmarkStart w:id="168" w:name="_Toc232612670"/>
      <w:r w:rsidRPr="00040C21">
        <w:t>Vyhodnocení potřeby zastavitelných pro</w:t>
      </w:r>
      <w:bookmarkEnd w:id="166"/>
      <w:bookmarkEnd w:id="167"/>
      <w:r>
        <w:t xml:space="preserve"> komerční činnosti a podnikání</w:t>
      </w:r>
      <w:bookmarkEnd w:id="168"/>
    </w:p>
    <w:p w14:paraId="1CA4F037" w14:textId="37909386" w:rsidR="00F820DD" w:rsidRDefault="00F820DD" w:rsidP="00F820DD">
      <w:r>
        <w:t>Rozsah návrhových ploch pro komerční činnosti a</w:t>
      </w:r>
      <w:r w:rsidRPr="00040C21">
        <w:t xml:space="preserve"> podnikání byl proveden na</w:t>
      </w:r>
      <w:r>
        <w:t> </w:t>
      </w:r>
      <w:r w:rsidRPr="00040C21">
        <w:t xml:space="preserve">základě východisek stanovených v kap. </w:t>
      </w:r>
      <w:r>
        <w:t>XII.</w:t>
      </w:r>
      <w:r w:rsidR="007F2CB8">
        <w:t>b</w:t>
      </w:r>
      <w:r w:rsidR="00C77136">
        <w:t>.</w:t>
      </w:r>
    </w:p>
    <w:p w14:paraId="643ED7EF" w14:textId="2804C8CD" w:rsidR="00C77136" w:rsidRPr="00040C21" w:rsidRDefault="00C77136" w:rsidP="00F820DD">
      <w:r>
        <w:t>Plochy smíšené výrobní jsou územně stabilizovány v dostatečném rozsahu a nejsou navrhovány nové zastavitelné plochy pro výrobu a podnikání. Drobná nerušící výroba a podnikání je integrováno do ploch smíšených obytných.</w:t>
      </w:r>
    </w:p>
    <w:p w14:paraId="72D3B46D" w14:textId="36D06440" w:rsidR="007F2CB8" w:rsidRDefault="007F2CB8">
      <w:pPr>
        <w:spacing w:before="0" w:after="0"/>
        <w:ind w:left="0"/>
        <w:jc w:val="left"/>
      </w:pPr>
      <w:r>
        <w:br w:type="page"/>
      </w:r>
    </w:p>
    <w:p w14:paraId="6E7A26EF" w14:textId="77777777" w:rsidR="002E3D64" w:rsidRPr="00040C21" w:rsidRDefault="002E3D64" w:rsidP="002E3D64">
      <w:pPr>
        <w:pStyle w:val="Nadpis1"/>
      </w:pPr>
      <w:bookmarkStart w:id="169" w:name="_Toc213947250"/>
      <w:bookmarkStart w:id="170" w:name="_Toc214308172"/>
      <w:bookmarkStart w:id="171" w:name="_Toc232612671"/>
      <w:r>
        <w:lastRenderedPageBreak/>
        <w:t>V</w:t>
      </w:r>
      <w:r w:rsidRPr="00D6192B">
        <w:t>ýčet prvků regulačního plánu, případně s odchylně stanovenými požadavky na výstavbu s odůvodněním jejich vymezení</w:t>
      </w:r>
      <w:bookmarkEnd w:id="169"/>
      <w:bookmarkEnd w:id="170"/>
      <w:bookmarkEnd w:id="171"/>
    </w:p>
    <w:p w14:paraId="6150A942" w14:textId="5E403AAA" w:rsidR="002E3D64" w:rsidRDefault="002E3D64" w:rsidP="002E3D64">
      <w:r w:rsidRPr="00040C21">
        <w:t xml:space="preserve">Územní plán </w:t>
      </w:r>
      <w:r>
        <w:t xml:space="preserve">Hlubočky </w:t>
      </w:r>
      <w:r w:rsidRPr="00040C21">
        <w:t xml:space="preserve">vymezuje </w:t>
      </w:r>
      <w:r>
        <w:t xml:space="preserve">následující </w:t>
      </w:r>
      <w:r w:rsidRPr="00040C21">
        <w:t>prvky regulačního plánu</w:t>
      </w:r>
      <w:r>
        <w:t>:</w:t>
      </w:r>
    </w:p>
    <w:p w14:paraId="7CF1DDED" w14:textId="77777777" w:rsidR="00420DFC" w:rsidRPr="00EA4709" w:rsidRDefault="00420DFC">
      <w:pPr>
        <w:pStyle w:val="Odstavecseseznamem"/>
        <w:numPr>
          <w:ilvl w:val="0"/>
          <w:numId w:val="24"/>
        </w:numPr>
        <w:spacing w:before="60" w:after="60"/>
        <w:ind w:left="709" w:hanging="425"/>
        <w:rPr>
          <w:rFonts w:cs="Calibri"/>
          <w:u w:val="single"/>
        </w:rPr>
      </w:pPr>
      <w:r w:rsidRPr="00EA4709">
        <w:rPr>
          <w:rFonts w:cs="Calibri"/>
          <w:u w:val="single"/>
        </w:rPr>
        <w:t xml:space="preserve">Typická střešní krajina </w:t>
      </w:r>
    </w:p>
    <w:p w14:paraId="5ECB9EBC" w14:textId="018F1E9B" w:rsidR="00420DFC" w:rsidRDefault="00420DFC" w:rsidP="00420DFC">
      <w:pPr>
        <w:suppressAutoHyphens/>
        <w:spacing w:before="120" w:after="0" w:line="240" w:lineRule="atLeast"/>
        <w:rPr>
          <w:rFonts w:cs="Calibri"/>
          <w:bCs/>
          <w:iCs/>
          <w:snapToGrid w:val="0"/>
        </w:rPr>
      </w:pPr>
      <w:r>
        <w:rPr>
          <w:rFonts w:cs="Calibri"/>
          <w:bCs/>
          <w:iCs/>
          <w:snapToGrid w:val="0"/>
        </w:rPr>
        <w:t>Podmínka je stanovena z důvodu ochrany charakteru stření krajiny zástavby, pohledově významně exponované ze svahů údolí Bystřice. Podmínka je stanovena v rozsahu celého správního území obce s ohledem na pohledově exponovanou údolní polohu zástavby v údolí Bystřice nebo pohledově exponovanou náhorní polohu Posluchova a Posluchovského kopce s v kontextu panoramatických pohledů na a z prostoru Svatého Kopečka.</w:t>
      </w:r>
    </w:p>
    <w:p w14:paraId="4495871C" w14:textId="77777777" w:rsidR="00420DFC" w:rsidRPr="00EA4709" w:rsidRDefault="00420DFC">
      <w:pPr>
        <w:pStyle w:val="Odstavecseseznamem"/>
        <w:numPr>
          <w:ilvl w:val="0"/>
          <w:numId w:val="24"/>
        </w:numPr>
        <w:spacing w:before="60" w:after="60"/>
        <w:ind w:left="709" w:hanging="425"/>
        <w:rPr>
          <w:rFonts w:cs="Calibri"/>
          <w:bCs/>
          <w:iCs/>
          <w:snapToGrid w:val="0"/>
          <w:u w:val="single"/>
        </w:rPr>
      </w:pPr>
      <w:r w:rsidRPr="00EA4709">
        <w:rPr>
          <w:rFonts w:cs="Calibri"/>
          <w:bCs/>
          <w:u w:val="single"/>
        </w:rPr>
        <w:t xml:space="preserve">Parkovací stání na pozemku staveb </w:t>
      </w:r>
      <w:r>
        <w:rPr>
          <w:rFonts w:cs="Calibri"/>
          <w:bCs/>
          <w:u w:val="single"/>
        </w:rPr>
        <w:t>rodinných domů</w:t>
      </w:r>
    </w:p>
    <w:p w14:paraId="701E33FE" w14:textId="34D25697" w:rsidR="00420DFC" w:rsidRPr="00EA4709" w:rsidRDefault="00B23DE8" w:rsidP="00420DFC">
      <w:pPr>
        <w:suppressAutoHyphens/>
        <w:spacing w:before="120" w:after="0" w:line="240" w:lineRule="atLeast"/>
        <w:rPr>
          <w:rFonts w:cs="Calibri"/>
          <w:bCs/>
          <w:iCs/>
          <w:snapToGrid w:val="0"/>
        </w:rPr>
      </w:pPr>
      <w:r>
        <w:rPr>
          <w:rFonts w:cs="Calibri"/>
          <w:bCs/>
          <w:iCs/>
          <w:snapToGrid w:val="0"/>
        </w:rPr>
        <w:t xml:space="preserve">Podmínka je stanovena z důvodu zajištění dostatečných kapacit parkovacích stání na vlastních pozemcích staveb a minimalizaci záboru veřejných prostranství pro parkování. Ve stabilizovaných částech obce není reálná úprava prostorových parametrů veřejných </w:t>
      </w:r>
      <w:r w:rsidR="00517AE0">
        <w:rPr>
          <w:rFonts w:cs="Calibri"/>
          <w:bCs/>
          <w:iCs/>
          <w:snapToGrid w:val="0"/>
        </w:rPr>
        <w:t>prostranství,</w:t>
      </w:r>
      <w:r>
        <w:rPr>
          <w:rFonts w:cs="Calibri"/>
          <w:bCs/>
          <w:iCs/>
          <w:snapToGrid w:val="0"/>
        </w:rPr>
        <w:t xml:space="preserve"> a tedy je nezbytné zajistit v maximální možné míře prostupnost veřejných prostranství s ohledem na zajištění dostupnosti systému IZS.</w:t>
      </w:r>
    </w:p>
    <w:p w14:paraId="51BD7947" w14:textId="77777777" w:rsidR="00420DFC" w:rsidRPr="00EA4709" w:rsidRDefault="00420DFC">
      <w:pPr>
        <w:pStyle w:val="Odstavecseseznamem"/>
        <w:numPr>
          <w:ilvl w:val="0"/>
          <w:numId w:val="24"/>
        </w:numPr>
        <w:spacing w:before="60" w:after="60"/>
        <w:ind w:left="709" w:hanging="425"/>
        <w:rPr>
          <w:rFonts w:cs="Calibri"/>
          <w:bCs/>
          <w:u w:val="single"/>
        </w:rPr>
      </w:pPr>
      <w:r w:rsidRPr="00EA4709">
        <w:rPr>
          <w:rFonts w:cs="Calibri"/>
          <w:bCs/>
          <w:u w:val="single"/>
        </w:rPr>
        <w:t>Oplocení pozemku</w:t>
      </w:r>
    </w:p>
    <w:p w14:paraId="6D968EE6" w14:textId="2BC77505" w:rsidR="00420DFC" w:rsidRPr="00EA4709" w:rsidRDefault="00517AE0" w:rsidP="00420DFC">
      <w:pPr>
        <w:suppressAutoHyphens/>
        <w:spacing w:before="120" w:after="0" w:line="240" w:lineRule="atLeast"/>
        <w:rPr>
          <w:rFonts w:cs="Calibri"/>
          <w:bCs/>
          <w:iCs/>
          <w:snapToGrid w:val="0"/>
        </w:rPr>
      </w:pPr>
      <w:r>
        <w:rPr>
          <w:rFonts w:cs="Calibri"/>
          <w:bCs/>
          <w:iCs/>
          <w:snapToGrid w:val="0"/>
        </w:rPr>
        <w:t xml:space="preserve">Podmínky charakteru a architektonického řešení oplocení jsou stanoveny z důvodu zajištění stávající kvality veřejných prostranství a ochrany jejich příměstského až venkovského charakteru. </w:t>
      </w:r>
      <w:r w:rsidR="00076BD0">
        <w:rPr>
          <w:rFonts w:cs="Calibri"/>
          <w:bCs/>
          <w:iCs/>
          <w:snapToGrid w:val="0"/>
        </w:rPr>
        <w:t>Typickým n</w:t>
      </w:r>
      <w:r>
        <w:rPr>
          <w:rFonts w:cs="Calibri"/>
          <w:bCs/>
          <w:iCs/>
          <w:snapToGrid w:val="0"/>
        </w:rPr>
        <w:t xml:space="preserve">egativním jevem je </w:t>
      </w:r>
      <w:r w:rsidR="00076BD0">
        <w:rPr>
          <w:rFonts w:cs="Calibri"/>
          <w:bCs/>
          <w:iCs/>
          <w:snapToGrid w:val="0"/>
        </w:rPr>
        <w:t>řešení oplocení pozemků směrem do veřejného prostranství formou neprůhledných výplní, zejména betonových plotových panelů</w:t>
      </w:r>
      <w:r w:rsidR="0079394A">
        <w:rPr>
          <w:rFonts w:cs="Calibri"/>
          <w:bCs/>
          <w:iCs/>
          <w:snapToGrid w:val="0"/>
        </w:rPr>
        <w:t>. Takové řešení poškozuje příměstský a venkovský charakter a obytnou kvalitu veřejných prostranství a zároveň snižuje přirozenou sociální kontrolu a pasivní bezpečnost veřejných prostranství.</w:t>
      </w:r>
    </w:p>
    <w:p w14:paraId="43F509B6" w14:textId="77777777" w:rsidR="00420DFC" w:rsidRPr="00D44EB2" w:rsidRDefault="00420DFC">
      <w:pPr>
        <w:pStyle w:val="Odstavecseseznamem"/>
        <w:numPr>
          <w:ilvl w:val="0"/>
          <w:numId w:val="24"/>
        </w:numPr>
        <w:spacing w:before="60" w:after="60"/>
        <w:ind w:left="709" w:hanging="425"/>
        <w:rPr>
          <w:rFonts w:cs="Calibri"/>
          <w:bCs/>
          <w:u w:val="single"/>
        </w:rPr>
      </w:pPr>
      <w:r w:rsidRPr="00D44EB2">
        <w:rPr>
          <w:rFonts w:cs="Calibri"/>
          <w:bCs/>
          <w:u w:val="single"/>
        </w:rPr>
        <w:t>Architektonické řešení staveb</w:t>
      </w:r>
    </w:p>
    <w:p w14:paraId="2A826435" w14:textId="5438F5B5" w:rsidR="00420DFC" w:rsidRPr="00E3114B" w:rsidRDefault="005D743B" w:rsidP="00420DFC">
      <w:pPr>
        <w:suppressAutoHyphens/>
        <w:spacing w:before="120" w:after="0" w:line="240" w:lineRule="atLeast"/>
        <w:rPr>
          <w:rFonts w:cs="Calibri"/>
          <w:bCs/>
          <w:iCs/>
          <w:snapToGrid w:val="0"/>
        </w:rPr>
      </w:pPr>
      <w:r>
        <w:rPr>
          <w:rFonts w:cs="Calibri"/>
          <w:bCs/>
          <w:iCs/>
          <w:snapToGrid w:val="0"/>
        </w:rPr>
        <w:t>P</w:t>
      </w:r>
      <w:r w:rsidR="00420DFC" w:rsidRPr="00D44EB2">
        <w:rPr>
          <w:rFonts w:cs="Calibri"/>
          <w:bCs/>
          <w:iCs/>
          <w:snapToGrid w:val="0"/>
        </w:rPr>
        <w:t>odmínka řešení fasád staveb v tlumených jemných odstínech přírodních barev</w:t>
      </w:r>
      <w:r>
        <w:rPr>
          <w:rFonts w:cs="Calibri"/>
          <w:bCs/>
          <w:iCs/>
          <w:snapToGrid w:val="0"/>
        </w:rPr>
        <w:t xml:space="preserve"> je stanovena z důvodu zajištění ochrany charakteru příměstské a venkovské zástavby, typické lomenými a pastelovými odstíny barev, přirozeně zapadající do okolního přírodně hodnotného prostředí</w:t>
      </w:r>
      <w:r w:rsidR="00420DFC" w:rsidRPr="00D44EB2">
        <w:rPr>
          <w:rFonts w:cs="Calibri"/>
          <w:bCs/>
          <w:iCs/>
          <w:snapToGrid w:val="0"/>
        </w:rPr>
        <w:t xml:space="preserve">. </w:t>
      </w:r>
      <w:r>
        <w:rPr>
          <w:rFonts w:cs="Calibri"/>
          <w:bCs/>
          <w:iCs/>
          <w:snapToGrid w:val="0"/>
        </w:rPr>
        <w:t>K</w:t>
      </w:r>
      <w:r w:rsidR="00420DFC" w:rsidRPr="00D44EB2">
        <w:rPr>
          <w:rFonts w:cs="Calibri"/>
          <w:bCs/>
          <w:iCs/>
          <w:snapToGrid w:val="0"/>
        </w:rPr>
        <w:t>řiklavé odstíny barev</w:t>
      </w:r>
      <w:r>
        <w:rPr>
          <w:rFonts w:cs="Calibri"/>
          <w:bCs/>
          <w:iCs/>
          <w:snapToGrid w:val="0"/>
        </w:rPr>
        <w:t xml:space="preserve"> narušují harmonické působení zástavby v sídle i krajině.</w:t>
      </w:r>
    </w:p>
    <w:p w14:paraId="674B1DF8" w14:textId="77777777" w:rsidR="00420DFC" w:rsidRPr="00E3114B" w:rsidRDefault="00420DFC">
      <w:pPr>
        <w:pStyle w:val="Odstavecseseznamem"/>
        <w:numPr>
          <w:ilvl w:val="0"/>
          <w:numId w:val="24"/>
        </w:numPr>
        <w:spacing w:before="60" w:after="60"/>
        <w:ind w:left="709" w:hanging="425"/>
        <w:rPr>
          <w:rFonts w:cs="Calibri"/>
          <w:bCs/>
          <w:u w:val="single"/>
        </w:rPr>
      </w:pPr>
      <w:r w:rsidRPr="00E3114B">
        <w:rPr>
          <w:rFonts w:cs="Calibri"/>
          <w:bCs/>
          <w:u w:val="single"/>
        </w:rPr>
        <w:t>Specifické architektonické prvky</w:t>
      </w:r>
    </w:p>
    <w:p w14:paraId="47C98F55" w14:textId="3AAB416D" w:rsidR="00420DFC" w:rsidRDefault="00412C9E" w:rsidP="00420DFC">
      <w:pPr>
        <w:suppressAutoHyphens/>
        <w:spacing w:before="120" w:after="0" w:line="240" w:lineRule="atLeast"/>
        <w:rPr>
          <w:rFonts w:cs="Calibri"/>
          <w:bCs/>
          <w:iCs/>
          <w:snapToGrid w:val="0"/>
        </w:rPr>
      </w:pPr>
      <w:r>
        <w:rPr>
          <w:rFonts w:cs="Calibri"/>
          <w:bCs/>
          <w:iCs/>
          <w:snapToGrid w:val="0"/>
        </w:rPr>
        <w:t>Podmínka výrazových architektonických prvků zástavby je stanovena z důvodu uplatnění např. nárožních dominant a možnosti akcentovat a plnohodnotně architektonicky a funkčně využít významné polohy v rámci struktury území (např. v návaznosti na významné veřejné prostranství, nárožní, park, atp.), podmínka dále posiluje potenciál vzniku prostoru pro komerční parter a občanské vybavení v rámci smíšené obytné zástavby.</w:t>
      </w:r>
    </w:p>
    <w:p w14:paraId="1A8C7A5C" w14:textId="77777777" w:rsidR="00420DFC" w:rsidRDefault="00420DFC">
      <w:pPr>
        <w:pStyle w:val="Odstavecseseznamem"/>
        <w:numPr>
          <w:ilvl w:val="0"/>
          <w:numId w:val="24"/>
        </w:numPr>
        <w:spacing w:before="60" w:after="60"/>
        <w:ind w:left="709" w:hanging="425"/>
        <w:rPr>
          <w:rFonts w:cs="Calibri"/>
          <w:bCs/>
          <w:u w:val="single"/>
        </w:rPr>
      </w:pPr>
      <w:r w:rsidRPr="00FB2E22">
        <w:rPr>
          <w:rFonts w:cs="Calibri"/>
          <w:bCs/>
          <w:u w:val="single"/>
        </w:rPr>
        <w:t>Vzájemné odstupy staveb</w:t>
      </w:r>
    </w:p>
    <w:p w14:paraId="1A3EE408" w14:textId="23C7E6C2" w:rsidR="00420DFC" w:rsidRPr="00FB2E22" w:rsidRDefault="00C940F8" w:rsidP="00420DFC">
      <w:pPr>
        <w:suppressAutoHyphens/>
        <w:spacing w:before="120" w:after="0" w:line="240" w:lineRule="atLeast"/>
        <w:rPr>
          <w:rFonts w:cs="Calibri"/>
          <w:bCs/>
          <w:iCs/>
          <w:snapToGrid w:val="0"/>
        </w:rPr>
      </w:pPr>
      <w:r>
        <w:rPr>
          <w:rFonts w:cs="Calibri"/>
          <w:bCs/>
          <w:iCs/>
          <w:snapToGrid w:val="0"/>
        </w:rPr>
        <w:t>Podmínka odstupových vzdáleností je stanovena z důvodu zajištění minimálního obytného standardu ploch smíšených obytných v návrhových plochách</w:t>
      </w:r>
      <w:r w:rsidR="00672D9C">
        <w:rPr>
          <w:rFonts w:cs="Calibri"/>
          <w:bCs/>
          <w:iCs/>
          <w:snapToGrid w:val="0"/>
        </w:rPr>
        <w:t>.</w:t>
      </w:r>
    </w:p>
    <w:p w14:paraId="1374A530" w14:textId="77777777" w:rsidR="00420DFC" w:rsidRDefault="00420DFC" w:rsidP="002E3D64"/>
    <w:p w14:paraId="5ADDA207" w14:textId="56E735E4" w:rsidR="002E3D64" w:rsidRDefault="002E3D64">
      <w:pPr>
        <w:spacing w:before="0" w:after="0"/>
        <w:ind w:left="0"/>
        <w:jc w:val="left"/>
      </w:pPr>
      <w:r>
        <w:br w:type="page"/>
      </w:r>
    </w:p>
    <w:p w14:paraId="60760CD6" w14:textId="4DDE397F" w:rsidR="00467755" w:rsidRPr="00040C21" w:rsidRDefault="00467755" w:rsidP="00D7638E">
      <w:pPr>
        <w:pStyle w:val="Nadpis1"/>
      </w:pPr>
      <w:bookmarkStart w:id="172" w:name="_Toc232612672"/>
      <w:r w:rsidRPr="00040C21">
        <w:lastRenderedPageBreak/>
        <w:t>Vyhodnocení předpokládaných důsledků navrhovaného řešení na</w:t>
      </w:r>
      <w:r w:rsidR="00ED25D2" w:rsidRPr="00040C21">
        <w:t> </w:t>
      </w:r>
      <w:r w:rsidRPr="00040C21">
        <w:t>zemědělský půdní fond a pozemky určené k plnění funkce lesa</w:t>
      </w:r>
      <w:bookmarkEnd w:id="172"/>
    </w:p>
    <w:p w14:paraId="6D05692B" w14:textId="77777777" w:rsidR="00814438" w:rsidRDefault="00814438" w:rsidP="00814438">
      <w:pPr>
        <w:pStyle w:val="Nadpis2"/>
      </w:pPr>
      <w:bookmarkStart w:id="173" w:name="_Toc232612673"/>
      <w:r w:rsidRPr="00040C21">
        <w:t>Vyhodnocení záborů ZPF</w:t>
      </w:r>
      <w:bookmarkEnd w:id="173"/>
    </w:p>
    <w:p w14:paraId="337DA4C9" w14:textId="77777777" w:rsidR="00891CED" w:rsidRPr="00DA41DE" w:rsidRDefault="00891CED" w:rsidP="00891CED">
      <w:r w:rsidRPr="004434BB">
        <w:t xml:space="preserve">Řešení územního plánu bylo zpracováno v souladu s zák. č. 334/1992 Sb., o ochraně zemědělského půdního fondu (ZPF), v platném znění. Vyhodnocení požadavků na zábor ZPF je provedeno v souladu s platnými provádějícími předpisy o ochraně ZPF, především </w:t>
      </w:r>
      <w:r w:rsidRPr="00DA41DE">
        <w:t>podle § 3 vyhlášky č. 271/2019 Sb., v platném znění Zvýšená ochrana je zajištěna u pozemků, které jsou dle kvality půdy zařazeny do I. a II. třídy ochrany dle metodického pokynu č. j. OOLP/1067/96.</w:t>
      </w:r>
    </w:p>
    <w:p w14:paraId="3FA8BF3E" w14:textId="77777777" w:rsidR="00891CED" w:rsidRPr="00DA41DE" w:rsidRDefault="00891CED" w:rsidP="00891CED">
      <w:pPr>
        <w:pStyle w:val="Nadpis3"/>
      </w:pPr>
      <w:bookmarkStart w:id="174" w:name="_Toc232612674"/>
      <w:r w:rsidRPr="00DA41DE">
        <w:t>Údaje o zemědělském půdním fondu</w:t>
      </w:r>
      <w:bookmarkEnd w:id="174"/>
    </w:p>
    <w:p w14:paraId="47BD8E8E" w14:textId="77777777" w:rsidR="00891CED" w:rsidRPr="00DA41DE" w:rsidRDefault="00891CED" w:rsidP="008A41F9">
      <w:pPr>
        <w:pStyle w:val="Nadpis4"/>
      </w:pPr>
      <w:r w:rsidRPr="00DA41DE">
        <w:t>Základní údaje</w:t>
      </w:r>
    </w:p>
    <w:p w14:paraId="4E12C00B" w14:textId="19C45979" w:rsidR="00891CED" w:rsidRPr="00DA41DE" w:rsidRDefault="00891CED">
      <w:pPr>
        <w:pStyle w:val="normalni-cisla"/>
        <w:numPr>
          <w:ilvl w:val="0"/>
          <w:numId w:val="25"/>
        </w:numPr>
        <w:ind w:left="709"/>
      </w:pPr>
      <w:r w:rsidRPr="00DA41DE">
        <w:t xml:space="preserve">Hlubočky se nachází v údolí Bystřice, zástavba je situována do nivy a dělena na jednotlivá sídla. V náhorní poloze se nachází ves Posluchov. Západně od území se nachází obec Dolany, severně Jívová a jižně Velká Bystřice a Mrsklesy na východě od obce leží neprostupné území vojenského újezdu Libavá s vrcholy Jívový vrch a U kamenné boudy. </w:t>
      </w:r>
    </w:p>
    <w:p w14:paraId="78E69BE1" w14:textId="77777777" w:rsidR="00891CED" w:rsidRPr="00DA41DE" w:rsidRDefault="00891CED" w:rsidP="00891CED">
      <w:r w:rsidRPr="00DA41DE">
        <w:t xml:space="preserve">Svahy nad údolím jsou poměrně příkré a z velké části zalesněné. Místy jsou zemědělsky využívané a sezónně využívané jako sjezdovky pro lyžování jedná se o plochy trvalých travních porostů. Orná půda se nachází v okolí vsi Posluchov v náhorní rovné poloze. </w:t>
      </w:r>
    </w:p>
    <w:p w14:paraId="3BC9A932" w14:textId="77777777" w:rsidR="00891CED" w:rsidRPr="00891CED" w:rsidRDefault="00891CED" w:rsidP="00891CED">
      <w:r w:rsidRPr="00DA41DE">
        <w:t>Na celém území obce se vyskytuje poměrně značná část ploch zemědělské půdy I. třídy ochrany (nejcennější půdy) a II. třídy ochrany (nadprůměrně produkční půdy). Tyto plochy se nachází zejména v nivě Bystřice a u Posluchova. V obci se ve velkém zastoupení vyskytují půdy V. třídy ochrany (pro zemědělství postradatelné půdy). Detailnější specifikace půdních typů popsána v následující tabulce.</w:t>
      </w:r>
    </w:p>
    <w:p w14:paraId="60E93D8B" w14:textId="77777777" w:rsidR="00891CED" w:rsidRPr="00891CED" w:rsidRDefault="00891CED" w:rsidP="00891CED">
      <w:r w:rsidRPr="00DA41DE">
        <w:t>Minimalizace záborů pozemků ZPF byla vyhodnocena spolu s uvažovaným rozvojem sídla a možnostmi vymezení těchto ploch.</w:t>
      </w:r>
      <w:r w:rsidRPr="004434BB">
        <w:t xml:space="preserve"> </w:t>
      </w:r>
    </w:p>
    <w:p w14:paraId="633EB224" w14:textId="490EDACE" w:rsidR="00135065" w:rsidRPr="00AE7FA9" w:rsidRDefault="00135065" w:rsidP="00AE7FA9">
      <w:pPr>
        <w:ind w:hanging="425"/>
      </w:pPr>
      <w:r w:rsidRPr="00B609FA">
        <w:t>.2</w:t>
      </w:r>
      <w:r w:rsidRPr="00B609FA">
        <w:tab/>
        <w:t>Tabulka půdních typů v rámci pozemků ZPF:</w:t>
      </w:r>
      <w:r w:rsidRPr="00B609FA">
        <w:fldChar w:fldCharType="begin"/>
      </w:r>
      <w:r w:rsidRPr="00B609FA">
        <w:instrText xml:space="preserve"> LINK Excel.Sheet.12 "Zošit1" "Hárok1!R1C1:R27C5" \a \f 4 \h  \* MERGEFORMAT </w:instrText>
      </w:r>
      <w:r w:rsidRPr="00B609FA">
        <w:fldChar w:fldCharType="separate"/>
      </w:r>
    </w:p>
    <w:tbl>
      <w:tblPr>
        <w:tblW w:w="7558" w:type="dxa"/>
        <w:tblInd w:w="709" w:type="dxa"/>
        <w:tblBorders>
          <w:top w:val="dashSmallGap" w:sz="4" w:space="0" w:color="auto"/>
          <w:bottom w:val="dashSmallGap" w:sz="4" w:space="0" w:color="auto"/>
          <w:insideH w:val="dashSmallGap" w:sz="4" w:space="0" w:color="auto"/>
        </w:tblBorders>
        <w:tblCellMar>
          <w:left w:w="70" w:type="dxa"/>
          <w:right w:w="70" w:type="dxa"/>
        </w:tblCellMar>
        <w:tblLook w:val="04A0" w:firstRow="1" w:lastRow="0" w:firstColumn="1" w:lastColumn="0" w:noHBand="0" w:noVBand="1"/>
      </w:tblPr>
      <w:tblGrid>
        <w:gridCol w:w="960"/>
        <w:gridCol w:w="960"/>
        <w:gridCol w:w="4034"/>
        <w:gridCol w:w="960"/>
        <w:gridCol w:w="644"/>
      </w:tblGrid>
      <w:tr w:rsidR="00135065" w:rsidRPr="003B35E3" w14:paraId="58022661" w14:textId="77777777" w:rsidTr="003B35E3">
        <w:trPr>
          <w:trHeight w:val="170"/>
        </w:trPr>
        <w:tc>
          <w:tcPr>
            <w:tcW w:w="960" w:type="dxa"/>
            <w:noWrap/>
            <w:vAlign w:val="center"/>
            <w:hideMark/>
          </w:tcPr>
          <w:p w14:paraId="7744EBB0" w14:textId="77777777" w:rsidR="00135065" w:rsidRPr="003B35E3" w:rsidRDefault="00135065" w:rsidP="003B35E3">
            <w:pPr>
              <w:spacing w:before="0" w:after="0"/>
              <w:ind w:left="0"/>
              <w:rPr>
                <w:rFonts w:asciiTheme="minorHAnsi" w:hAnsiTheme="minorHAnsi" w:cstheme="minorHAnsi"/>
                <w:sz w:val="16"/>
                <w:szCs w:val="16"/>
              </w:rPr>
            </w:pPr>
            <w:r w:rsidRPr="003B35E3">
              <w:rPr>
                <w:rFonts w:asciiTheme="minorHAnsi" w:hAnsiTheme="minorHAnsi" w:cstheme="minorHAnsi"/>
                <w:sz w:val="16"/>
                <w:szCs w:val="16"/>
              </w:rPr>
              <w:t>Třída ochrany</w:t>
            </w:r>
          </w:p>
        </w:tc>
        <w:tc>
          <w:tcPr>
            <w:tcW w:w="960" w:type="dxa"/>
            <w:noWrap/>
            <w:vAlign w:val="center"/>
            <w:hideMark/>
          </w:tcPr>
          <w:p w14:paraId="2A12AC42" w14:textId="77777777" w:rsidR="00135065" w:rsidRPr="003B35E3" w:rsidRDefault="00135065" w:rsidP="003B35E3">
            <w:pPr>
              <w:spacing w:before="0" w:after="0"/>
              <w:ind w:left="0"/>
              <w:jc w:val="right"/>
              <w:rPr>
                <w:rFonts w:asciiTheme="minorHAnsi" w:hAnsiTheme="minorHAnsi" w:cstheme="minorHAnsi"/>
                <w:sz w:val="16"/>
                <w:szCs w:val="16"/>
              </w:rPr>
            </w:pPr>
            <w:r w:rsidRPr="003B35E3">
              <w:rPr>
                <w:rFonts w:asciiTheme="minorHAnsi" w:hAnsiTheme="minorHAnsi" w:cstheme="minorHAnsi"/>
                <w:sz w:val="16"/>
                <w:szCs w:val="16"/>
              </w:rPr>
              <w:t>BPEJ</w:t>
            </w:r>
          </w:p>
        </w:tc>
        <w:tc>
          <w:tcPr>
            <w:tcW w:w="4034" w:type="dxa"/>
            <w:vAlign w:val="center"/>
            <w:hideMark/>
          </w:tcPr>
          <w:p w14:paraId="29673A6B" w14:textId="77777777" w:rsidR="00135065" w:rsidRPr="003B35E3" w:rsidRDefault="00135065" w:rsidP="003B35E3">
            <w:pPr>
              <w:spacing w:before="0" w:after="0"/>
              <w:ind w:left="0"/>
              <w:jc w:val="right"/>
              <w:rPr>
                <w:rFonts w:asciiTheme="minorHAnsi" w:hAnsiTheme="minorHAnsi" w:cstheme="minorHAnsi"/>
                <w:sz w:val="16"/>
                <w:szCs w:val="16"/>
              </w:rPr>
            </w:pPr>
            <w:r w:rsidRPr="003B35E3">
              <w:rPr>
                <w:rFonts w:asciiTheme="minorHAnsi" w:hAnsiTheme="minorHAnsi" w:cstheme="minorHAnsi"/>
                <w:sz w:val="16"/>
                <w:szCs w:val="16"/>
              </w:rPr>
              <w:t>Bodová výnosnost</w:t>
            </w:r>
          </w:p>
        </w:tc>
        <w:tc>
          <w:tcPr>
            <w:tcW w:w="960" w:type="dxa"/>
            <w:noWrap/>
            <w:vAlign w:val="center"/>
            <w:hideMark/>
          </w:tcPr>
          <w:p w14:paraId="7838D78F" w14:textId="77777777" w:rsidR="00135065" w:rsidRPr="003B35E3" w:rsidRDefault="00135065" w:rsidP="003B35E3">
            <w:pPr>
              <w:spacing w:before="0" w:after="0"/>
              <w:ind w:left="0"/>
              <w:jc w:val="right"/>
              <w:rPr>
                <w:rFonts w:asciiTheme="minorHAnsi" w:hAnsiTheme="minorHAnsi" w:cstheme="minorHAnsi"/>
                <w:sz w:val="16"/>
                <w:szCs w:val="16"/>
              </w:rPr>
            </w:pPr>
            <w:r w:rsidRPr="003B35E3">
              <w:rPr>
                <w:rFonts w:asciiTheme="minorHAnsi" w:hAnsiTheme="minorHAnsi" w:cstheme="minorHAnsi"/>
                <w:sz w:val="16"/>
                <w:szCs w:val="16"/>
              </w:rPr>
              <w:t>Výměra (ha)</w:t>
            </w:r>
          </w:p>
        </w:tc>
        <w:tc>
          <w:tcPr>
            <w:tcW w:w="644" w:type="dxa"/>
            <w:vAlign w:val="center"/>
            <w:hideMark/>
          </w:tcPr>
          <w:p w14:paraId="37B28E19" w14:textId="77777777" w:rsidR="00135065" w:rsidRPr="003B35E3" w:rsidRDefault="00135065" w:rsidP="003B35E3">
            <w:pPr>
              <w:spacing w:before="0" w:after="0"/>
              <w:ind w:left="0"/>
              <w:jc w:val="right"/>
              <w:rPr>
                <w:rFonts w:asciiTheme="minorHAnsi" w:hAnsiTheme="minorHAnsi" w:cstheme="minorHAnsi"/>
                <w:sz w:val="16"/>
                <w:szCs w:val="16"/>
              </w:rPr>
            </w:pPr>
            <w:r w:rsidRPr="003B35E3">
              <w:rPr>
                <w:rFonts w:asciiTheme="minorHAnsi" w:hAnsiTheme="minorHAnsi" w:cstheme="minorHAnsi"/>
                <w:sz w:val="16"/>
                <w:szCs w:val="16"/>
              </w:rPr>
              <w:t>Výměra celkem</w:t>
            </w:r>
          </w:p>
        </w:tc>
      </w:tr>
      <w:tr w:rsidR="00135065" w:rsidRPr="003B35E3" w14:paraId="2B87CBB0" w14:textId="77777777" w:rsidTr="003B35E3">
        <w:trPr>
          <w:trHeight w:val="170"/>
        </w:trPr>
        <w:tc>
          <w:tcPr>
            <w:tcW w:w="960" w:type="dxa"/>
            <w:noWrap/>
            <w:vAlign w:val="center"/>
            <w:hideMark/>
          </w:tcPr>
          <w:p w14:paraId="65873426" w14:textId="77777777" w:rsidR="00135065" w:rsidRPr="003B35E3" w:rsidRDefault="00135065" w:rsidP="003B35E3">
            <w:pPr>
              <w:spacing w:before="0" w:after="0"/>
              <w:ind w:left="0"/>
              <w:rPr>
                <w:rFonts w:asciiTheme="minorHAnsi" w:hAnsiTheme="minorHAnsi" w:cstheme="minorHAnsi"/>
                <w:sz w:val="16"/>
                <w:szCs w:val="16"/>
              </w:rPr>
            </w:pPr>
            <w:r w:rsidRPr="003B35E3">
              <w:rPr>
                <w:rFonts w:asciiTheme="minorHAnsi" w:hAnsiTheme="minorHAnsi" w:cstheme="minorHAnsi"/>
                <w:sz w:val="16"/>
                <w:szCs w:val="16"/>
              </w:rPr>
              <w:t>I.</w:t>
            </w:r>
          </w:p>
        </w:tc>
        <w:tc>
          <w:tcPr>
            <w:tcW w:w="960" w:type="dxa"/>
            <w:noWrap/>
            <w:vAlign w:val="bottom"/>
            <w:hideMark/>
          </w:tcPr>
          <w:p w14:paraId="0EE878A3" w14:textId="77777777" w:rsidR="00135065" w:rsidRPr="003B35E3" w:rsidRDefault="00135065" w:rsidP="003B35E3">
            <w:pPr>
              <w:spacing w:before="0" w:after="0"/>
              <w:ind w:left="0"/>
              <w:jc w:val="left"/>
              <w:rPr>
                <w:rFonts w:asciiTheme="minorHAnsi" w:hAnsiTheme="minorHAnsi" w:cstheme="minorHAnsi"/>
                <w:sz w:val="16"/>
                <w:szCs w:val="16"/>
              </w:rPr>
            </w:pPr>
            <w:bookmarkStart w:id="175" w:name="_Hlk201216212"/>
            <w:r w:rsidRPr="003B35E3">
              <w:rPr>
                <w:rFonts w:asciiTheme="minorHAnsi" w:hAnsiTheme="minorHAnsi" w:cstheme="minorHAnsi"/>
                <w:sz w:val="16"/>
                <w:szCs w:val="16"/>
              </w:rPr>
              <w:t>5.56.00</w:t>
            </w:r>
            <w:bookmarkEnd w:id="175"/>
          </w:p>
        </w:tc>
        <w:tc>
          <w:tcPr>
            <w:tcW w:w="4034" w:type="dxa"/>
            <w:noWrap/>
            <w:vAlign w:val="bottom"/>
            <w:hideMark/>
          </w:tcPr>
          <w:p w14:paraId="0768CF19" w14:textId="77777777" w:rsidR="00135065" w:rsidRPr="003B35E3" w:rsidRDefault="00135065" w:rsidP="003B35E3">
            <w:pPr>
              <w:spacing w:before="0" w:after="0"/>
              <w:ind w:left="0"/>
              <w:jc w:val="left"/>
              <w:rPr>
                <w:rFonts w:asciiTheme="minorHAnsi" w:hAnsiTheme="minorHAnsi" w:cstheme="minorHAnsi"/>
                <w:sz w:val="16"/>
                <w:szCs w:val="16"/>
              </w:rPr>
            </w:pPr>
            <w:r w:rsidRPr="003B35E3">
              <w:rPr>
                <w:rFonts w:asciiTheme="minorHAnsi" w:hAnsiTheme="minorHAnsi" w:cstheme="minorHAnsi"/>
                <w:sz w:val="16"/>
                <w:szCs w:val="16"/>
              </w:rPr>
              <w:t>57 - málo produkční</w:t>
            </w:r>
          </w:p>
        </w:tc>
        <w:tc>
          <w:tcPr>
            <w:tcW w:w="960" w:type="dxa"/>
            <w:noWrap/>
            <w:vAlign w:val="bottom"/>
            <w:hideMark/>
          </w:tcPr>
          <w:p w14:paraId="5ADDA94E" w14:textId="77777777" w:rsidR="00135065" w:rsidRPr="003B35E3" w:rsidRDefault="00135065" w:rsidP="003B35E3">
            <w:pPr>
              <w:spacing w:before="0" w:after="0"/>
              <w:ind w:left="0"/>
              <w:jc w:val="right"/>
              <w:rPr>
                <w:rFonts w:asciiTheme="minorHAnsi" w:hAnsiTheme="minorHAnsi" w:cstheme="minorHAnsi"/>
                <w:sz w:val="16"/>
                <w:szCs w:val="16"/>
              </w:rPr>
            </w:pPr>
            <w:r w:rsidRPr="003B35E3">
              <w:rPr>
                <w:rFonts w:asciiTheme="minorHAnsi" w:hAnsiTheme="minorHAnsi" w:cstheme="minorHAnsi"/>
                <w:sz w:val="16"/>
                <w:szCs w:val="16"/>
              </w:rPr>
              <w:t>63,99</w:t>
            </w:r>
          </w:p>
        </w:tc>
        <w:tc>
          <w:tcPr>
            <w:tcW w:w="644" w:type="dxa"/>
            <w:vAlign w:val="center"/>
            <w:hideMark/>
          </w:tcPr>
          <w:p w14:paraId="04B4EA29" w14:textId="77777777" w:rsidR="00135065" w:rsidRPr="003B35E3" w:rsidRDefault="00135065" w:rsidP="003B35E3">
            <w:pPr>
              <w:spacing w:before="0" w:after="0"/>
              <w:ind w:left="0"/>
              <w:jc w:val="right"/>
              <w:rPr>
                <w:rFonts w:asciiTheme="minorHAnsi" w:hAnsiTheme="minorHAnsi" w:cstheme="minorHAnsi"/>
                <w:sz w:val="16"/>
                <w:szCs w:val="16"/>
              </w:rPr>
            </w:pPr>
            <w:r w:rsidRPr="003B35E3">
              <w:rPr>
                <w:rFonts w:asciiTheme="minorHAnsi" w:hAnsiTheme="minorHAnsi" w:cstheme="minorHAnsi"/>
                <w:sz w:val="16"/>
                <w:szCs w:val="16"/>
              </w:rPr>
              <w:t> </w:t>
            </w:r>
          </w:p>
        </w:tc>
      </w:tr>
      <w:tr w:rsidR="00135065" w:rsidRPr="003B35E3" w14:paraId="38FC6D40" w14:textId="77777777" w:rsidTr="003B35E3">
        <w:trPr>
          <w:trHeight w:val="170"/>
        </w:trPr>
        <w:tc>
          <w:tcPr>
            <w:tcW w:w="960" w:type="dxa"/>
            <w:noWrap/>
            <w:vAlign w:val="center"/>
            <w:hideMark/>
          </w:tcPr>
          <w:p w14:paraId="139DD989" w14:textId="77777777" w:rsidR="00135065" w:rsidRPr="003B35E3" w:rsidRDefault="00135065" w:rsidP="003B35E3">
            <w:pPr>
              <w:spacing w:before="0" w:after="0"/>
              <w:ind w:left="0"/>
              <w:jc w:val="right"/>
              <w:rPr>
                <w:rFonts w:asciiTheme="minorHAnsi" w:hAnsiTheme="minorHAnsi" w:cstheme="minorHAnsi"/>
                <w:sz w:val="16"/>
                <w:szCs w:val="16"/>
              </w:rPr>
            </w:pPr>
          </w:p>
        </w:tc>
        <w:tc>
          <w:tcPr>
            <w:tcW w:w="960" w:type="dxa"/>
            <w:noWrap/>
            <w:vAlign w:val="bottom"/>
            <w:hideMark/>
          </w:tcPr>
          <w:p w14:paraId="29AF11E5" w14:textId="77777777" w:rsidR="00135065" w:rsidRPr="003B35E3" w:rsidRDefault="00135065" w:rsidP="003B35E3">
            <w:pPr>
              <w:spacing w:before="0" w:after="0"/>
              <w:ind w:left="0"/>
              <w:jc w:val="left"/>
              <w:rPr>
                <w:rFonts w:asciiTheme="minorHAnsi" w:hAnsiTheme="minorHAnsi" w:cstheme="minorHAnsi"/>
                <w:sz w:val="16"/>
                <w:szCs w:val="16"/>
              </w:rPr>
            </w:pPr>
            <w:r w:rsidRPr="003B35E3">
              <w:rPr>
                <w:rFonts w:asciiTheme="minorHAnsi" w:hAnsiTheme="minorHAnsi" w:cstheme="minorHAnsi"/>
                <w:sz w:val="16"/>
                <w:szCs w:val="16"/>
              </w:rPr>
              <w:t>8.35.01</w:t>
            </w:r>
          </w:p>
        </w:tc>
        <w:tc>
          <w:tcPr>
            <w:tcW w:w="4034" w:type="dxa"/>
            <w:noWrap/>
            <w:vAlign w:val="bottom"/>
            <w:hideMark/>
          </w:tcPr>
          <w:p w14:paraId="3C4E4FB7" w14:textId="77777777" w:rsidR="00135065" w:rsidRPr="003B35E3" w:rsidRDefault="00135065" w:rsidP="003B35E3">
            <w:pPr>
              <w:spacing w:before="0" w:after="0"/>
              <w:ind w:left="0"/>
              <w:jc w:val="left"/>
              <w:rPr>
                <w:rFonts w:asciiTheme="minorHAnsi" w:hAnsiTheme="minorHAnsi" w:cstheme="minorHAnsi"/>
                <w:sz w:val="16"/>
                <w:szCs w:val="16"/>
              </w:rPr>
            </w:pPr>
            <w:r w:rsidRPr="003B35E3">
              <w:rPr>
                <w:rFonts w:asciiTheme="minorHAnsi" w:hAnsiTheme="minorHAnsi" w:cstheme="minorHAnsi"/>
                <w:sz w:val="16"/>
                <w:szCs w:val="16"/>
              </w:rPr>
              <w:t>31 - velmi málo produkční</w:t>
            </w:r>
          </w:p>
        </w:tc>
        <w:tc>
          <w:tcPr>
            <w:tcW w:w="960" w:type="dxa"/>
            <w:noWrap/>
            <w:vAlign w:val="bottom"/>
            <w:hideMark/>
          </w:tcPr>
          <w:p w14:paraId="2354EAEF" w14:textId="77777777" w:rsidR="00135065" w:rsidRPr="003B35E3" w:rsidRDefault="00135065" w:rsidP="003B35E3">
            <w:pPr>
              <w:spacing w:before="0" w:after="0"/>
              <w:ind w:left="0"/>
              <w:jc w:val="right"/>
              <w:rPr>
                <w:rFonts w:asciiTheme="minorHAnsi" w:hAnsiTheme="minorHAnsi" w:cstheme="minorHAnsi"/>
                <w:sz w:val="16"/>
                <w:szCs w:val="16"/>
              </w:rPr>
            </w:pPr>
            <w:r w:rsidRPr="003B35E3">
              <w:rPr>
                <w:rFonts w:asciiTheme="minorHAnsi" w:hAnsiTheme="minorHAnsi" w:cstheme="minorHAnsi"/>
                <w:sz w:val="16"/>
                <w:szCs w:val="16"/>
              </w:rPr>
              <w:t>2,4</w:t>
            </w:r>
          </w:p>
        </w:tc>
        <w:tc>
          <w:tcPr>
            <w:tcW w:w="644" w:type="dxa"/>
            <w:vAlign w:val="center"/>
            <w:hideMark/>
          </w:tcPr>
          <w:p w14:paraId="0BC5A94C" w14:textId="77777777" w:rsidR="00135065" w:rsidRPr="003B35E3" w:rsidRDefault="00135065" w:rsidP="003B35E3">
            <w:pPr>
              <w:spacing w:before="0" w:after="0"/>
              <w:ind w:left="0"/>
              <w:jc w:val="right"/>
              <w:rPr>
                <w:rFonts w:asciiTheme="minorHAnsi" w:hAnsiTheme="minorHAnsi" w:cstheme="minorHAnsi"/>
                <w:sz w:val="16"/>
                <w:szCs w:val="16"/>
              </w:rPr>
            </w:pPr>
            <w:r w:rsidRPr="003B35E3">
              <w:rPr>
                <w:rFonts w:asciiTheme="minorHAnsi" w:hAnsiTheme="minorHAnsi" w:cstheme="minorHAnsi"/>
                <w:sz w:val="16"/>
                <w:szCs w:val="16"/>
              </w:rPr>
              <w:t> </w:t>
            </w:r>
          </w:p>
        </w:tc>
      </w:tr>
      <w:tr w:rsidR="00135065" w:rsidRPr="003B35E3" w14:paraId="2EB147AF" w14:textId="77777777" w:rsidTr="003B35E3">
        <w:trPr>
          <w:trHeight w:val="170"/>
        </w:trPr>
        <w:tc>
          <w:tcPr>
            <w:tcW w:w="960" w:type="dxa"/>
            <w:noWrap/>
            <w:vAlign w:val="center"/>
            <w:hideMark/>
          </w:tcPr>
          <w:p w14:paraId="46F80345" w14:textId="77777777" w:rsidR="00135065" w:rsidRPr="003B35E3" w:rsidRDefault="00135065" w:rsidP="003B35E3">
            <w:pPr>
              <w:spacing w:before="0" w:after="0"/>
              <w:ind w:left="0"/>
              <w:jc w:val="right"/>
              <w:rPr>
                <w:rFonts w:asciiTheme="minorHAnsi" w:hAnsiTheme="minorHAnsi" w:cstheme="minorHAnsi"/>
                <w:sz w:val="16"/>
                <w:szCs w:val="16"/>
              </w:rPr>
            </w:pPr>
          </w:p>
        </w:tc>
        <w:tc>
          <w:tcPr>
            <w:tcW w:w="960" w:type="dxa"/>
            <w:noWrap/>
            <w:vAlign w:val="bottom"/>
            <w:hideMark/>
          </w:tcPr>
          <w:p w14:paraId="33A251CC" w14:textId="77777777" w:rsidR="00135065" w:rsidRPr="003B35E3" w:rsidRDefault="00135065" w:rsidP="003B35E3">
            <w:pPr>
              <w:spacing w:before="0" w:after="0"/>
              <w:ind w:left="0"/>
              <w:jc w:val="left"/>
              <w:rPr>
                <w:rFonts w:asciiTheme="minorHAnsi" w:hAnsiTheme="minorHAnsi" w:cstheme="minorHAnsi"/>
                <w:sz w:val="16"/>
                <w:szCs w:val="16"/>
              </w:rPr>
            </w:pPr>
            <w:r w:rsidRPr="003B35E3">
              <w:rPr>
                <w:rFonts w:asciiTheme="minorHAnsi" w:hAnsiTheme="minorHAnsi" w:cstheme="minorHAnsi"/>
                <w:sz w:val="16"/>
                <w:szCs w:val="16"/>
              </w:rPr>
              <w:t>8.35.21</w:t>
            </w:r>
          </w:p>
        </w:tc>
        <w:tc>
          <w:tcPr>
            <w:tcW w:w="4034" w:type="dxa"/>
            <w:noWrap/>
            <w:vAlign w:val="bottom"/>
            <w:hideMark/>
          </w:tcPr>
          <w:p w14:paraId="7528CFE1" w14:textId="77777777" w:rsidR="00135065" w:rsidRPr="003B35E3" w:rsidRDefault="00135065" w:rsidP="003B35E3">
            <w:pPr>
              <w:spacing w:before="0" w:after="0"/>
              <w:ind w:left="0"/>
              <w:jc w:val="left"/>
              <w:rPr>
                <w:rFonts w:asciiTheme="minorHAnsi" w:hAnsiTheme="minorHAnsi" w:cstheme="minorHAnsi"/>
                <w:sz w:val="16"/>
                <w:szCs w:val="16"/>
              </w:rPr>
            </w:pPr>
            <w:r w:rsidRPr="003B35E3">
              <w:rPr>
                <w:rFonts w:asciiTheme="minorHAnsi" w:hAnsiTheme="minorHAnsi" w:cstheme="minorHAnsi"/>
                <w:sz w:val="16"/>
                <w:szCs w:val="16"/>
              </w:rPr>
              <w:t>24 - produkčně málo významné</w:t>
            </w:r>
          </w:p>
        </w:tc>
        <w:tc>
          <w:tcPr>
            <w:tcW w:w="960" w:type="dxa"/>
            <w:noWrap/>
            <w:vAlign w:val="bottom"/>
            <w:hideMark/>
          </w:tcPr>
          <w:p w14:paraId="39BBE399" w14:textId="77777777" w:rsidR="00135065" w:rsidRPr="003B35E3" w:rsidRDefault="00135065" w:rsidP="003B35E3">
            <w:pPr>
              <w:spacing w:before="0" w:after="0"/>
              <w:ind w:left="0"/>
              <w:jc w:val="right"/>
              <w:rPr>
                <w:rFonts w:asciiTheme="minorHAnsi" w:hAnsiTheme="minorHAnsi" w:cstheme="minorHAnsi"/>
                <w:sz w:val="16"/>
                <w:szCs w:val="16"/>
              </w:rPr>
            </w:pPr>
            <w:r w:rsidRPr="003B35E3">
              <w:rPr>
                <w:rFonts w:asciiTheme="minorHAnsi" w:hAnsiTheme="minorHAnsi" w:cstheme="minorHAnsi"/>
                <w:sz w:val="16"/>
                <w:szCs w:val="16"/>
              </w:rPr>
              <w:t>0,17</w:t>
            </w:r>
          </w:p>
        </w:tc>
        <w:tc>
          <w:tcPr>
            <w:tcW w:w="644" w:type="dxa"/>
            <w:vAlign w:val="center"/>
            <w:hideMark/>
          </w:tcPr>
          <w:p w14:paraId="78173DF8" w14:textId="77777777" w:rsidR="00135065" w:rsidRPr="003B35E3" w:rsidRDefault="00135065" w:rsidP="003B35E3">
            <w:pPr>
              <w:spacing w:before="0" w:after="0"/>
              <w:ind w:left="0"/>
              <w:jc w:val="right"/>
              <w:rPr>
                <w:rFonts w:asciiTheme="minorHAnsi" w:hAnsiTheme="minorHAnsi" w:cstheme="minorHAnsi"/>
                <w:sz w:val="16"/>
                <w:szCs w:val="16"/>
              </w:rPr>
            </w:pPr>
            <w:r w:rsidRPr="003B35E3">
              <w:rPr>
                <w:rFonts w:asciiTheme="minorHAnsi" w:hAnsiTheme="minorHAnsi" w:cstheme="minorHAnsi"/>
                <w:sz w:val="16"/>
                <w:szCs w:val="16"/>
              </w:rPr>
              <w:t>66,56</w:t>
            </w:r>
          </w:p>
        </w:tc>
      </w:tr>
      <w:tr w:rsidR="00135065" w:rsidRPr="003B35E3" w14:paraId="1FBD9E31" w14:textId="77777777" w:rsidTr="003B35E3">
        <w:trPr>
          <w:trHeight w:val="170"/>
        </w:trPr>
        <w:tc>
          <w:tcPr>
            <w:tcW w:w="960" w:type="dxa"/>
            <w:vMerge w:val="restart"/>
            <w:noWrap/>
            <w:vAlign w:val="center"/>
            <w:hideMark/>
          </w:tcPr>
          <w:p w14:paraId="6217D053" w14:textId="77777777" w:rsidR="00135065" w:rsidRPr="003B35E3" w:rsidRDefault="00135065" w:rsidP="003B35E3">
            <w:pPr>
              <w:spacing w:before="0" w:after="0"/>
              <w:ind w:left="0"/>
              <w:rPr>
                <w:rFonts w:asciiTheme="minorHAnsi" w:hAnsiTheme="minorHAnsi" w:cstheme="minorHAnsi"/>
                <w:sz w:val="16"/>
                <w:szCs w:val="16"/>
              </w:rPr>
            </w:pPr>
            <w:r w:rsidRPr="003B35E3">
              <w:rPr>
                <w:rFonts w:asciiTheme="minorHAnsi" w:hAnsiTheme="minorHAnsi" w:cstheme="minorHAnsi"/>
                <w:sz w:val="16"/>
                <w:szCs w:val="16"/>
              </w:rPr>
              <w:t>II.</w:t>
            </w:r>
          </w:p>
        </w:tc>
        <w:tc>
          <w:tcPr>
            <w:tcW w:w="960" w:type="dxa"/>
            <w:noWrap/>
            <w:vAlign w:val="bottom"/>
            <w:hideMark/>
          </w:tcPr>
          <w:p w14:paraId="469FF27E" w14:textId="77777777" w:rsidR="00135065" w:rsidRPr="003B35E3" w:rsidRDefault="00135065" w:rsidP="003B35E3">
            <w:pPr>
              <w:spacing w:before="0" w:after="0"/>
              <w:ind w:left="0"/>
              <w:jc w:val="left"/>
              <w:rPr>
                <w:rFonts w:asciiTheme="minorHAnsi" w:hAnsiTheme="minorHAnsi" w:cstheme="minorHAnsi"/>
                <w:sz w:val="16"/>
                <w:szCs w:val="16"/>
              </w:rPr>
            </w:pPr>
            <w:r w:rsidRPr="003B35E3">
              <w:rPr>
                <w:rFonts w:asciiTheme="minorHAnsi" w:hAnsiTheme="minorHAnsi" w:cstheme="minorHAnsi"/>
                <w:sz w:val="16"/>
                <w:szCs w:val="16"/>
              </w:rPr>
              <w:t>5.12.12</w:t>
            </w:r>
          </w:p>
        </w:tc>
        <w:tc>
          <w:tcPr>
            <w:tcW w:w="4034" w:type="dxa"/>
            <w:noWrap/>
            <w:vAlign w:val="bottom"/>
            <w:hideMark/>
          </w:tcPr>
          <w:p w14:paraId="0126ACA9" w14:textId="77777777" w:rsidR="00135065" w:rsidRPr="003B35E3" w:rsidRDefault="00135065" w:rsidP="003B35E3">
            <w:pPr>
              <w:spacing w:before="0" w:after="0"/>
              <w:ind w:left="0"/>
              <w:jc w:val="left"/>
              <w:rPr>
                <w:rFonts w:asciiTheme="minorHAnsi" w:hAnsiTheme="minorHAnsi" w:cstheme="minorHAnsi"/>
                <w:sz w:val="16"/>
                <w:szCs w:val="16"/>
              </w:rPr>
            </w:pPr>
            <w:r w:rsidRPr="003B35E3">
              <w:rPr>
                <w:rFonts w:asciiTheme="minorHAnsi" w:hAnsiTheme="minorHAnsi" w:cstheme="minorHAnsi"/>
                <w:sz w:val="16"/>
                <w:szCs w:val="16"/>
              </w:rPr>
              <w:t>53 - málo produkční</w:t>
            </w:r>
          </w:p>
        </w:tc>
        <w:tc>
          <w:tcPr>
            <w:tcW w:w="960" w:type="dxa"/>
            <w:noWrap/>
            <w:vAlign w:val="bottom"/>
            <w:hideMark/>
          </w:tcPr>
          <w:p w14:paraId="43BA7D8D" w14:textId="77777777" w:rsidR="00135065" w:rsidRPr="003B35E3" w:rsidRDefault="00135065" w:rsidP="003B35E3">
            <w:pPr>
              <w:spacing w:before="0" w:after="0"/>
              <w:ind w:left="0"/>
              <w:jc w:val="right"/>
              <w:rPr>
                <w:rFonts w:asciiTheme="minorHAnsi" w:hAnsiTheme="minorHAnsi" w:cstheme="minorHAnsi"/>
                <w:sz w:val="16"/>
                <w:szCs w:val="16"/>
              </w:rPr>
            </w:pPr>
            <w:r w:rsidRPr="003B35E3">
              <w:rPr>
                <w:rFonts w:asciiTheme="minorHAnsi" w:hAnsiTheme="minorHAnsi" w:cstheme="minorHAnsi"/>
                <w:sz w:val="16"/>
                <w:szCs w:val="16"/>
              </w:rPr>
              <w:t>0,45</w:t>
            </w:r>
          </w:p>
        </w:tc>
        <w:tc>
          <w:tcPr>
            <w:tcW w:w="644" w:type="dxa"/>
            <w:vAlign w:val="center"/>
            <w:hideMark/>
          </w:tcPr>
          <w:p w14:paraId="646F5FDD" w14:textId="77777777" w:rsidR="00135065" w:rsidRPr="003B35E3" w:rsidRDefault="00135065" w:rsidP="003B35E3">
            <w:pPr>
              <w:spacing w:before="0" w:after="0"/>
              <w:ind w:left="0"/>
              <w:jc w:val="right"/>
              <w:rPr>
                <w:rFonts w:asciiTheme="minorHAnsi" w:hAnsiTheme="minorHAnsi" w:cstheme="minorHAnsi"/>
                <w:sz w:val="16"/>
                <w:szCs w:val="16"/>
              </w:rPr>
            </w:pPr>
            <w:r w:rsidRPr="003B35E3">
              <w:rPr>
                <w:rFonts w:asciiTheme="minorHAnsi" w:hAnsiTheme="minorHAnsi" w:cstheme="minorHAnsi"/>
                <w:sz w:val="16"/>
                <w:szCs w:val="16"/>
              </w:rPr>
              <w:t> </w:t>
            </w:r>
          </w:p>
        </w:tc>
      </w:tr>
      <w:tr w:rsidR="00135065" w:rsidRPr="003B35E3" w14:paraId="32F03687" w14:textId="77777777" w:rsidTr="003B35E3">
        <w:trPr>
          <w:trHeight w:val="170"/>
        </w:trPr>
        <w:tc>
          <w:tcPr>
            <w:tcW w:w="960" w:type="dxa"/>
            <w:vMerge/>
            <w:vAlign w:val="center"/>
            <w:hideMark/>
          </w:tcPr>
          <w:p w14:paraId="486A8FC6" w14:textId="77777777" w:rsidR="00135065" w:rsidRPr="003B35E3" w:rsidRDefault="00135065" w:rsidP="003B35E3">
            <w:pPr>
              <w:spacing w:before="0" w:after="0"/>
              <w:ind w:left="0"/>
              <w:jc w:val="left"/>
              <w:rPr>
                <w:rFonts w:asciiTheme="minorHAnsi" w:hAnsiTheme="minorHAnsi" w:cstheme="minorHAnsi"/>
                <w:sz w:val="16"/>
                <w:szCs w:val="16"/>
              </w:rPr>
            </w:pPr>
          </w:p>
        </w:tc>
        <w:tc>
          <w:tcPr>
            <w:tcW w:w="960" w:type="dxa"/>
            <w:noWrap/>
            <w:vAlign w:val="bottom"/>
            <w:hideMark/>
          </w:tcPr>
          <w:p w14:paraId="3B1A6DD4" w14:textId="77777777" w:rsidR="00135065" w:rsidRPr="003B35E3" w:rsidRDefault="00135065" w:rsidP="003B35E3">
            <w:pPr>
              <w:spacing w:before="0" w:after="0"/>
              <w:ind w:left="0"/>
              <w:jc w:val="left"/>
              <w:rPr>
                <w:rFonts w:asciiTheme="minorHAnsi" w:hAnsiTheme="minorHAnsi" w:cstheme="minorHAnsi"/>
                <w:sz w:val="16"/>
                <w:szCs w:val="16"/>
              </w:rPr>
            </w:pPr>
            <w:r w:rsidRPr="003B35E3">
              <w:rPr>
                <w:rFonts w:asciiTheme="minorHAnsi" w:hAnsiTheme="minorHAnsi" w:cstheme="minorHAnsi"/>
                <w:sz w:val="16"/>
                <w:szCs w:val="16"/>
              </w:rPr>
              <w:t>5.13.00</w:t>
            </w:r>
          </w:p>
        </w:tc>
        <w:tc>
          <w:tcPr>
            <w:tcW w:w="4034" w:type="dxa"/>
            <w:noWrap/>
            <w:vAlign w:val="bottom"/>
            <w:hideMark/>
          </w:tcPr>
          <w:p w14:paraId="7FF4421E" w14:textId="77777777" w:rsidR="00135065" w:rsidRPr="003B35E3" w:rsidRDefault="00135065" w:rsidP="003B35E3">
            <w:pPr>
              <w:spacing w:before="0" w:after="0"/>
              <w:ind w:left="0"/>
              <w:jc w:val="left"/>
              <w:rPr>
                <w:rFonts w:asciiTheme="minorHAnsi" w:hAnsiTheme="minorHAnsi" w:cstheme="minorHAnsi"/>
                <w:sz w:val="16"/>
                <w:szCs w:val="16"/>
              </w:rPr>
            </w:pPr>
            <w:r w:rsidRPr="003B35E3">
              <w:rPr>
                <w:rFonts w:asciiTheme="minorHAnsi" w:hAnsiTheme="minorHAnsi" w:cstheme="minorHAnsi"/>
                <w:sz w:val="16"/>
                <w:szCs w:val="16"/>
              </w:rPr>
              <w:t>66 - středně produkční</w:t>
            </w:r>
          </w:p>
        </w:tc>
        <w:tc>
          <w:tcPr>
            <w:tcW w:w="960" w:type="dxa"/>
            <w:noWrap/>
            <w:vAlign w:val="bottom"/>
            <w:hideMark/>
          </w:tcPr>
          <w:p w14:paraId="58996C83" w14:textId="77777777" w:rsidR="00135065" w:rsidRPr="003B35E3" w:rsidRDefault="00135065" w:rsidP="003B35E3">
            <w:pPr>
              <w:spacing w:before="0" w:after="0"/>
              <w:ind w:left="0"/>
              <w:jc w:val="right"/>
              <w:rPr>
                <w:rFonts w:asciiTheme="minorHAnsi" w:hAnsiTheme="minorHAnsi" w:cstheme="minorHAnsi"/>
                <w:sz w:val="16"/>
                <w:szCs w:val="16"/>
              </w:rPr>
            </w:pPr>
            <w:r w:rsidRPr="003B35E3">
              <w:rPr>
                <w:rFonts w:asciiTheme="minorHAnsi" w:hAnsiTheme="minorHAnsi" w:cstheme="minorHAnsi"/>
                <w:sz w:val="16"/>
                <w:szCs w:val="16"/>
              </w:rPr>
              <w:t>38,48</w:t>
            </w:r>
          </w:p>
        </w:tc>
        <w:tc>
          <w:tcPr>
            <w:tcW w:w="644" w:type="dxa"/>
            <w:vAlign w:val="center"/>
            <w:hideMark/>
          </w:tcPr>
          <w:p w14:paraId="10E4C1EC" w14:textId="77777777" w:rsidR="00135065" w:rsidRPr="003B35E3" w:rsidRDefault="00135065" w:rsidP="003B35E3">
            <w:pPr>
              <w:spacing w:before="0" w:after="0"/>
              <w:ind w:left="0"/>
              <w:jc w:val="right"/>
              <w:rPr>
                <w:rFonts w:asciiTheme="minorHAnsi" w:hAnsiTheme="minorHAnsi" w:cstheme="minorHAnsi"/>
                <w:sz w:val="16"/>
                <w:szCs w:val="16"/>
              </w:rPr>
            </w:pPr>
            <w:r w:rsidRPr="003B35E3">
              <w:rPr>
                <w:rFonts w:asciiTheme="minorHAnsi" w:hAnsiTheme="minorHAnsi" w:cstheme="minorHAnsi"/>
                <w:sz w:val="16"/>
                <w:szCs w:val="16"/>
              </w:rPr>
              <w:t> </w:t>
            </w:r>
          </w:p>
        </w:tc>
      </w:tr>
      <w:tr w:rsidR="00135065" w:rsidRPr="003B35E3" w14:paraId="2127268E" w14:textId="77777777" w:rsidTr="003B35E3">
        <w:trPr>
          <w:trHeight w:val="170"/>
        </w:trPr>
        <w:tc>
          <w:tcPr>
            <w:tcW w:w="960" w:type="dxa"/>
            <w:vMerge/>
            <w:vAlign w:val="center"/>
            <w:hideMark/>
          </w:tcPr>
          <w:p w14:paraId="4468B0EF" w14:textId="77777777" w:rsidR="00135065" w:rsidRPr="003B35E3" w:rsidRDefault="00135065" w:rsidP="003B35E3">
            <w:pPr>
              <w:spacing w:before="0" w:after="0"/>
              <w:ind w:left="0"/>
              <w:jc w:val="left"/>
              <w:rPr>
                <w:rFonts w:asciiTheme="minorHAnsi" w:hAnsiTheme="minorHAnsi" w:cstheme="minorHAnsi"/>
                <w:sz w:val="16"/>
                <w:szCs w:val="16"/>
              </w:rPr>
            </w:pPr>
          </w:p>
        </w:tc>
        <w:tc>
          <w:tcPr>
            <w:tcW w:w="960" w:type="dxa"/>
            <w:noWrap/>
            <w:vAlign w:val="bottom"/>
            <w:hideMark/>
          </w:tcPr>
          <w:p w14:paraId="7F589D22" w14:textId="77777777" w:rsidR="00135065" w:rsidRPr="003B35E3" w:rsidRDefault="00135065" w:rsidP="003B35E3">
            <w:pPr>
              <w:spacing w:before="0" w:after="0"/>
              <w:ind w:left="0"/>
              <w:jc w:val="left"/>
              <w:rPr>
                <w:rFonts w:asciiTheme="minorHAnsi" w:hAnsiTheme="minorHAnsi" w:cstheme="minorHAnsi"/>
                <w:sz w:val="16"/>
                <w:szCs w:val="16"/>
              </w:rPr>
            </w:pPr>
            <w:r w:rsidRPr="003B35E3">
              <w:rPr>
                <w:rFonts w:asciiTheme="minorHAnsi" w:hAnsiTheme="minorHAnsi" w:cstheme="minorHAnsi"/>
                <w:sz w:val="16"/>
                <w:szCs w:val="16"/>
              </w:rPr>
              <w:t>5.15.10</w:t>
            </w:r>
          </w:p>
        </w:tc>
        <w:tc>
          <w:tcPr>
            <w:tcW w:w="4034" w:type="dxa"/>
            <w:noWrap/>
            <w:vAlign w:val="bottom"/>
            <w:hideMark/>
          </w:tcPr>
          <w:p w14:paraId="0591192A" w14:textId="77777777" w:rsidR="00135065" w:rsidRPr="003B35E3" w:rsidRDefault="00135065" w:rsidP="003B35E3">
            <w:pPr>
              <w:spacing w:before="0" w:after="0"/>
              <w:ind w:left="0"/>
              <w:jc w:val="left"/>
              <w:rPr>
                <w:rFonts w:asciiTheme="minorHAnsi" w:hAnsiTheme="minorHAnsi" w:cstheme="minorHAnsi"/>
                <w:sz w:val="16"/>
                <w:szCs w:val="16"/>
              </w:rPr>
            </w:pPr>
            <w:r w:rsidRPr="003B35E3">
              <w:rPr>
                <w:rFonts w:asciiTheme="minorHAnsi" w:hAnsiTheme="minorHAnsi" w:cstheme="minorHAnsi"/>
                <w:sz w:val="16"/>
                <w:szCs w:val="16"/>
              </w:rPr>
              <w:t>61 - méně produkční</w:t>
            </w:r>
          </w:p>
        </w:tc>
        <w:tc>
          <w:tcPr>
            <w:tcW w:w="960" w:type="dxa"/>
            <w:noWrap/>
            <w:vAlign w:val="bottom"/>
            <w:hideMark/>
          </w:tcPr>
          <w:p w14:paraId="2A7F24D2" w14:textId="77777777" w:rsidR="00135065" w:rsidRPr="003B35E3" w:rsidRDefault="00135065" w:rsidP="003B35E3">
            <w:pPr>
              <w:spacing w:before="0" w:after="0"/>
              <w:ind w:left="0"/>
              <w:jc w:val="right"/>
              <w:rPr>
                <w:rFonts w:asciiTheme="minorHAnsi" w:hAnsiTheme="minorHAnsi" w:cstheme="minorHAnsi"/>
                <w:sz w:val="16"/>
                <w:szCs w:val="16"/>
              </w:rPr>
            </w:pPr>
            <w:r w:rsidRPr="003B35E3">
              <w:rPr>
                <w:rFonts w:asciiTheme="minorHAnsi" w:hAnsiTheme="minorHAnsi" w:cstheme="minorHAnsi"/>
                <w:sz w:val="16"/>
                <w:szCs w:val="16"/>
              </w:rPr>
              <w:t>64,33</w:t>
            </w:r>
          </w:p>
        </w:tc>
        <w:tc>
          <w:tcPr>
            <w:tcW w:w="644" w:type="dxa"/>
            <w:vAlign w:val="center"/>
            <w:hideMark/>
          </w:tcPr>
          <w:p w14:paraId="6AB4477B" w14:textId="77777777" w:rsidR="00135065" w:rsidRPr="003B35E3" w:rsidRDefault="00135065" w:rsidP="003B35E3">
            <w:pPr>
              <w:spacing w:before="0" w:after="0"/>
              <w:ind w:left="0"/>
              <w:jc w:val="right"/>
              <w:rPr>
                <w:rFonts w:asciiTheme="minorHAnsi" w:hAnsiTheme="minorHAnsi" w:cstheme="minorHAnsi"/>
                <w:sz w:val="16"/>
                <w:szCs w:val="16"/>
              </w:rPr>
            </w:pPr>
            <w:r w:rsidRPr="003B35E3">
              <w:rPr>
                <w:rFonts w:asciiTheme="minorHAnsi" w:hAnsiTheme="minorHAnsi" w:cstheme="minorHAnsi"/>
                <w:sz w:val="16"/>
                <w:szCs w:val="16"/>
              </w:rPr>
              <w:t> </w:t>
            </w:r>
          </w:p>
        </w:tc>
      </w:tr>
      <w:tr w:rsidR="00135065" w:rsidRPr="003B35E3" w14:paraId="3701C7C4" w14:textId="77777777" w:rsidTr="003B35E3">
        <w:trPr>
          <w:trHeight w:val="170"/>
        </w:trPr>
        <w:tc>
          <w:tcPr>
            <w:tcW w:w="960" w:type="dxa"/>
            <w:vMerge/>
            <w:vAlign w:val="center"/>
            <w:hideMark/>
          </w:tcPr>
          <w:p w14:paraId="75FEEC80" w14:textId="77777777" w:rsidR="00135065" w:rsidRPr="003B35E3" w:rsidRDefault="00135065" w:rsidP="003B35E3">
            <w:pPr>
              <w:spacing w:before="0" w:after="0"/>
              <w:ind w:left="0"/>
              <w:jc w:val="left"/>
              <w:rPr>
                <w:rFonts w:asciiTheme="minorHAnsi" w:hAnsiTheme="minorHAnsi" w:cstheme="minorHAnsi"/>
                <w:sz w:val="16"/>
                <w:szCs w:val="16"/>
              </w:rPr>
            </w:pPr>
          </w:p>
        </w:tc>
        <w:tc>
          <w:tcPr>
            <w:tcW w:w="960" w:type="dxa"/>
            <w:noWrap/>
            <w:vAlign w:val="bottom"/>
            <w:hideMark/>
          </w:tcPr>
          <w:p w14:paraId="4FC3DF50" w14:textId="77777777" w:rsidR="00135065" w:rsidRPr="003B35E3" w:rsidRDefault="00135065" w:rsidP="003B35E3">
            <w:pPr>
              <w:spacing w:before="0" w:after="0"/>
              <w:ind w:left="0"/>
              <w:jc w:val="left"/>
              <w:rPr>
                <w:rFonts w:asciiTheme="minorHAnsi" w:hAnsiTheme="minorHAnsi" w:cstheme="minorHAnsi"/>
                <w:sz w:val="16"/>
                <w:szCs w:val="16"/>
              </w:rPr>
            </w:pPr>
            <w:r w:rsidRPr="003B35E3">
              <w:rPr>
                <w:rFonts w:asciiTheme="minorHAnsi" w:hAnsiTheme="minorHAnsi" w:cstheme="minorHAnsi"/>
                <w:sz w:val="16"/>
                <w:szCs w:val="16"/>
              </w:rPr>
              <w:t>5.58.00</w:t>
            </w:r>
          </w:p>
        </w:tc>
        <w:tc>
          <w:tcPr>
            <w:tcW w:w="4034" w:type="dxa"/>
            <w:noWrap/>
            <w:vAlign w:val="bottom"/>
            <w:hideMark/>
          </w:tcPr>
          <w:p w14:paraId="285AE0CC" w14:textId="77777777" w:rsidR="00135065" w:rsidRPr="003B35E3" w:rsidRDefault="00135065" w:rsidP="003B35E3">
            <w:pPr>
              <w:spacing w:before="0" w:after="0"/>
              <w:ind w:left="0"/>
              <w:jc w:val="left"/>
              <w:rPr>
                <w:rFonts w:asciiTheme="minorHAnsi" w:hAnsiTheme="minorHAnsi" w:cstheme="minorHAnsi"/>
                <w:sz w:val="16"/>
                <w:szCs w:val="16"/>
              </w:rPr>
            </w:pPr>
            <w:r w:rsidRPr="003B35E3">
              <w:rPr>
                <w:rFonts w:asciiTheme="minorHAnsi" w:hAnsiTheme="minorHAnsi" w:cstheme="minorHAnsi"/>
                <w:sz w:val="16"/>
                <w:szCs w:val="16"/>
              </w:rPr>
              <w:t>44 - málo produkční</w:t>
            </w:r>
          </w:p>
        </w:tc>
        <w:tc>
          <w:tcPr>
            <w:tcW w:w="960" w:type="dxa"/>
            <w:noWrap/>
            <w:vAlign w:val="bottom"/>
            <w:hideMark/>
          </w:tcPr>
          <w:p w14:paraId="416EB8B1" w14:textId="77777777" w:rsidR="00135065" w:rsidRPr="003B35E3" w:rsidRDefault="00135065" w:rsidP="003B35E3">
            <w:pPr>
              <w:spacing w:before="0" w:after="0"/>
              <w:ind w:left="0"/>
              <w:jc w:val="right"/>
              <w:rPr>
                <w:rFonts w:asciiTheme="minorHAnsi" w:hAnsiTheme="minorHAnsi" w:cstheme="minorHAnsi"/>
                <w:sz w:val="16"/>
                <w:szCs w:val="16"/>
              </w:rPr>
            </w:pPr>
            <w:r w:rsidRPr="003B35E3">
              <w:rPr>
                <w:rFonts w:asciiTheme="minorHAnsi" w:hAnsiTheme="minorHAnsi" w:cstheme="minorHAnsi"/>
                <w:sz w:val="16"/>
                <w:szCs w:val="16"/>
              </w:rPr>
              <w:t>147,18</w:t>
            </w:r>
          </w:p>
        </w:tc>
        <w:tc>
          <w:tcPr>
            <w:tcW w:w="644" w:type="dxa"/>
            <w:vAlign w:val="center"/>
            <w:hideMark/>
          </w:tcPr>
          <w:p w14:paraId="4FB03C2F" w14:textId="77777777" w:rsidR="00135065" w:rsidRPr="003B35E3" w:rsidRDefault="00135065" w:rsidP="003B35E3">
            <w:pPr>
              <w:spacing w:before="0" w:after="0"/>
              <w:ind w:left="0"/>
              <w:jc w:val="right"/>
              <w:rPr>
                <w:rFonts w:asciiTheme="minorHAnsi" w:hAnsiTheme="minorHAnsi" w:cstheme="minorHAnsi"/>
                <w:sz w:val="16"/>
                <w:szCs w:val="16"/>
              </w:rPr>
            </w:pPr>
            <w:r w:rsidRPr="003B35E3">
              <w:rPr>
                <w:rFonts w:asciiTheme="minorHAnsi" w:hAnsiTheme="minorHAnsi" w:cstheme="minorHAnsi"/>
                <w:sz w:val="16"/>
                <w:szCs w:val="16"/>
              </w:rPr>
              <w:t> </w:t>
            </w:r>
          </w:p>
        </w:tc>
      </w:tr>
      <w:tr w:rsidR="00135065" w:rsidRPr="003B35E3" w14:paraId="70065E34" w14:textId="77777777" w:rsidTr="003B35E3">
        <w:trPr>
          <w:trHeight w:val="170"/>
        </w:trPr>
        <w:tc>
          <w:tcPr>
            <w:tcW w:w="960" w:type="dxa"/>
            <w:noWrap/>
            <w:vAlign w:val="center"/>
            <w:hideMark/>
          </w:tcPr>
          <w:p w14:paraId="5A598B3C" w14:textId="77777777" w:rsidR="00135065" w:rsidRPr="003B35E3" w:rsidRDefault="00135065" w:rsidP="003B35E3">
            <w:pPr>
              <w:spacing w:before="0" w:after="0"/>
              <w:ind w:left="0"/>
              <w:jc w:val="right"/>
              <w:rPr>
                <w:rFonts w:asciiTheme="minorHAnsi" w:hAnsiTheme="minorHAnsi" w:cstheme="minorHAnsi"/>
                <w:sz w:val="16"/>
                <w:szCs w:val="16"/>
              </w:rPr>
            </w:pPr>
          </w:p>
        </w:tc>
        <w:tc>
          <w:tcPr>
            <w:tcW w:w="960" w:type="dxa"/>
            <w:noWrap/>
            <w:vAlign w:val="bottom"/>
            <w:hideMark/>
          </w:tcPr>
          <w:p w14:paraId="383F5F41" w14:textId="77777777" w:rsidR="00135065" w:rsidRPr="003B35E3" w:rsidRDefault="00135065" w:rsidP="003B35E3">
            <w:pPr>
              <w:spacing w:before="0" w:after="0"/>
              <w:ind w:left="0"/>
              <w:jc w:val="left"/>
              <w:rPr>
                <w:rFonts w:asciiTheme="minorHAnsi" w:hAnsiTheme="minorHAnsi" w:cstheme="minorHAnsi"/>
                <w:sz w:val="16"/>
                <w:szCs w:val="16"/>
              </w:rPr>
            </w:pPr>
            <w:r w:rsidRPr="003B35E3">
              <w:rPr>
                <w:rFonts w:asciiTheme="minorHAnsi" w:hAnsiTheme="minorHAnsi" w:cstheme="minorHAnsi"/>
                <w:sz w:val="16"/>
                <w:szCs w:val="16"/>
              </w:rPr>
              <w:t>8.35.04</w:t>
            </w:r>
          </w:p>
        </w:tc>
        <w:tc>
          <w:tcPr>
            <w:tcW w:w="4034" w:type="dxa"/>
            <w:noWrap/>
            <w:vAlign w:val="bottom"/>
            <w:hideMark/>
          </w:tcPr>
          <w:p w14:paraId="72360E03" w14:textId="77777777" w:rsidR="00135065" w:rsidRPr="003B35E3" w:rsidRDefault="00135065" w:rsidP="003B35E3">
            <w:pPr>
              <w:spacing w:before="0" w:after="0"/>
              <w:ind w:left="0"/>
              <w:jc w:val="left"/>
              <w:rPr>
                <w:rFonts w:asciiTheme="minorHAnsi" w:hAnsiTheme="minorHAnsi" w:cstheme="minorHAnsi"/>
                <w:sz w:val="16"/>
                <w:szCs w:val="16"/>
              </w:rPr>
            </w:pPr>
            <w:r w:rsidRPr="003B35E3">
              <w:rPr>
                <w:rFonts w:asciiTheme="minorHAnsi" w:hAnsiTheme="minorHAnsi" w:cstheme="minorHAnsi"/>
                <w:sz w:val="16"/>
                <w:szCs w:val="16"/>
              </w:rPr>
              <w:t>20 - produkčně málo významné</w:t>
            </w:r>
          </w:p>
        </w:tc>
        <w:tc>
          <w:tcPr>
            <w:tcW w:w="960" w:type="dxa"/>
            <w:noWrap/>
            <w:vAlign w:val="bottom"/>
            <w:hideMark/>
          </w:tcPr>
          <w:p w14:paraId="1EC47B48" w14:textId="77777777" w:rsidR="00135065" w:rsidRPr="003B35E3" w:rsidRDefault="00135065" w:rsidP="003B35E3">
            <w:pPr>
              <w:spacing w:before="0" w:after="0"/>
              <w:ind w:left="0"/>
              <w:jc w:val="right"/>
              <w:rPr>
                <w:rFonts w:asciiTheme="minorHAnsi" w:hAnsiTheme="minorHAnsi" w:cstheme="minorHAnsi"/>
                <w:sz w:val="16"/>
                <w:szCs w:val="16"/>
              </w:rPr>
            </w:pPr>
            <w:r w:rsidRPr="003B35E3">
              <w:rPr>
                <w:rFonts w:asciiTheme="minorHAnsi" w:hAnsiTheme="minorHAnsi" w:cstheme="minorHAnsi"/>
                <w:sz w:val="16"/>
                <w:szCs w:val="16"/>
              </w:rPr>
              <w:t>0,06</w:t>
            </w:r>
          </w:p>
        </w:tc>
        <w:tc>
          <w:tcPr>
            <w:tcW w:w="644" w:type="dxa"/>
            <w:vAlign w:val="center"/>
            <w:hideMark/>
          </w:tcPr>
          <w:p w14:paraId="72BA4C19" w14:textId="77777777" w:rsidR="00135065" w:rsidRPr="003B35E3" w:rsidRDefault="00135065" w:rsidP="003B35E3">
            <w:pPr>
              <w:spacing w:before="0" w:after="0"/>
              <w:ind w:left="0"/>
              <w:jc w:val="right"/>
              <w:rPr>
                <w:rFonts w:asciiTheme="minorHAnsi" w:hAnsiTheme="minorHAnsi" w:cstheme="minorHAnsi"/>
                <w:sz w:val="16"/>
                <w:szCs w:val="16"/>
              </w:rPr>
            </w:pPr>
            <w:r w:rsidRPr="003B35E3">
              <w:rPr>
                <w:rFonts w:asciiTheme="minorHAnsi" w:hAnsiTheme="minorHAnsi" w:cstheme="minorHAnsi"/>
                <w:sz w:val="16"/>
                <w:szCs w:val="16"/>
              </w:rPr>
              <w:t>250,5</w:t>
            </w:r>
          </w:p>
        </w:tc>
      </w:tr>
      <w:tr w:rsidR="00135065" w:rsidRPr="003B35E3" w14:paraId="3720E595" w14:textId="77777777" w:rsidTr="003B35E3">
        <w:trPr>
          <w:trHeight w:val="170"/>
        </w:trPr>
        <w:tc>
          <w:tcPr>
            <w:tcW w:w="960" w:type="dxa"/>
            <w:vMerge w:val="restart"/>
            <w:noWrap/>
            <w:vAlign w:val="center"/>
            <w:hideMark/>
          </w:tcPr>
          <w:p w14:paraId="3F58EC4C" w14:textId="77777777" w:rsidR="00135065" w:rsidRPr="003B35E3" w:rsidRDefault="00135065" w:rsidP="003B35E3">
            <w:pPr>
              <w:spacing w:before="0" w:after="0"/>
              <w:ind w:left="0"/>
              <w:rPr>
                <w:rFonts w:asciiTheme="minorHAnsi" w:hAnsiTheme="minorHAnsi" w:cstheme="minorHAnsi"/>
                <w:sz w:val="16"/>
                <w:szCs w:val="16"/>
              </w:rPr>
            </w:pPr>
            <w:r w:rsidRPr="003B35E3">
              <w:rPr>
                <w:rFonts w:asciiTheme="minorHAnsi" w:hAnsiTheme="minorHAnsi" w:cstheme="minorHAnsi"/>
                <w:sz w:val="16"/>
                <w:szCs w:val="16"/>
              </w:rPr>
              <w:t>III.</w:t>
            </w:r>
          </w:p>
        </w:tc>
        <w:tc>
          <w:tcPr>
            <w:tcW w:w="960" w:type="dxa"/>
            <w:noWrap/>
            <w:vAlign w:val="bottom"/>
            <w:hideMark/>
          </w:tcPr>
          <w:p w14:paraId="516DFFBE" w14:textId="77777777" w:rsidR="00135065" w:rsidRPr="003B35E3" w:rsidRDefault="00135065" w:rsidP="003B35E3">
            <w:pPr>
              <w:spacing w:before="0" w:after="0"/>
              <w:ind w:left="0"/>
              <w:jc w:val="left"/>
              <w:rPr>
                <w:rFonts w:asciiTheme="minorHAnsi" w:hAnsiTheme="minorHAnsi" w:cstheme="minorHAnsi"/>
                <w:sz w:val="16"/>
                <w:szCs w:val="16"/>
              </w:rPr>
            </w:pPr>
            <w:r w:rsidRPr="003B35E3">
              <w:rPr>
                <w:rFonts w:asciiTheme="minorHAnsi" w:hAnsiTheme="minorHAnsi" w:cstheme="minorHAnsi"/>
                <w:sz w:val="16"/>
                <w:szCs w:val="16"/>
              </w:rPr>
              <w:t>5.08.50</w:t>
            </w:r>
          </w:p>
        </w:tc>
        <w:tc>
          <w:tcPr>
            <w:tcW w:w="4034" w:type="dxa"/>
            <w:noWrap/>
            <w:vAlign w:val="bottom"/>
            <w:hideMark/>
          </w:tcPr>
          <w:p w14:paraId="03F8F797" w14:textId="77777777" w:rsidR="00135065" w:rsidRPr="003B35E3" w:rsidRDefault="00135065" w:rsidP="003B35E3">
            <w:pPr>
              <w:spacing w:before="0" w:after="0"/>
              <w:ind w:left="0"/>
              <w:jc w:val="left"/>
              <w:rPr>
                <w:rFonts w:asciiTheme="minorHAnsi" w:hAnsiTheme="minorHAnsi" w:cstheme="minorHAnsi"/>
                <w:sz w:val="16"/>
                <w:szCs w:val="16"/>
              </w:rPr>
            </w:pPr>
            <w:r w:rsidRPr="003B35E3">
              <w:rPr>
                <w:rFonts w:asciiTheme="minorHAnsi" w:hAnsiTheme="minorHAnsi" w:cstheme="minorHAnsi"/>
                <w:sz w:val="16"/>
                <w:szCs w:val="16"/>
              </w:rPr>
              <w:t>43 - velmi málo produkční</w:t>
            </w:r>
          </w:p>
        </w:tc>
        <w:tc>
          <w:tcPr>
            <w:tcW w:w="960" w:type="dxa"/>
            <w:noWrap/>
            <w:vAlign w:val="bottom"/>
            <w:hideMark/>
          </w:tcPr>
          <w:p w14:paraId="013F0DFD" w14:textId="77777777" w:rsidR="00135065" w:rsidRPr="003B35E3" w:rsidRDefault="00135065" w:rsidP="003B35E3">
            <w:pPr>
              <w:spacing w:before="0" w:after="0"/>
              <w:ind w:left="0"/>
              <w:jc w:val="right"/>
              <w:rPr>
                <w:rFonts w:asciiTheme="minorHAnsi" w:hAnsiTheme="minorHAnsi" w:cstheme="minorHAnsi"/>
                <w:sz w:val="16"/>
                <w:szCs w:val="16"/>
              </w:rPr>
            </w:pPr>
            <w:r w:rsidRPr="003B35E3">
              <w:rPr>
                <w:rFonts w:asciiTheme="minorHAnsi" w:hAnsiTheme="minorHAnsi" w:cstheme="minorHAnsi"/>
                <w:sz w:val="16"/>
                <w:szCs w:val="16"/>
              </w:rPr>
              <w:t>9,54</w:t>
            </w:r>
          </w:p>
        </w:tc>
        <w:tc>
          <w:tcPr>
            <w:tcW w:w="644" w:type="dxa"/>
            <w:vAlign w:val="center"/>
            <w:hideMark/>
          </w:tcPr>
          <w:p w14:paraId="6B0843E0" w14:textId="77777777" w:rsidR="00135065" w:rsidRPr="003B35E3" w:rsidRDefault="00135065" w:rsidP="003B35E3">
            <w:pPr>
              <w:spacing w:before="0" w:after="0"/>
              <w:ind w:left="0"/>
              <w:jc w:val="right"/>
              <w:rPr>
                <w:rFonts w:asciiTheme="minorHAnsi" w:hAnsiTheme="minorHAnsi" w:cstheme="minorHAnsi"/>
                <w:sz w:val="16"/>
                <w:szCs w:val="16"/>
              </w:rPr>
            </w:pPr>
            <w:r w:rsidRPr="003B35E3">
              <w:rPr>
                <w:rFonts w:asciiTheme="minorHAnsi" w:hAnsiTheme="minorHAnsi" w:cstheme="minorHAnsi"/>
                <w:sz w:val="16"/>
                <w:szCs w:val="16"/>
              </w:rPr>
              <w:t> </w:t>
            </w:r>
          </w:p>
        </w:tc>
      </w:tr>
      <w:tr w:rsidR="00135065" w:rsidRPr="003B35E3" w14:paraId="2A929206" w14:textId="77777777" w:rsidTr="003B35E3">
        <w:trPr>
          <w:trHeight w:val="170"/>
        </w:trPr>
        <w:tc>
          <w:tcPr>
            <w:tcW w:w="960" w:type="dxa"/>
            <w:vMerge/>
            <w:vAlign w:val="center"/>
            <w:hideMark/>
          </w:tcPr>
          <w:p w14:paraId="0414583A" w14:textId="77777777" w:rsidR="00135065" w:rsidRPr="003B35E3" w:rsidRDefault="00135065" w:rsidP="003B35E3">
            <w:pPr>
              <w:spacing w:before="0" w:after="0"/>
              <w:ind w:left="0"/>
              <w:jc w:val="left"/>
              <w:rPr>
                <w:rFonts w:asciiTheme="minorHAnsi" w:hAnsiTheme="minorHAnsi" w:cstheme="minorHAnsi"/>
                <w:sz w:val="16"/>
                <w:szCs w:val="16"/>
              </w:rPr>
            </w:pPr>
          </w:p>
        </w:tc>
        <w:tc>
          <w:tcPr>
            <w:tcW w:w="960" w:type="dxa"/>
            <w:noWrap/>
            <w:vAlign w:val="bottom"/>
            <w:hideMark/>
          </w:tcPr>
          <w:p w14:paraId="1B896D68" w14:textId="77777777" w:rsidR="00135065" w:rsidRPr="003B35E3" w:rsidRDefault="00135065" w:rsidP="003B35E3">
            <w:pPr>
              <w:spacing w:before="0" w:after="0"/>
              <w:ind w:left="0"/>
              <w:jc w:val="left"/>
              <w:rPr>
                <w:rFonts w:asciiTheme="minorHAnsi" w:hAnsiTheme="minorHAnsi" w:cstheme="minorHAnsi"/>
                <w:sz w:val="16"/>
                <w:szCs w:val="16"/>
              </w:rPr>
            </w:pPr>
            <w:r w:rsidRPr="003B35E3">
              <w:rPr>
                <w:rFonts w:asciiTheme="minorHAnsi" w:hAnsiTheme="minorHAnsi" w:cstheme="minorHAnsi"/>
                <w:sz w:val="16"/>
                <w:szCs w:val="16"/>
              </w:rPr>
              <w:t>5.22.10</w:t>
            </w:r>
          </w:p>
        </w:tc>
        <w:tc>
          <w:tcPr>
            <w:tcW w:w="4034" w:type="dxa"/>
            <w:noWrap/>
            <w:vAlign w:val="bottom"/>
            <w:hideMark/>
          </w:tcPr>
          <w:p w14:paraId="0236FB70" w14:textId="77777777" w:rsidR="00135065" w:rsidRPr="003B35E3" w:rsidRDefault="00135065" w:rsidP="003B35E3">
            <w:pPr>
              <w:spacing w:before="0" w:after="0"/>
              <w:ind w:left="0"/>
              <w:jc w:val="left"/>
              <w:rPr>
                <w:rFonts w:asciiTheme="minorHAnsi" w:hAnsiTheme="minorHAnsi" w:cstheme="minorHAnsi"/>
                <w:sz w:val="16"/>
                <w:szCs w:val="16"/>
              </w:rPr>
            </w:pPr>
            <w:r w:rsidRPr="003B35E3">
              <w:rPr>
                <w:rFonts w:asciiTheme="minorHAnsi" w:hAnsiTheme="minorHAnsi" w:cstheme="minorHAnsi"/>
                <w:sz w:val="16"/>
                <w:szCs w:val="16"/>
              </w:rPr>
              <w:t>39 - velmi málo produkční</w:t>
            </w:r>
          </w:p>
        </w:tc>
        <w:tc>
          <w:tcPr>
            <w:tcW w:w="960" w:type="dxa"/>
            <w:noWrap/>
            <w:vAlign w:val="bottom"/>
            <w:hideMark/>
          </w:tcPr>
          <w:p w14:paraId="1258A433" w14:textId="77777777" w:rsidR="00135065" w:rsidRPr="003B35E3" w:rsidRDefault="00135065" w:rsidP="003B35E3">
            <w:pPr>
              <w:spacing w:before="0" w:after="0"/>
              <w:ind w:left="0"/>
              <w:jc w:val="right"/>
              <w:rPr>
                <w:rFonts w:asciiTheme="minorHAnsi" w:hAnsiTheme="minorHAnsi" w:cstheme="minorHAnsi"/>
                <w:sz w:val="16"/>
                <w:szCs w:val="16"/>
              </w:rPr>
            </w:pPr>
            <w:r w:rsidRPr="003B35E3">
              <w:rPr>
                <w:rFonts w:asciiTheme="minorHAnsi" w:hAnsiTheme="minorHAnsi" w:cstheme="minorHAnsi"/>
                <w:sz w:val="16"/>
                <w:szCs w:val="16"/>
              </w:rPr>
              <w:t>1,45</w:t>
            </w:r>
          </w:p>
        </w:tc>
        <w:tc>
          <w:tcPr>
            <w:tcW w:w="644" w:type="dxa"/>
            <w:vAlign w:val="center"/>
            <w:hideMark/>
          </w:tcPr>
          <w:p w14:paraId="6D9FE7F5" w14:textId="77777777" w:rsidR="00135065" w:rsidRPr="003B35E3" w:rsidRDefault="00135065" w:rsidP="003B35E3">
            <w:pPr>
              <w:spacing w:before="0" w:after="0"/>
              <w:ind w:left="0"/>
              <w:jc w:val="right"/>
              <w:rPr>
                <w:rFonts w:asciiTheme="minorHAnsi" w:hAnsiTheme="minorHAnsi" w:cstheme="minorHAnsi"/>
                <w:sz w:val="16"/>
                <w:szCs w:val="16"/>
              </w:rPr>
            </w:pPr>
            <w:r w:rsidRPr="003B35E3">
              <w:rPr>
                <w:rFonts w:asciiTheme="minorHAnsi" w:hAnsiTheme="minorHAnsi" w:cstheme="minorHAnsi"/>
                <w:sz w:val="16"/>
                <w:szCs w:val="16"/>
              </w:rPr>
              <w:t> </w:t>
            </w:r>
          </w:p>
        </w:tc>
      </w:tr>
      <w:tr w:rsidR="00135065" w:rsidRPr="003B35E3" w14:paraId="685D10F7" w14:textId="77777777" w:rsidTr="003B35E3">
        <w:trPr>
          <w:trHeight w:val="170"/>
        </w:trPr>
        <w:tc>
          <w:tcPr>
            <w:tcW w:w="960" w:type="dxa"/>
            <w:vMerge/>
            <w:vAlign w:val="center"/>
            <w:hideMark/>
          </w:tcPr>
          <w:p w14:paraId="53F8B8EF" w14:textId="77777777" w:rsidR="00135065" w:rsidRPr="003B35E3" w:rsidRDefault="00135065" w:rsidP="003B35E3">
            <w:pPr>
              <w:spacing w:before="0" w:after="0"/>
              <w:ind w:left="0"/>
              <w:jc w:val="left"/>
              <w:rPr>
                <w:rFonts w:asciiTheme="minorHAnsi" w:hAnsiTheme="minorHAnsi" w:cstheme="minorHAnsi"/>
                <w:sz w:val="16"/>
                <w:szCs w:val="16"/>
              </w:rPr>
            </w:pPr>
          </w:p>
        </w:tc>
        <w:tc>
          <w:tcPr>
            <w:tcW w:w="960" w:type="dxa"/>
            <w:noWrap/>
            <w:vAlign w:val="bottom"/>
            <w:hideMark/>
          </w:tcPr>
          <w:p w14:paraId="07DB90FA" w14:textId="77777777" w:rsidR="00135065" w:rsidRPr="003B35E3" w:rsidRDefault="00135065" w:rsidP="003B35E3">
            <w:pPr>
              <w:spacing w:before="0" w:after="0"/>
              <w:ind w:left="0"/>
              <w:jc w:val="left"/>
              <w:rPr>
                <w:rFonts w:asciiTheme="minorHAnsi" w:hAnsiTheme="minorHAnsi" w:cstheme="minorHAnsi"/>
                <w:sz w:val="16"/>
                <w:szCs w:val="16"/>
              </w:rPr>
            </w:pPr>
            <w:r w:rsidRPr="003B35E3">
              <w:rPr>
                <w:rFonts w:asciiTheme="minorHAnsi" w:hAnsiTheme="minorHAnsi" w:cstheme="minorHAnsi"/>
                <w:sz w:val="16"/>
                <w:szCs w:val="16"/>
              </w:rPr>
              <w:t>5.26.11</w:t>
            </w:r>
          </w:p>
        </w:tc>
        <w:tc>
          <w:tcPr>
            <w:tcW w:w="4034" w:type="dxa"/>
            <w:noWrap/>
            <w:vAlign w:val="bottom"/>
            <w:hideMark/>
          </w:tcPr>
          <w:p w14:paraId="0D558CBB" w14:textId="77777777" w:rsidR="00135065" w:rsidRPr="003B35E3" w:rsidRDefault="00135065" w:rsidP="003B35E3">
            <w:pPr>
              <w:spacing w:before="0" w:after="0"/>
              <w:ind w:left="0"/>
              <w:jc w:val="left"/>
              <w:rPr>
                <w:rFonts w:asciiTheme="minorHAnsi" w:hAnsiTheme="minorHAnsi" w:cstheme="minorHAnsi"/>
                <w:sz w:val="16"/>
                <w:szCs w:val="16"/>
              </w:rPr>
            </w:pPr>
            <w:r w:rsidRPr="003B35E3">
              <w:rPr>
                <w:rFonts w:asciiTheme="minorHAnsi" w:hAnsiTheme="minorHAnsi" w:cstheme="minorHAnsi"/>
                <w:sz w:val="16"/>
                <w:szCs w:val="16"/>
              </w:rPr>
              <w:t>40 - velmi málo produkční</w:t>
            </w:r>
          </w:p>
        </w:tc>
        <w:tc>
          <w:tcPr>
            <w:tcW w:w="960" w:type="dxa"/>
            <w:noWrap/>
            <w:vAlign w:val="bottom"/>
            <w:hideMark/>
          </w:tcPr>
          <w:p w14:paraId="2604A778" w14:textId="77777777" w:rsidR="00135065" w:rsidRPr="003B35E3" w:rsidRDefault="00135065" w:rsidP="003B35E3">
            <w:pPr>
              <w:spacing w:before="0" w:after="0"/>
              <w:ind w:left="0"/>
              <w:jc w:val="right"/>
              <w:rPr>
                <w:rFonts w:asciiTheme="minorHAnsi" w:hAnsiTheme="minorHAnsi" w:cstheme="minorHAnsi"/>
                <w:sz w:val="16"/>
                <w:szCs w:val="16"/>
              </w:rPr>
            </w:pPr>
            <w:r w:rsidRPr="003B35E3">
              <w:rPr>
                <w:rFonts w:asciiTheme="minorHAnsi" w:hAnsiTheme="minorHAnsi" w:cstheme="minorHAnsi"/>
                <w:sz w:val="16"/>
                <w:szCs w:val="16"/>
              </w:rPr>
              <w:t>1,47</w:t>
            </w:r>
          </w:p>
        </w:tc>
        <w:tc>
          <w:tcPr>
            <w:tcW w:w="644" w:type="dxa"/>
            <w:vAlign w:val="center"/>
            <w:hideMark/>
          </w:tcPr>
          <w:p w14:paraId="1B996FA7" w14:textId="77777777" w:rsidR="00135065" w:rsidRPr="003B35E3" w:rsidRDefault="00135065" w:rsidP="003B35E3">
            <w:pPr>
              <w:spacing w:before="0" w:after="0"/>
              <w:ind w:left="0"/>
              <w:jc w:val="right"/>
              <w:rPr>
                <w:rFonts w:asciiTheme="minorHAnsi" w:hAnsiTheme="minorHAnsi" w:cstheme="minorHAnsi"/>
                <w:sz w:val="16"/>
                <w:szCs w:val="16"/>
              </w:rPr>
            </w:pPr>
            <w:r w:rsidRPr="003B35E3">
              <w:rPr>
                <w:rFonts w:asciiTheme="minorHAnsi" w:hAnsiTheme="minorHAnsi" w:cstheme="minorHAnsi"/>
                <w:sz w:val="16"/>
                <w:szCs w:val="16"/>
              </w:rPr>
              <w:t> </w:t>
            </w:r>
          </w:p>
        </w:tc>
      </w:tr>
      <w:tr w:rsidR="00135065" w:rsidRPr="003B35E3" w14:paraId="3B3912A1" w14:textId="77777777" w:rsidTr="003B35E3">
        <w:trPr>
          <w:trHeight w:val="170"/>
        </w:trPr>
        <w:tc>
          <w:tcPr>
            <w:tcW w:w="960" w:type="dxa"/>
            <w:vMerge/>
            <w:vAlign w:val="center"/>
            <w:hideMark/>
          </w:tcPr>
          <w:p w14:paraId="5560AF84" w14:textId="77777777" w:rsidR="00135065" w:rsidRPr="003B35E3" w:rsidRDefault="00135065" w:rsidP="003B35E3">
            <w:pPr>
              <w:spacing w:before="0" w:after="0"/>
              <w:ind w:left="0"/>
              <w:jc w:val="left"/>
              <w:rPr>
                <w:rFonts w:asciiTheme="minorHAnsi" w:hAnsiTheme="minorHAnsi" w:cstheme="minorHAnsi"/>
                <w:sz w:val="16"/>
                <w:szCs w:val="16"/>
              </w:rPr>
            </w:pPr>
          </w:p>
        </w:tc>
        <w:tc>
          <w:tcPr>
            <w:tcW w:w="960" w:type="dxa"/>
            <w:noWrap/>
            <w:vAlign w:val="bottom"/>
            <w:hideMark/>
          </w:tcPr>
          <w:p w14:paraId="793A4858" w14:textId="77777777" w:rsidR="00135065" w:rsidRPr="003B35E3" w:rsidRDefault="00135065" w:rsidP="003B35E3">
            <w:pPr>
              <w:spacing w:before="0" w:after="0"/>
              <w:ind w:left="0"/>
              <w:jc w:val="left"/>
              <w:rPr>
                <w:rFonts w:asciiTheme="minorHAnsi" w:hAnsiTheme="minorHAnsi" w:cstheme="minorHAnsi"/>
                <w:sz w:val="16"/>
                <w:szCs w:val="16"/>
              </w:rPr>
            </w:pPr>
            <w:r w:rsidRPr="003B35E3">
              <w:rPr>
                <w:rFonts w:asciiTheme="minorHAnsi" w:hAnsiTheme="minorHAnsi" w:cstheme="minorHAnsi"/>
                <w:sz w:val="16"/>
                <w:szCs w:val="16"/>
              </w:rPr>
              <w:t>5.47.10</w:t>
            </w:r>
          </w:p>
        </w:tc>
        <w:tc>
          <w:tcPr>
            <w:tcW w:w="4034" w:type="dxa"/>
            <w:noWrap/>
            <w:vAlign w:val="bottom"/>
            <w:hideMark/>
          </w:tcPr>
          <w:p w14:paraId="4BF65FAA" w14:textId="77777777" w:rsidR="00135065" w:rsidRPr="003B35E3" w:rsidRDefault="00135065" w:rsidP="003B35E3">
            <w:pPr>
              <w:spacing w:before="0" w:after="0"/>
              <w:ind w:left="0"/>
              <w:jc w:val="left"/>
              <w:rPr>
                <w:rFonts w:asciiTheme="minorHAnsi" w:hAnsiTheme="minorHAnsi" w:cstheme="minorHAnsi"/>
                <w:sz w:val="16"/>
                <w:szCs w:val="16"/>
              </w:rPr>
            </w:pPr>
            <w:r w:rsidRPr="003B35E3">
              <w:rPr>
                <w:rFonts w:asciiTheme="minorHAnsi" w:hAnsiTheme="minorHAnsi" w:cstheme="minorHAnsi"/>
                <w:sz w:val="16"/>
                <w:szCs w:val="16"/>
              </w:rPr>
              <w:t>39 - velmi málo produkční</w:t>
            </w:r>
          </w:p>
        </w:tc>
        <w:tc>
          <w:tcPr>
            <w:tcW w:w="960" w:type="dxa"/>
            <w:noWrap/>
            <w:vAlign w:val="bottom"/>
            <w:hideMark/>
          </w:tcPr>
          <w:p w14:paraId="45C0D4CC" w14:textId="77777777" w:rsidR="00135065" w:rsidRPr="003B35E3" w:rsidRDefault="00135065" w:rsidP="003B35E3">
            <w:pPr>
              <w:spacing w:before="0" w:after="0"/>
              <w:ind w:left="0"/>
              <w:jc w:val="right"/>
              <w:rPr>
                <w:rFonts w:asciiTheme="minorHAnsi" w:hAnsiTheme="minorHAnsi" w:cstheme="minorHAnsi"/>
                <w:sz w:val="16"/>
                <w:szCs w:val="16"/>
              </w:rPr>
            </w:pPr>
            <w:r w:rsidRPr="003B35E3">
              <w:rPr>
                <w:rFonts w:asciiTheme="minorHAnsi" w:hAnsiTheme="minorHAnsi" w:cstheme="minorHAnsi"/>
                <w:sz w:val="16"/>
                <w:szCs w:val="16"/>
              </w:rPr>
              <w:t>21,82</w:t>
            </w:r>
          </w:p>
        </w:tc>
        <w:tc>
          <w:tcPr>
            <w:tcW w:w="644" w:type="dxa"/>
            <w:vAlign w:val="center"/>
            <w:hideMark/>
          </w:tcPr>
          <w:p w14:paraId="11B0805C" w14:textId="77777777" w:rsidR="00135065" w:rsidRPr="003B35E3" w:rsidRDefault="00135065" w:rsidP="003B35E3">
            <w:pPr>
              <w:spacing w:before="0" w:after="0"/>
              <w:ind w:left="0"/>
              <w:jc w:val="right"/>
              <w:rPr>
                <w:rFonts w:asciiTheme="minorHAnsi" w:hAnsiTheme="minorHAnsi" w:cstheme="minorHAnsi"/>
                <w:sz w:val="16"/>
                <w:szCs w:val="16"/>
              </w:rPr>
            </w:pPr>
            <w:r w:rsidRPr="003B35E3">
              <w:rPr>
                <w:rFonts w:asciiTheme="minorHAnsi" w:hAnsiTheme="minorHAnsi" w:cstheme="minorHAnsi"/>
                <w:sz w:val="16"/>
                <w:szCs w:val="16"/>
              </w:rPr>
              <w:t> </w:t>
            </w:r>
          </w:p>
        </w:tc>
      </w:tr>
      <w:tr w:rsidR="00135065" w:rsidRPr="003B35E3" w14:paraId="5C9BD374" w14:textId="77777777" w:rsidTr="003B35E3">
        <w:trPr>
          <w:trHeight w:val="170"/>
        </w:trPr>
        <w:tc>
          <w:tcPr>
            <w:tcW w:w="960" w:type="dxa"/>
            <w:vMerge/>
            <w:vAlign w:val="center"/>
            <w:hideMark/>
          </w:tcPr>
          <w:p w14:paraId="178C6FBA" w14:textId="77777777" w:rsidR="00135065" w:rsidRPr="003B35E3" w:rsidRDefault="00135065" w:rsidP="003B35E3">
            <w:pPr>
              <w:spacing w:before="0" w:after="0"/>
              <w:ind w:left="0"/>
              <w:jc w:val="left"/>
              <w:rPr>
                <w:rFonts w:asciiTheme="minorHAnsi" w:hAnsiTheme="minorHAnsi" w:cstheme="minorHAnsi"/>
                <w:sz w:val="16"/>
                <w:szCs w:val="16"/>
              </w:rPr>
            </w:pPr>
          </w:p>
        </w:tc>
        <w:tc>
          <w:tcPr>
            <w:tcW w:w="960" w:type="dxa"/>
            <w:noWrap/>
            <w:vAlign w:val="bottom"/>
            <w:hideMark/>
          </w:tcPr>
          <w:p w14:paraId="01A6DFC2" w14:textId="77777777" w:rsidR="00135065" w:rsidRPr="003B35E3" w:rsidRDefault="00135065" w:rsidP="003B35E3">
            <w:pPr>
              <w:spacing w:before="0" w:after="0"/>
              <w:ind w:left="0"/>
              <w:jc w:val="left"/>
              <w:rPr>
                <w:rFonts w:asciiTheme="minorHAnsi" w:hAnsiTheme="minorHAnsi" w:cstheme="minorHAnsi"/>
                <w:sz w:val="16"/>
                <w:szCs w:val="16"/>
              </w:rPr>
            </w:pPr>
            <w:r w:rsidRPr="003B35E3">
              <w:rPr>
                <w:rFonts w:asciiTheme="minorHAnsi" w:hAnsiTheme="minorHAnsi" w:cstheme="minorHAnsi"/>
                <w:sz w:val="16"/>
                <w:szCs w:val="16"/>
              </w:rPr>
              <w:t>8.35.24</w:t>
            </w:r>
          </w:p>
        </w:tc>
        <w:tc>
          <w:tcPr>
            <w:tcW w:w="4034" w:type="dxa"/>
            <w:noWrap/>
            <w:vAlign w:val="bottom"/>
            <w:hideMark/>
          </w:tcPr>
          <w:p w14:paraId="79E2B6E4" w14:textId="77777777" w:rsidR="00135065" w:rsidRPr="003B35E3" w:rsidRDefault="00135065" w:rsidP="003B35E3">
            <w:pPr>
              <w:spacing w:before="0" w:after="0"/>
              <w:ind w:left="0"/>
              <w:jc w:val="left"/>
              <w:rPr>
                <w:rFonts w:asciiTheme="minorHAnsi" w:hAnsiTheme="minorHAnsi" w:cstheme="minorHAnsi"/>
                <w:sz w:val="16"/>
                <w:szCs w:val="16"/>
              </w:rPr>
            </w:pPr>
            <w:r w:rsidRPr="003B35E3">
              <w:rPr>
                <w:rFonts w:asciiTheme="minorHAnsi" w:hAnsiTheme="minorHAnsi" w:cstheme="minorHAnsi"/>
                <w:sz w:val="16"/>
                <w:szCs w:val="16"/>
              </w:rPr>
              <w:t>17 - produkčně málo významné</w:t>
            </w:r>
          </w:p>
        </w:tc>
        <w:tc>
          <w:tcPr>
            <w:tcW w:w="960" w:type="dxa"/>
            <w:noWrap/>
            <w:vAlign w:val="bottom"/>
            <w:hideMark/>
          </w:tcPr>
          <w:p w14:paraId="098F497C" w14:textId="77777777" w:rsidR="00135065" w:rsidRPr="003B35E3" w:rsidRDefault="00135065" w:rsidP="003B35E3">
            <w:pPr>
              <w:spacing w:before="0" w:after="0"/>
              <w:ind w:left="0"/>
              <w:jc w:val="right"/>
              <w:rPr>
                <w:rFonts w:asciiTheme="minorHAnsi" w:hAnsiTheme="minorHAnsi" w:cstheme="minorHAnsi"/>
                <w:sz w:val="16"/>
                <w:szCs w:val="16"/>
              </w:rPr>
            </w:pPr>
            <w:r w:rsidRPr="003B35E3">
              <w:rPr>
                <w:rFonts w:asciiTheme="minorHAnsi" w:hAnsiTheme="minorHAnsi" w:cstheme="minorHAnsi"/>
                <w:sz w:val="16"/>
                <w:szCs w:val="16"/>
              </w:rPr>
              <w:t>0,89</w:t>
            </w:r>
          </w:p>
        </w:tc>
        <w:tc>
          <w:tcPr>
            <w:tcW w:w="644" w:type="dxa"/>
            <w:vAlign w:val="center"/>
            <w:hideMark/>
          </w:tcPr>
          <w:p w14:paraId="5902D46A" w14:textId="77777777" w:rsidR="00135065" w:rsidRPr="003B35E3" w:rsidRDefault="00135065" w:rsidP="003B35E3">
            <w:pPr>
              <w:spacing w:before="0" w:after="0"/>
              <w:ind w:left="0"/>
              <w:jc w:val="right"/>
              <w:rPr>
                <w:rFonts w:asciiTheme="minorHAnsi" w:hAnsiTheme="minorHAnsi" w:cstheme="minorHAnsi"/>
                <w:sz w:val="16"/>
                <w:szCs w:val="16"/>
              </w:rPr>
            </w:pPr>
            <w:r w:rsidRPr="003B35E3">
              <w:rPr>
                <w:rFonts w:asciiTheme="minorHAnsi" w:hAnsiTheme="minorHAnsi" w:cstheme="minorHAnsi"/>
                <w:sz w:val="16"/>
                <w:szCs w:val="16"/>
              </w:rPr>
              <w:t>35,17</w:t>
            </w:r>
          </w:p>
        </w:tc>
      </w:tr>
      <w:tr w:rsidR="00135065" w:rsidRPr="003B35E3" w14:paraId="37398853" w14:textId="77777777" w:rsidTr="003B35E3">
        <w:trPr>
          <w:trHeight w:val="170"/>
        </w:trPr>
        <w:tc>
          <w:tcPr>
            <w:tcW w:w="960" w:type="dxa"/>
            <w:vMerge w:val="restart"/>
            <w:noWrap/>
            <w:vAlign w:val="center"/>
            <w:hideMark/>
          </w:tcPr>
          <w:p w14:paraId="610BE706" w14:textId="77777777" w:rsidR="00135065" w:rsidRPr="003B35E3" w:rsidRDefault="00135065" w:rsidP="003B35E3">
            <w:pPr>
              <w:spacing w:before="0" w:after="0"/>
              <w:ind w:left="0"/>
              <w:rPr>
                <w:rFonts w:asciiTheme="minorHAnsi" w:hAnsiTheme="minorHAnsi" w:cstheme="minorHAnsi"/>
                <w:sz w:val="16"/>
                <w:szCs w:val="16"/>
              </w:rPr>
            </w:pPr>
            <w:r w:rsidRPr="003B35E3">
              <w:rPr>
                <w:rFonts w:asciiTheme="minorHAnsi" w:hAnsiTheme="minorHAnsi" w:cstheme="minorHAnsi"/>
                <w:sz w:val="16"/>
                <w:szCs w:val="16"/>
              </w:rPr>
              <w:t>IV.</w:t>
            </w:r>
          </w:p>
        </w:tc>
        <w:tc>
          <w:tcPr>
            <w:tcW w:w="960" w:type="dxa"/>
            <w:noWrap/>
            <w:vAlign w:val="bottom"/>
            <w:hideMark/>
          </w:tcPr>
          <w:p w14:paraId="20AAC1E0" w14:textId="77777777" w:rsidR="00135065" w:rsidRPr="003B35E3" w:rsidRDefault="00135065" w:rsidP="003B35E3">
            <w:pPr>
              <w:spacing w:before="0" w:after="0"/>
              <w:ind w:left="0"/>
              <w:jc w:val="left"/>
              <w:rPr>
                <w:rFonts w:asciiTheme="minorHAnsi" w:hAnsiTheme="minorHAnsi" w:cstheme="minorHAnsi"/>
                <w:sz w:val="16"/>
                <w:szCs w:val="16"/>
              </w:rPr>
            </w:pPr>
            <w:r w:rsidRPr="003B35E3">
              <w:rPr>
                <w:rFonts w:asciiTheme="minorHAnsi" w:hAnsiTheme="minorHAnsi" w:cstheme="minorHAnsi"/>
                <w:sz w:val="16"/>
                <w:szCs w:val="16"/>
              </w:rPr>
              <w:t>5.48.11</w:t>
            </w:r>
          </w:p>
        </w:tc>
        <w:tc>
          <w:tcPr>
            <w:tcW w:w="4034" w:type="dxa"/>
            <w:noWrap/>
            <w:vAlign w:val="bottom"/>
            <w:hideMark/>
          </w:tcPr>
          <w:p w14:paraId="51DC690B" w14:textId="77777777" w:rsidR="00135065" w:rsidRPr="003B35E3" w:rsidRDefault="00135065" w:rsidP="003B35E3">
            <w:pPr>
              <w:spacing w:before="0" w:after="0"/>
              <w:ind w:left="0"/>
              <w:jc w:val="left"/>
              <w:rPr>
                <w:rFonts w:asciiTheme="minorHAnsi" w:hAnsiTheme="minorHAnsi" w:cstheme="minorHAnsi"/>
                <w:sz w:val="16"/>
                <w:szCs w:val="16"/>
              </w:rPr>
            </w:pPr>
            <w:r w:rsidRPr="003B35E3">
              <w:rPr>
                <w:rFonts w:asciiTheme="minorHAnsi" w:hAnsiTheme="minorHAnsi" w:cstheme="minorHAnsi"/>
                <w:sz w:val="16"/>
                <w:szCs w:val="16"/>
              </w:rPr>
              <w:t>37 - velmi málo produkční</w:t>
            </w:r>
          </w:p>
        </w:tc>
        <w:tc>
          <w:tcPr>
            <w:tcW w:w="960" w:type="dxa"/>
            <w:noWrap/>
            <w:vAlign w:val="bottom"/>
            <w:hideMark/>
          </w:tcPr>
          <w:p w14:paraId="0FB6AD75" w14:textId="77777777" w:rsidR="00135065" w:rsidRPr="003B35E3" w:rsidRDefault="00135065" w:rsidP="003B35E3">
            <w:pPr>
              <w:spacing w:before="0" w:after="0"/>
              <w:ind w:left="0"/>
              <w:jc w:val="right"/>
              <w:rPr>
                <w:rFonts w:asciiTheme="minorHAnsi" w:hAnsiTheme="minorHAnsi" w:cstheme="minorHAnsi"/>
                <w:sz w:val="16"/>
                <w:szCs w:val="16"/>
              </w:rPr>
            </w:pPr>
            <w:r w:rsidRPr="003B35E3">
              <w:rPr>
                <w:rFonts w:asciiTheme="minorHAnsi" w:hAnsiTheme="minorHAnsi" w:cstheme="minorHAnsi"/>
                <w:sz w:val="16"/>
                <w:szCs w:val="16"/>
              </w:rPr>
              <w:t>0,192</w:t>
            </w:r>
          </w:p>
        </w:tc>
        <w:tc>
          <w:tcPr>
            <w:tcW w:w="644" w:type="dxa"/>
            <w:vAlign w:val="center"/>
            <w:hideMark/>
          </w:tcPr>
          <w:p w14:paraId="6E29088A" w14:textId="77777777" w:rsidR="00135065" w:rsidRPr="003B35E3" w:rsidRDefault="00135065" w:rsidP="003B35E3">
            <w:pPr>
              <w:spacing w:before="0" w:after="0"/>
              <w:ind w:left="0"/>
              <w:jc w:val="right"/>
              <w:rPr>
                <w:rFonts w:asciiTheme="minorHAnsi" w:hAnsiTheme="minorHAnsi" w:cstheme="minorHAnsi"/>
                <w:sz w:val="16"/>
                <w:szCs w:val="16"/>
              </w:rPr>
            </w:pPr>
            <w:r w:rsidRPr="003B35E3">
              <w:rPr>
                <w:rFonts w:asciiTheme="minorHAnsi" w:hAnsiTheme="minorHAnsi" w:cstheme="minorHAnsi"/>
                <w:sz w:val="16"/>
                <w:szCs w:val="16"/>
              </w:rPr>
              <w:t> </w:t>
            </w:r>
          </w:p>
        </w:tc>
      </w:tr>
      <w:tr w:rsidR="00135065" w:rsidRPr="003B35E3" w14:paraId="16D8E5D9" w14:textId="77777777" w:rsidTr="003B35E3">
        <w:trPr>
          <w:trHeight w:val="170"/>
        </w:trPr>
        <w:tc>
          <w:tcPr>
            <w:tcW w:w="960" w:type="dxa"/>
            <w:vMerge/>
            <w:vAlign w:val="center"/>
            <w:hideMark/>
          </w:tcPr>
          <w:p w14:paraId="352FAB19" w14:textId="77777777" w:rsidR="00135065" w:rsidRPr="003B35E3" w:rsidRDefault="00135065" w:rsidP="003B35E3">
            <w:pPr>
              <w:spacing w:before="0" w:after="0"/>
              <w:ind w:left="0"/>
              <w:jc w:val="left"/>
              <w:rPr>
                <w:rFonts w:asciiTheme="minorHAnsi" w:hAnsiTheme="minorHAnsi" w:cstheme="minorHAnsi"/>
                <w:sz w:val="16"/>
                <w:szCs w:val="16"/>
              </w:rPr>
            </w:pPr>
          </w:p>
        </w:tc>
        <w:tc>
          <w:tcPr>
            <w:tcW w:w="960" w:type="dxa"/>
            <w:noWrap/>
            <w:vAlign w:val="bottom"/>
            <w:hideMark/>
          </w:tcPr>
          <w:p w14:paraId="00C3BAD9" w14:textId="77777777" w:rsidR="00135065" w:rsidRPr="003B35E3" w:rsidRDefault="00135065" w:rsidP="003B35E3">
            <w:pPr>
              <w:spacing w:before="0" w:after="0"/>
              <w:ind w:left="0"/>
              <w:jc w:val="left"/>
              <w:rPr>
                <w:rFonts w:asciiTheme="minorHAnsi" w:hAnsiTheme="minorHAnsi" w:cstheme="minorHAnsi"/>
                <w:sz w:val="16"/>
                <w:szCs w:val="16"/>
              </w:rPr>
            </w:pPr>
            <w:r w:rsidRPr="003B35E3">
              <w:rPr>
                <w:rFonts w:asciiTheme="minorHAnsi" w:hAnsiTheme="minorHAnsi" w:cstheme="minorHAnsi"/>
                <w:sz w:val="16"/>
                <w:szCs w:val="16"/>
              </w:rPr>
              <w:t>5.55.00</w:t>
            </w:r>
          </w:p>
        </w:tc>
        <w:tc>
          <w:tcPr>
            <w:tcW w:w="4034" w:type="dxa"/>
            <w:noWrap/>
            <w:vAlign w:val="bottom"/>
            <w:hideMark/>
          </w:tcPr>
          <w:p w14:paraId="6FE3C55C" w14:textId="77777777" w:rsidR="00135065" w:rsidRPr="003B35E3" w:rsidRDefault="00135065" w:rsidP="003B35E3">
            <w:pPr>
              <w:spacing w:before="0" w:after="0"/>
              <w:ind w:left="0"/>
              <w:jc w:val="left"/>
              <w:rPr>
                <w:rFonts w:asciiTheme="minorHAnsi" w:hAnsiTheme="minorHAnsi" w:cstheme="minorHAnsi"/>
                <w:sz w:val="16"/>
                <w:szCs w:val="16"/>
              </w:rPr>
            </w:pPr>
            <w:r w:rsidRPr="003B35E3">
              <w:rPr>
                <w:rFonts w:asciiTheme="minorHAnsi" w:hAnsiTheme="minorHAnsi" w:cstheme="minorHAnsi"/>
                <w:sz w:val="16"/>
                <w:szCs w:val="16"/>
              </w:rPr>
              <w:t>47 - málo produkční</w:t>
            </w:r>
          </w:p>
        </w:tc>
        <w:tc>
          <w:tcPr>
            <w:tcW w:w="960" w:type="dxa"/>
            <w:noWrap/>
            <w:vAlign w:val="bottom"/>
            <w:hideMark/>
          </w:tcPr>
          <w:p w14:paraId="101752E9" w14:textId="77777777" w:rsidR="00135065" w:rsidRPr="003B35E3" w:rsidRDefault="00135065" w:rsidP="003B35E3">
            <w:pPr>
              <w:spacing w:before="0" w:after="0"/>
              <w:ind w:left="0"/>
              <w:jc w:val="right"/>
              <w:rPr>
                <w:rFonts w:asciiTheme="minorHAnsi" w:hAnsiTheme="minorHAnsi" w:cstheme="minorHAnsi"/>
                <w:sz w:val="16"/>
                <w:szCs w:val="16"/>
              </w:rPr>
            </w:pPr>
            <w:r w:rsidRPr="003B35E3">
              <w:rPr>
                <w:rFonts w:asciiTheme="minorHAnsi" w:hAnsiTheme="minorHAnsi" w:cstheme="minorHAnsi"/>
                <w:sz w:val="16"/>
                <w:szCs w:val="16"/>
              </w:rPr>
              <w:t>22,3</w:t>
            </w:r>
          </w:p>
        </w:tc>
        <w:tc>
          <w:tcPr>
            <w:tcW w:w="644" w:type="dxa"/>
            <w:vAlign w:val="center"/>
            <w:hideMark/>
          </w:tcPr>
          <w:p w14:paraId="69D476A7" w14:textId="77777777" w:rsidR="00135065" w:rsidRPr="003B35E3" w:rsidRDefault="00135065" w:rsidP="003B35E3">
            <w:pPr>
              <w:spacing w:before="0" w:after="0"/>
              <w:ind w:left="0"/>
              <w:jc w:val="right"/>
              <w:rPr>
                <w:rFonts w:asciiTheme="minorHAnsi" w:hAnsiTheme="minorHAnsi" w:cstheme="minorHAnsi"/>
                <w:sz w:val="16"/>
                <w:szCs w:val="16"/>
              </w:rPr>
            </w:pPr>
            <w:r w:rsidRPr="003B35E3">
              <w:rPr>
                <w:rFonts w:asciiTheme="minorHAnsi" w:hAnsiTheme="minorHAnsi" w:cstheme="minorHAnsi"/>
                <w:sz w:val="16"/>
                <w:szCs w:val="16"/>
              </w:rPr>
              <w:t> </w:t>
            </w:r>
          </w:p>
        </w:tc>
      </w:tr>
      <w:tr w:rsidR="00135065" w:rsidRPr="003B35E3" w14:paraId="7CDF5407" w14:textId="77777777" w:rsidTr="003B35E3">
        <w:trPr>
          <w:trHeight w:val="170"/>
        </w:trPr>
        <w:tc>
          <w:tcPr>
            <w:tcW w:w="960" w:type="dxa"/>
            <w:vMerge/>
            <w:vAlign w:val="center"/>
            <w:hideMark/>
          </w:tcPr>
          <w:p w14:paraId="19F66F01" w14:textId="77777777" w:rsidR="00135065" w:rsidRPr="003B35E3" w:rsidRDefault="00135065" w:rsidP="003B35E3">
            <w:pPr>
              <w:spacing w:before="0" w:after="0"/>
              <w:ind w:left="0"/>
              <w:jc w:val="left"/>
              <w:rPr>
                <w:rFonts w:asciiTheme="minorHAnsi" w:hAnsiTheme="minorHAnsi" w:cstheme="minorHAnsi"/>
                <w:sz w:val="16"/>
                <w:szCs w:val="16"/>
              </w:rPr>
            </w:pPr>
          </w:p>
        </w:tc>
        <w:tc>
          <w:tcPr>
            <w:tcW w:w="960" w:type="dxa"/>
            <w:noWrap/>
            <w:vAlign w:val="bottom"/>
            <w:hideMark/>
          </w:tcPr>
          <w:p w14:paraId="1E0D438B" w14:textId="77777777" w:rsidR="00135065" w:rsidRPr="003B35E3" w:rsidRDefault="00135065" w:rsidP="003B35E3">
            <w:pPr>
              <w:spacing w:before="0" w:after="0"/>
              <w:ind w:left="0"/>
              <w:jc w:val="left"/>
              <w:rPr>
                <w:rFonts w:asciiTheme="minorHAnsi" w:hAnsiTheme="minorHAnsi" w:cstheme="minorHAnsi"/>
                <w:sz w:val="16"/>
                <w:szCs w:val="16"/>
              </w:rPr>
            </w:pPr>
            <w:r w:rsidRPr="003B35E3">
              <w:rPr>
                <w:rFonts w:asciiTheme="minorHAnsi" w:hAnsiTheme="minorHAnsi" w:cstheme="minorHAnsi"/>
                <w:sz w:val="16"/>
                <w:szCs w:val="16"/>
              </w:rPr>
              <w:t>5.22.12</w:t>
            </w:r>
          </w:p>
        </w:tc>
        <w:tc>
          <w:tcPr>
            <w:tcW w:w="4034" w:type="dxa"/>
            <w:noWrap/>
            <w:vAlign w:val="bottom"/>
            <w:hideMark/>
          </w:tcPr>
          <w:p w14:paraId="7DE4FE97" w14:textId="77777777" w:rsidR="00135065" w:rsidRPr="003B35E3" w:rsidRDefault="00135065" w:rsidP="003B35E3">
            <w:pPr>
              <w:spacing w:before="0" w:after="0"/>
              <w:ind w:left="0"/>
              <w:jc w:val="left"/>
              <w:rPr>
                <w:rFonts w:asciiTheme="minorHAnsi" w:hAnsiTheme="minorHAnsi" w:cstheme="minorHAnsi"/>
                <w:sz w:val="16"/>
                <w:szCs w:val="16"/>
              </w:rPr>
            </w:pPr>
            <w:r w:rsidRPr="003B35E3">
              <w:rPr>
                <w:rFonts w:asciiTheme="minorHAnsi" w:hAnsiTheme="minorHAnsi" w:cstheme="minorHAnsi"/>
                <w:sz w:val="16"/>
                <w:szCs w:val="16"/>
              </w:rPr>
              <w:t>31 - velmi málo produkční</w:t>
            </w:r>
          </w:p>
        </w:tc>
        <w:tc>
          <w:tcPr>
            <w:tcW w:w="960" w:type="dxa"/>
            <w:noWrap/>
            <w:vAlign w:val="bottom"/>
            <w:hideMark/>
          </w:tcPr>
          <w:p w14:paraId="5507D18D" w14:textId="77777777" w:rsidR="00135065" w:rsidRPr="003B35E3" w:rsidRDefault="00135065" w:rsidP="003B35E3">
            <w:pPr>
              <w:spacing w:before="0" w:after="0"/>
              <w:ind w:left="0"/>
              <w:jc w:val="right"/>
              <w:rPr>
                <w:rFonts w:asciiTheme="minorHAnsi" w:hAnsiTheme="minorHAnsi" w:cstheme="minorHAnsi"/>
                <w:sz w:val="16"/>
                <w:szCs w:val="16"/>
              </w:rPr>
            </w:pPr>
            <w:r w:rsidRPr="003B35E3">
              <w:rPr>
                <w:rFonts w:asciiTheme="minorHAnsi" w:hAnsiTheme="minorHAnsi" w:cstheme="minorHAnsi"/>
                <w:sz w:val="16"/>
                <w:szCs w:val="16"/>
              </w:rPr>
              <w:t>0,27</w:t>
            </w:r>
          </w:p>
        </w:tc>
        <w:tc>
          <w:tcPr>
            <w:tcW w:w="644" w:type="dxa"/>
            <w:vAlign w:val="center"/>
            <w:hideMark/>
          </w:tcPr>
          <w:p w14:paraId="27FF013D" w14:textId="77777777" w:rsidR="00135065" w:rsidRPr="003B35E3" w:rsidRDefault="00135065" w:rsidP="003B35E3">
            <w:pPr>
              <w:spacing w:before="0" w:after="0"/>
              <w:ind w:left="0"/>
              <w:jc w:val="right"/>
              <w:rPr>
                <w:rFonts w:asciiTheme="minorHAnsi" w:hAnsiTheme="minorHAnsi" w:cstheme="minorHAnsi"/>
                <w:sz w:val="16"/>
                <w:szCs w:val="16"/>
              </w:rPr>
            </w:pPr>
            <w:r w:rsidRPr="003B35E3">
              <w:rPr>
                <w:rFonts w:asciiTheme="minorHAnsi" w:hAnsiTheme="minorHAnsi" w:cstheme="minorHAnsi"/>
                <w:sz w:val="16"/>
                <w:szCs w:val="16"/>
              </w:rPr>
              <w:t>22,762</w:t>
            </w:r>
          </w:p>
        </w:tc>
      </w:tr>
      <w:tr w:rsidR="00135065" w:rsidRPr="003B35E3" w14:paraId="6EA9F43F" w14:textId="77777777" w:rsidTr="003B35E3">
        <w:trPr>
          <w:trHeight w:val="170"/>
        </w:trPr>
        <w:tc>
          <w:tcPr>
            <w:tcW w:w="960" w:type="dxa"/>
            <w:vMerge w:val="restart"/>
            <w:noWrap/>
            <w:vAlign w:val="center"/>
            <w:hideMark/>
          </w:tcPr>
          <w:p w14:paraId="1EA78CB4" w14:textId="77777777" w:rsidR="00135065" w:rsidRPr="003B35E3" w:rsidRDefault="00135065" w:rsidP="003B35E3">
            <w:pPr>
              <w:spacing w:before="0" w:after="0"/>
              <w:ind w:left="0"/>
              <w:rPr>
                <w:rFonts w:asciiTheme="minorHAnsi" w:hAnsiTheme="minorHAnsi" w:cstheme="minorHAnsi"/>
                <w:sz w:val="16"/>
                <w:szCs w:val="16"/>
              </w:rPr>
            </w:pPr>
            <w:r w:rsidRPr="003B35E3">
              <w:rPr>
                <w:rFonts w:asciiTheme="minorHAnsi" w:hAnsiTheme="minorHAnsi" w:cstheme="minorHAnsi"/>
                <w:sz w:val="16"/>
                <w:szCs w:val="16"/>
              </w:rPr>
              <w:t>V.</w:t>
            </w:r>
          </w:p>
        </w:tc>
        <w:tc>
          <w:tcPr>
            <w:tcW w:w="960" w:type="dxa"/>
            <w:noWrap/>
            <w:vAlign w:val="bottom"/>
            <w:hideMark/>
          </w:tcPr>
          <w:p w14:paraId="1CCD881F" w14:textId="77777777" w:rsidR="00135065" w:rsidRPr="003B35E3" w:rsidRDefault="00135065" w:rsidP="003B35E3">
            <w:pPr>
              <w:spacing w:before="0" w:after="0"/>
              <w:ind w:left="0"/>
              <w:jc w:val="left"/>
              <w:rPr>
                <w:rFonts w:asciiTheme="minorHAnsi" w:hAnsiTheme="minorHAnsi" w:cstheme="minorHAnsi"/>
                <w:sz w:val="16"/>
                <w:szCs w:val="16"/>
              </w:rPr>
            </w:pPr>
            <w:r w:rsidRPr="003B35E3">
              <w:rPr>
                <w:rFonts w:asciiTheme="minorHAnsi" w:hAnsiTheme="minorHAnsi" w:cstheme="minorHAnsi"/>
                <w:sz w:val="16"/>
                <w:szCs w:val="16"/>
              </w:rPr>
              <w:t>5.26.54</w:t>
            </w:r>
          </w:p>
        </w:tc>
        <w:tc>
          <w:tcPr>
            <w:tcW w:w="4034" w:type="dxa"/>
            <w:noWrap/>
            <w:vAlign w:val="bottom"/>
            <w:hideMark/>
          </w:tcPr>
          <w:p w14:paraId="13EBBF9E" w14:textId="77777777" w:rsidR="00135065" w:rsidRPr="003B35E3" w:rsidRDefault="00135065" w:rsidP="003B35E3">
            <w:pPr>
              <w:spacing w:before="0" w:after="0"/>
              <w:ind w:left="0"/>
              <w:jc w:val="left"/>
              <w:rPr>
                <w:rFonts w:asciiTheme="minorHAnsi" w:hAnsiTheme="minorHAnsi" w:cstheme="minorHAnsi"/>
                <w:sz w:val="16"/>
                <w:szCs w:val="16"/>
              </w:rPr>
            </w:pPr>
            <w:r w:rsidRPr="003B35E3">
              <w:rPr>
                <w:rFonts w:asciiTheme="minorHAnsi" w:hAnsiTheme="minorHAnsi" w:cstheme="minorHAnsi"/>
                <w:sz w:val="16"/>
                <w:szCs w:val="16"/>
              </w:rPr>
              <w:t>26 - produkčně málo významné</w:t>
            </w:r>
          </w:p>
        </w:tc>
        <w:tc>
          <w:tcPr>
            <w:tcW w:w="960" w:type="dxa"/>
            <w:noWrap/>
            <w:vAlign w:val="bottom"/>
            <w:hideMark/>
          </w:tcPr>
          <w:p w14:paraId="5622C645" w14:textId="77777777" w:rsidR="00135065" w:rsidRPr="003B35E3" w:rsidRDefault="00135065" w:rsidP="003B35E3">
            <w:pPr>
              <w:spacing w:before="0" w:after="0"/>
              <w:ind w:left="0"/>
              <w:jc w:val="right"/>
              <w:rPr>
                <w:rFonts w:asciiTheme="minorHAnsi" w:hAnsiTheme="minorHAnsi" w:cstheme="minorHAnsi"/>
                <w:sz w:val="16"/>
                <w:szCs w:val="16"/>
              </w:rPr>
            </w:pPr>
            <w:r w:rsidRPr="003B35E3">
              <w:rPr>
                <w:rFonts w:asciiTheme="minorHAnsi" w:hAnsiTheme="minorHAnsi" w:cstheme="minorHAnsi"/>
                <w:sz w:val="16"/>
                <w:szCs w:val="16"/>
              </w:rPr>
              <w:t>107,03</w:t>
            </w:r>
          </w:p>
        </w:tc>
        <w:tc>
          <w:tcPr>
            <w:tcW w:w="644" w:type="dxa"/>
            <w:vAlign w:val="center"/>
            <w:hideMark/>
          </w:tcPr>
          <w:p w14:paraId="0F1D35E9" w14:textId="77777777" w:rsidR="00135065" w:rsidRPr="003B35E3" w:rsidRDefault="00135065" w:rsidP="003B35E3">
            <w:pPr>
              <w:spacing w:before="0" w:after="0"/>
              <w:ind w:left="0"/>
              <w:jc w:val="right"/>
              <w:rPr>
                <w:rFonts w:asciiTheme="minorHAnsi" w:hAnsiTheme="minorHAnsi" w:cstheme="minorHAnsi"/>
                <w:sz w:val="16"/>
                <w:szCs w:val="16"/>
              </w:rPr>
            </w:pPr>
            <w:r w:rsidRPr="003B35E3">
              <w:rPr>
                <w:rFonts w:asciiTheme="minorHAnsi" w:hAnsiTheme="minorHAnsi" w:cstheme="minorHAnsi"/>
                <w:sz w:val="16"/>
                <w:szCs w:val="16"/>
              </w:rPr>
              <w:t> </w:t>
            </w:r>
          </w:p>
        </w:tc>
      </w:tr>
      <w:tr w:rsidR="00135065" w:rsidRPr="003B35E3" w14:paraId="33A9ADD5" w14:textId="77777777" w:rsidTr="003B35E3">
        <w:trPr>
          <w:trHeight w:val="170"/>
        </w:trPr>
        <w:tc>
          <w:tcPr>
            <w:tcW w:w="960" w:type="dxa"/>
            <w:vMerge/>
            <w:vAlign w:val="center"/>
            <w:hideMark/>
          </w:tcPr>
          <w:p w14:paraId="090C1578" w14:textId="77777777" w:rsidR="00135065" w:rsidRPr="003B35E3" w:rsidRDefault="00135065" w:rsidP="003B35E3">
            <w:pPr>
              <w:spacing w:before="0" w:after="0"/>
              <w:ind w:left="0"/>
              <w:jc w:val="left"/>
              <w:rPr>
                <w:rFonts w:asciiTheme="minorHAnsi" w:hAnsiTheme="minorHAnsi" w:cstheme="minorHAnsi"/>
                <w:sz w:val="16"/>
                <w:szCs w:val="16"/>
              </w:rPr>
            </w:pPr>
          </w:p>
        </w:tc>
        <w:tc>
          <w:tcPr>
            <w:tcW w:w="960" w:type="dxa"/>
            <w:noWrap/>
            <w:vAlign w:val="bottom"/>
            <w:hideMark/>
          </w:tcPr>
          <w:p w14:paraId="2FA04462" w14:textId="77777777" w:rsidR="00135065" w:rsidRPr="003B35E3" w:rsidRDefault="00135065" w:rsidP="003B35E3">
            <w:pPr>
              <w:spacing w:before="0" w:after="0"/>
              <w:ind w:left="0"/>
              <w:jc w:val="left"/>
              <w:rPr>
                <w:rFonts w:asciiTheme="minorHAnsi" w:hAnsiTheme="minorHAnsi" w:cstheme="minorHAnsi"/>
                <w:sz w:val="16"/>
                <w:szCs w:val="16"/>
              </w:rPr>
            </w:pPr>
            <w:r w:rsidRPr="003B35E3">
              <w:rPr>
                <w:rFonts w:asciiTheme="minorHAnsi" w:hAnsiTheme="minorHAnsi" w:cstheme="minorHAnsi"/>
                <w:sz w:val="16"/>
                <w:szCs w:val="16"/>
              </w:rPr>
              <w:t>5.27.54</w:t>
            </w:r>
          </w:p>
        </w:tc>
        <w:tc>
          <w:tcPr>
            <w:tcW w:w="4034" w:type="dxa"/>
            <w:noWrap/>
            <w:vAlign w:val="bottom"/>
            <w:hideMark/>
          </w:tcPr>
          <w:p w14:paraId="326C2863" w14:textId="77777777" w:rsidR="00135065" w:rsidRPr="003B35E3" w:rsidRDefault="00135065" w:rsidP="003B35E3">
            <w:pPr>
              <w:spacing w:before="0" w:after="0"/>
              <w:ind w:left="0"/>
              <w:jc w:val="left"/>
              <w:rPr>
                <w:rFonts w:asciiTheme="minorHAnsi" w:hAnsiTheme="minorHAnsi" w:cstheme="minorHAnsi"/>
                <w:sz w:val="16"/>
                <w:szCs w:val="16"/>
              </w:rPr>
            </w:pPr>
            <w:r w:rsidRPr="003B35E3">
              <w:rPr>
                <w:rFonts w:asciiTheme="minorHAnsi" w:hAnsiTheme="minorHAnsi" w:cstheme="minorHAnsi"/>
                <w:sz w:val="16"/>
                <w:szCs w:val="16"/>
              </w:rPr>
              <w:t>22 - produkčně málo významné</w:t>
            </w:r>
          </w:p>
        </w:tc>
        <w:tc>
          <w:tcPr>
            <w:tcW w:w="960" w:type="dxa"/>
            <w:noWrap/>
            <w:vAlign w:val="bottom"/>
            <w:hideMark/>
          </w:tcPr>
          <w:p w14:paraId="7A562E0F" w14:textId="77777777" w:rsidR="00135065" w:rsidRPr="003B35E3" w:rsidRDefault="00135065" w:rsidP="003B35E3">
            <w:pPr>
              <w:spacing w:before="0" w:after="0"/>
              <w:ind w:left="0"/>
              <w:jc w:val="right"/>
              <w:rPr>
                <w:rFonts w:asciiTheme="minorHAnsi" w:hAnsiTheme="minorHAnsi" w:cstheme="minorHAnsi"/>
                <w:sz w:val="16"/>
                <w:szCs w:val="16"/>
              </w:rPr>
            </w:pPr>
            <w:r w:rsidRPr="003B35E3">
              <w:rPr>
                <w:rFonts w:asciiTheme="minorHAnsi" w:hAnsiTheme="minorHAnsi" w:cstheme="minorHAnsi"/>
                <w:sz w:val="16"/>
                <w:szCs w:val="16"/>
              </w:rPr>
              <w:t>62,3</w:t>
            </w:r>
          </w:p>
        </w:tc>
        <w:tc>
          <w:tcPr>
            <w:tcW w:w="644" w:type="dxa"/>
            <w:vAlign w:val="center"/>
            <w:hideMark/>
          </w:tcPr>
          <w:p w14:paraId="5731FC52" w14:textId="77777777" w:rsidR="00135065" w:rsidRPr="003B35E3" w:rsidRDefault="00135065" w:rsidP="003B35E3">
            <w:pPr>
              <w:spacing w:before="0" w:after="0"/>
              <w:ind w:left="0"/>
              <w:jc w:val="right"/>
              <w:rPr>
                <w:rFonts w:asciiTheme="minorHAnsi" w:hAnsiTheme="minorHAnsi" w:cstheme="minorHAnsi"/>
                <w:sz w:val="16"/>
                <w:szCs w:val="16"/>
              </w:rPr>
            </w:pPr>
            <w:r w:rsidRPr="003B35E3">
              <w:rPr>
                <w:rFonts w:asciiTheme="minorHAnsi" w:hAnsiTheme="minorHAnsi" w:cstheme="minorHAnsi"/>
                <w:sz w:val="16"/>
                <w:szCs w:val="16"/>
              </w:rPr>
              <w:t> </w:t>
            </w:r>
          </w:p>
        </w:tc>
      </w:tr>
      <w:tr w:rsidR="00135065" w:rsidRPr="003B35E3" w14:paraId="16CAFB44" w14:textId="77777777" w:rsidTr="003B35E3">
        <w:trPr>
          <w:trHeight w:val="170"/>
        </w:trPr>
        <w:tc>
          <w:tcPr>
            <w:tcW w:w="960" w:type="dxa"/>
            <w:vMerge/>
            <w:vAlign w:val="center"/>
            <w:hideMark/>
          </w:tcPr>
          <w:p w14:paraId="0F7E8844" w14:textId="77777777" w:rsidR="00135065" w:rsidRPr="003B35E3" w:rsidRDefault="00135065" w:rsidP="003B35E3">
            <w:pPr>
              <w:spacing w:before="0" w:after="0"/>
              <w:ind w:left="0"/>
              <w:jc w:val="left"/>
              <w:rPr>
                <w:rFonts w:asciiTheme="minorHAnsi" w:hAnsiTheme="minorHAnsi" w:cstheme="minorHAnsi"/>
                <w:sz w:val="16"/>
                <w:szCs w:val="16"/>
              </w:rPr>
            </w:pPr>
          </w:p>
        </w:tc>
        <w:tc>
          <w:tcPr>
            <w:tcW w:w="960" w:type="dxa"/>
            <w:noWrap/>
            <w:vAlign w:val="bottom"/>
            <w:hideMark/>
          </w:tcPr>
          <w:p w14:paraId="043E61E9" w14:textId="77777777" w:rsidR="00135065" w:rsidRPr="003B35E3" w:rsidRDefault="00135065" w:rsidP="003B35E3">
            <w:pPr>
              <w:spacing w:before="0" w:after="0"/>
              <w:ind w:left="0"/>
              <w:jc w:val="left"/>
              <w:rPr>
                <w:rFonts w:asciiTheme="minorHAnsi" w:hAnsiTheme="minorHAnsi" w:cstheme="minorHAnsi"/>
                <w:sz w:val="16"/>
                <w:szCs w:val="16"/>
              </w:rPr>
            </w:pPr>
            <w:r w:rsidRPr="003B35E3">
              <w:rPr>
                <w:rFonts w:asciiTheme="minorHAnsi" w:hAnsiTheme="minorHAnsi" w:cstheme="minorHAnsi"/>
                <w:sz w:val="16"/>
                <w:szCs w:val="16"/>
              </w:rPr>
              <w:t>5.37.56</w:t>
            </w:r>
          </w:p>
        </w:tc>
        <w:tc>
          <w:tcPr>
            <w:tcW w:w="4034" w:type="dxa"/>
            <w:noWrap/>
            <w:vAlign w:val="bottom"/>
            <w:hideMark/>
          </w:tcPr>
          <w:p w14:paraId="683EECE0" w14:textId="77777777" w:rsidR="00135065" w:rsidRPr="003B35E3" w:rsidRDefault="00135065" w:rsidP="003B35E3">
            <w:pPr>
              <w:spacing w:before="0" w:after="0"/>
              <w:ind w:left="0"/>
              <w:jc w:val="left"/>
              <w:rPr>
                <w:rFonts w:asciiTheme="minorHAnsi" w:hAnsiTheme="minorHAnsi" w:cstheme="minorHAnsi"/>
                <w:sz w:val="16"/>
                <w:szCs w:val="16"/>
              </w:rPr>
            </w:pPr>
            <w:r w:rsidRPr="003B35E3">
              <w:rPr>
                <w:rFonts w:asciiTheme="minorHAnsi" w:hAnsiTheme="minorHAnsi" w:cstheme="minorHAnsi"/>
                <w:sz w:val="16"/>
                <w:szCs w:val="16"/>
              </w:rPr>
              <w:t>13 - produkčně málo významné</w:t>
            </w:r>
          </w:p>
        </w:tc>
        <w:tc>
          <w:tcPr>
            <w:tcW w:w="960" w:type="dxa"/>
            <w:noWrap/>
            <w:vAlign w:val="bottom"/>
            <w:hideMark/>
          </w:tcPr>
          <w:p w14:paraId="51124748" w14:textId="77777777" w:rsidR="00135065" w:rsidRPr="003B35E3" w:rsidRDefault="00135065" w:rsidP="003B35E3">
            <w:pPr>
              <w:spacing w:before="0" w:after="0"/>
              <w:ind w:left="0"/>
              <w:jc w:val="right"/>
              <w:rPr>
                <w:rFonts w:asciiTheme="minorHAnsi" w:hAnsiTheme="minorHAnsi" w:cstheme="minorHAnsi"/>
                <w:sz w:val="16"/>
                <w:szCs w:val="16"/>
              </w:rPr>
            </w:pPr>
            <w:r w:rsidRPr="003B35E3">
              <w:rPr>
                <w:rFonts w:asciiTheme="minorHAnsi" w:hAnsiTheme="minorHAnsi" w:cstheme="minorHAnsi"/>
                <w:sz w:val="16"/>
                <w:szCs w:val="16"/>
              </w:rPr>
              <w:t>15,52</w:t>
            </w:r>
          </w:p>
        </w:tc>
        <w:tc>
          <w:tcPr>
            <w:tcW w:w="644" w:type="dxa"/>
            <w:vAlign w:val="center"/>
            <w:hideMark/>
          </w:tcPr>
          <w:p w14:paraId="4545834D" w14:textId="77777777" w:rsidR="00135065" w:rsidRPr="003B35E3" w:rsidRDefault="00135065" w:rsidP="003B35E3">
            <w:pPr>
              <w:spacing w:before="0" w:after="0"/>
              <w:ind w:left="0"/>
              <w:jc w:val="right"/>
              <w:rPr>
                <w:rFonts w:asciiTheme="minorHAnsi" w:hAnsiTheme="minorHAnsi" w:cstheme="minorHAnsi"/>
                <w:sz w:val="16"/>
                <w:szCs w:val="16"/>
              </w:rPr>
            </w:pPr>
            <w:r w:rsidRPr="003B35E3">
              <w:rPr>
                <w:rFonts w:asciiTheme="minorHAnsi" w:hAnsiTheme="minorHAnsi" w:cstheme="minorHAnsi"/>
                <w:sz w:val="16"/>
                <w:szCs w:val="16"/>
              </w:rPr>
              <w:t> </w:t>
            </w:r>
          </w:p>
        </w:tc>
      </w:tr>
      <w:tr w:rsidR="00135065" w:rsidRPr="003B35E3" w14:paraId="41FB077C" w14:textId="77777777" w:rsidTr="003B35E3">
        <w:trPr>
          <w:trHeight w:val="170"/>
        </w:trPr>
        <w:tc>
          <w:tcPr>
            <w:tcW w:w="960" w:type="dxa"/>
            <w:vMerge/>
            <w:vAlign w:val="center"/>
            <w:hideMark/>
          </w:tcPr>
          <w:p w14:paraId="04160E76" w14:textId="77777777" w:rsidR="00135065" w:rsidRPr="003B35E3" w:rsidRDefault="00135065" w:rsidP="003B35E3">
            <w:pPr>
              <w:spacing w:before="0" w:after="0"/>
              <w:ind w:left="0"/>
              <w:jc w:val="left"/>
              <w:rPr>
                <w:rFonts w:asciiTheme="minorHAnsi" w:hAnsiTheme="minorHAnsi" w:cstheme="minorHAnsi"/>
                <w:sz w:val="16"/>
                <w:szCs w:val="16"/>
              </w:rPr>
            </w:pPr>
          </w:p>
        </w:tc>
        <w:tc>
          <w:tcPr>
            <w:tcW w:w="960" w:type="dxa"/>
            <w:noWrap/>
            <w:vAlign w:val="bottom"/>
            <w:hideMark/>
          </w:tcPr>
          <w:p w14:paraId="5D358587" w14:textId="77777777" w:rsidR="00135065" w:rsidRPr="003B35E3" w:rsidRDefault="00135065" w:rsidP="003B35E3">
            <w:pPr>
              <w:spacing w:before="0" w:after="0"/>
              <w:ind w:left="0"/>
              <w:jc w:val="left"/>
              <w:rPr>
                <w:rFonts w:asciiTheme="minorHAnsi" w:hAnsiTheme="minorHAnsi" w:cstheme="minorHAnsi"/>
                <w:sz w:val="16"/>
                <w:szCs w:val="16"/>
              </w:rPr>
            </w:pPr>
            <w:r w:rsidRPr="003B35E3">
              <w:rPr>
                <w:rFonts w:asciiTheme="minorHAnsi" w:hAnsiTheme="minorHAnsi" w:cstheme="minorHAnsi"/>
                <w:sz w:val="16"/>
                <w:szCs w:val="16"/>
              </w:rPr>
              <w:t>5.38.16</w:t>
            </w:r>
          </w:p>
        </w:tc>
        <w:tc>
          <w:tcPr>
            <w:tcW w:w="4034" w:type="dxa"/>
            <w:noWrap/>
            <w:vAlign w:val="bottom"/>
            <w:hideMark/>
          </w:tcPr>
          <w:p w14:paraId="695082E1" w14:textId="77777777" w:rsidR="00135065" w:rsidRPr="003B35E3" w:rsidRDefault="00135065" w:rsidP="003B35E3">
            <w:pPr>
              <w:spacing w:before="0" w:after="0"/>
              <w:ind w:left="0"/>
              <w:jc w:val="left"/>
              <w:rPr>
                <w:rFonts w:asciiTheme="minorHAnsi" w:hAnsiTheme="minorHAnsi" w:cstheme="minorHAnsi"/>
                <w:sz w:val="16"/>
                <w:szCs w:val="16"/>
              </w:rPr>
            </w:pPr>
            <w:r w:rsidRPr="003B35E3">
              <w:rPr>
                <w:rFonts w:asciiTheme="minorHAnsi" w:hAnsiTheme="minorHAnsi" w:cstheme="minorHAnsi"/>
                <w:sz w:val="16"/>
                <w:szCs w:val="16"/>
              </w:rPr>
              <w:t>18 - produkčně málo významné</w:t>
            </w:r>
          </w:p>
        </w:tc>
        <w:tc>
          <w:tcPr>
            <w:tcW w:w="960" w:type="dxa"/>
            <w:noWrap/>
            <w:vAlign w:val="bottom"/>
            <w:hideMark/>
          </w:tcPr>
          <w:p w14:paraId="50B9CEB9" w14:textId="77777777" w:rsidR="00135065" w:rsidRPr="003B35E3" w:rsidRDefault="00135065" w:rsidP="003B35E3">
            <w:pPr>
              <w:spacing w:before="0" w:after="0"/>
              <w:ind w:left="0"/>
              <w:jc w:val="right"/>
              <w:rPr>
                <w:rFonts w:asciiTheme="minorHAnsi" w:hAnsiTheme="minorHAnsi" w:cstheme="minorHAnsi"/>
                <w:sz w:val="16"/>
                <w:szCs w:val="16"/>
              </w:rPr>
            </w:pPr>
            <w:r w:rsidRPr="003B35E3">
              <w:rPr>
                <w:rFonts w:asciiTheme="minorHAnsi" w:hAnsiTheme="minorHAnsi" w:cstheme="minorHAnsi"/>
                <w:sz w:val="16"/>
                <w:szCs w:val="16"/>
              </w:rPr>
              <w:t>2,77</w:t>
            </w:r>
          </w:p>
        </w:tc>
        <w:tc>
          <w:tcPr>
            <w:tcW w:w="644" w:type="dxa"/>
            <w:vAlign w:val="center"/>
            <w:hideMark/>
          </w:tcPr>
          <w:p w14:paraId="033C7903" w14:textId="77777777" w:rsidR="00135065" w:rsidRPr="003B35E3" w:rsidRDefault="00135065" w:rsidP="003B35E3">
            <w:pPr>
              <w:spacing w:before="0" w:after="0"/>
              <w:ind w:left="0"/>
              <w:jc w:val="right"/>
              <w:rPr>
                <w:rFonts w:asciiTheme="minorHAnsi" w:hAnsiTheme="minorHAnsi" w:cstheme="minorHAnsi"/>
                <w:sz w:val="16"/>
                <w:szCs w:val="16"/>
              </w:rPr>
            </w:pPr>
            <w:r w:rsidRPr="003B35E3">
              <w:rPr>
                <w:rFonts w:asciiTheme="minorHAnsi" w:hAnsiTheme="minorHAnsi" w:cstheme="minorHAnsi"/>
                <w:sz w:val="16"/>
                <w:szCs w:val="16"/>
              </w:rPr>
              <w:t> </w:t>
            </w:r>
          </w:p>
        </w:tc>
      </w:tr>
      <w:tr w:rsidR="00135065" w:rsidRPr="003B35E3" w14:paraId="09831030" w14:textId="77777777" w:rsidTr="003B35E3">
        <w:trPr>
          <w:trHeight w:val="170"/>
        </w:trPr>
        <w:tc>
          <w:tcPr>
            <w:tcW w:w="960" w:type="dxa"/>
            <w:vMerge/>
            <w:vAlign w:val="center"/>
            <w:hideMark/>
          </w:tcPr>
          <w:p w14:paraId="565AFE02" w14:textId="77777777" w:rsidR="00135065" w:rsidRPr="003B35E3" w:rsidRDefault="00135065" w:rsidP="003B35E3">
            <w:pPr>
              <w:spacing w:before="0" w:after="0"/>
              <w:ind w:left="0"/>
              <w:jc w:val="left"/>
              <w:rPr>
                <w:rFonts w:asciiTheme="minorHAnsi" w:hAnsiTheme="minorHAnsi" w:cstheme="minorHAnsi"/>
                <w:sz w:val="16"/>
                <w:szCs w:val="16"/>
              </w:rPr>
            </w:pPr>
          </w:p>
        </w:tc>
        <w:tc>
          <w:tcPr>
            <w:tcW w:w="960" w:type="dxa"/>
            <w:noWrap/>
            <w:vAlign w:val="bottom"/>
            <w:hideMark/>
          </w:tcPr>
          <w:p w14:paraId="7BCF7B06" w14:textId="77777777" w:rsidR="00135065" w:rsidRPr="003B35E3" w:rsidRDefault="00135065" w:rsidP="003B35E3">
            <w:pPr>
              <w:spacing w:before="0" w:after="0"/>
              <w:ind w:left="0"/>
              <w:jc w:val="left"/>
              <w:rPr>
                <w:rFonts w:asciiTheme="minorHAnsi" w:hAnsiTheme="minorHAnsi" w:cstheme="minorHAnsi"/>
                <w:sz w:val="16"/>
                <w:szCs w:val="16"/>
              </w:rPr>
            </w:pPr>
            <w:r w:rsidRPr="003B35E3">
              <w:rPr>
                <w:rFonts w:asciiTheme="minorHAnsi" w:hAnsiTheme="minorHAnsi" w:cstheme="minorHAnsi"/>
                <w:sz w:val="16"/>
                <w:szCs w:val="16"/>
              </w:rPr>
              <w:t>5.40.78</w:t>
            </w:r>
          </w:p>
        </w:tc>
        <w:tc>
          <w:tcPr>
            <w:tcW w:w="4034" w:type="dxa"/>
            <w:noWrap/>
            <w:vAlign w:val="bottom"/>
            <w:hideMark/>
          </w:tcPr>
          <w:p w14:paraId="61AF8F63" w14:textId="77777777" w:rsidR="00135065" w:rsidRPr="003B35E3" w:rsidRDefault="00135065" w:rsidP="003B35E3">
            <w:pPr>
              <w:spacing w:before="0" w:after="0"/>
              <w:ind w:left="0"/>
              <w:jc w:val="left"/>
              <w:rPr>
                <w:rFonts w:asciiTheme="minorHAnsi" w:hAnsiTheme="minorHAnsi" w:cstheme="minorHAnsi"/>
                <w:sz w:val="16"/>
                <w:szCs w:val="16"/>
              </w:rPr>
            </w:pPr>
            <w:r w:rsidRPr="003B35E3">
              <w:rPr>
                <w:rFonts w:asciiTheme="minorHAnsi" w:hAnsiTheme="minorHAnsi" w:cstheme="minorHAnsi"/>
                <w:sz w:val="16"/>
                <w:szCs w:val="16"/>
              </w:rPr>
              <w:t>16 - produkčně málo významné</w:t>
            </w:r>
          </w:p>
        </w:tc>
        <w:tc>
          <w:tcPr>
            <w:tcW w:w="960" w:type="dxa"/>
            <w:noWrap/>
            <w:vAlign w:val="bottom"/>
            <w:hideMark/>
          </w:tcPr>
          <w:p w14:paraId="271CACB2" w14:textId="77777777" w:rsidR="00135065" w:rsidRPr="003B35E3" w:rsidRDefault="00135065" w:rsidP="003B35E3">
            <w:pPr>
              <w:spacing w:before="0" w:after="0"/>
              <w:ind w:left="0"/>
              <w:jc w:val="right"/>
              <w:rPr>
                <w:rFonts w:asciiTheme="minorHAnsi" w:hAnsiTheme="minorHAnsi" w:cstheme="minorHAnsi"/>
                <w:sz w:val="16"/>
                <w:szCs w:val="16"/>
              </w:rPr>
            </w:pPr>
            <w:r w:rsidRPr="003B35E3">
              <w:rPr>
                <w:rFonts w:asciiTheme="minorHAnsi" w:hAnsiTheme="minorHAnsi" w:cstheme="minorHAnsi"/>
                <w:sz w:val="16"/>
                <w:szCs w:val="16"/>
              </w:rPr>
              <w:t>45,48</w:t>
            </w:r>
          </w:p>
        </w:tc>
        <w:tc>
          <w:tcPr>
            <w:tcW w:w="644" w:type="dxa"/>
            <w:vAlign w:val="center"/>
            <w:hideMark/>
          </w:tcPr>
          <w:p w14:paraId="1219F971" w14:textId="77777777" w:rsidR="00135065" w:rsidRPr="003B35E3" w:rsidRDefault="00135065" w:rsidP="003B35E3">
            <w:pPr>
              <w:spacing w:before="0" w:after="0"/>
              <w:ind w:left="0"/>
              <w:jc w:val="right"/>
              <w:rPr>
                <w:rFonts w:asciiTheme="minorHAnsi" w:hAnsiTheme="minorHAnsi" w:cstheme="minorHAnsi"/>
                <w:sz w:val="16"/>
                <w:szCs w:val="16"/>
              </w:rPr>
            </w:pPr>
            <w:r w:rsidRPr="003B35E3">
              <w:rPr>
                <w:rFonts w:asciiTheme="minorHAnsi" w:hAnsiTheme="minorHAnsi" w:cstheme="minorHAnsi"/>
                <w:sz w:val="16"/>
                <w:szCs w:val="16"/>
              </w:rPr>
              <w:t> </w:t>
            </w:r>
          </w:p>
        </w:tc>
      </w:tr>
      <w:tr w:rsidR="00135065" w:rsidRPr="003B35E3" w14:paraId="4BEF754B" w14:textId="77777777" w:rsidTr="003B35E3">
        <w:trPr>
          <w:trHeight w:val="170"/>
        </w:trPr>
        <w:tc>
          <w:tcPr>
            <w:tcW w:w="960" w:type="dxa"/>
            <w:vMerge/>
            <w:vAlign w:val="center"/>
            <w:hideMark/>
          </w:tcPr>
          <w:p w14:paraId="0410B465" w14:textId="77777777" w:rsidR="00135065" w:rsidRPr="003B35E3" w:rsidRDefault="00135065" w:rsidP="003B35E3">
            <w:pPr>
              <w:spacing w:before="0" w:after="0"/>
              <w:ind w:left="0"/>
              <w:jc w:val="left"/>
              <w:rPr>
                <w:rFonts w:asciiTheme="minorHAnsi" w:hAnsiTheme="minorHAnsi" w:cstheme="minorHAnsi"/>
                <w:sz w:val="16"/>
                <w:szCs w:val="16"/>
              </w:rPr>
            </w:pPr>
          </w:p>
        </w:tc>
        <w:tc>
          <w:tcPr>
            <w:tcW w:w="960" w:type="dxa"/>
            <w:noWrap/>
            <w:vAlign w:val="bottom"/>
            <w:hideMark/>
          </w:tcPr>
          <w:p w14:paraId="0FE52797" w14:textId="77777777" w:rsidR="00135065" w:rsidRPr="003B35E3" w:rsidRDefault="00135065" w:rsidP="003B35E3">
            <w:pPr>
              <w:spacing w:before="0" w:after="0"/>
              <w:ind w:left="0"/>
              <w:jc w:val="left"/>
              <w:rPr>
                <w:rFonts w:asciiTheme="minorHAnsi" w:hAnsiTheme="minorHAnsi" w:cstheme="minorHAnsi"/>
                <w:sz w:val="16"/>
                <w:szCs w:val="16"/>
              </w:rPr>
            </w:pPr>
            <w:r w:rsidRPr="003B35E3">
              <w:rPr>
                <w:rFonts w:asciiTheme="minorHAnsi" w:hAnsiTheme="minorHAnsi" w:cstheme="minorHAnsi"/>
                <w:sz w:val="16"/>
                <w:szCs w:val="16"/>
              </w:rPr>
              <w:t>5.40.99</w:t>
            </w:r>
          </w:p>
        </w:tc>
        <w:tc>
          <w:tcPr>
            <w:tcW w:w="4034" w:type="dxa"/>
            <w:noWrap/>
            <w:vAlign w:val="bottom"/>
            <w:hideMark/>
          </w:tcPr>
          <w:p w14:paraId="652C755D" w14:textId="77777777" w:rsidR="00135065" w:rsidRPr="003B35E3" w:rsidRDefault="00135065" w:rsidP="003B35E3">
            <w:pPr>
              <w:spacing w:before="0" w:after="0"/>
              <w:ind w:left="0"/>
              <w:jc w:val="left"/>
              <w:rPr>
                <w:rFonts w:asciiTheme="minorHAnsi" w:hAnsiTheme="minorHAnsi" w:cstheme="minorHAnsi"/>
                <w:sz w:val="16"/>
                <w:szCs w:val="16"/>
              </w:rPr>
            </w:pPr>
            <w:r w:rsidRPr="003B35E3">
              <w:rPr>
                <w:rFonts w:asciiTheme="minorHAnsi" w:hAnsiTheme="minorHAnsi" w:cstheme="minorHAnsi"/>
                <w:sz w:val="16"/>
                <w:szCs w:val="16"/>
              </w:rPr>
              <w:t>9 - produkčně málo významné</w:t>
            </w:r>
          </w:p>
        </w:tc>
        <w:tc>
          <w:tcPr>
            <w:tcW w:w="960" w:type="dxa"/>
            <w:noWrap/>
            <w:vAlign w:val="bottom"/>
            <w:hideMark/>
          </w:tcPr>
          <w:p w14:paraId="759F62C0" w14:textId="77777777" w:rsidR="00135065" w:rsidRPr="003B35E3" w:rsidRDefault="00135065" w:rsidP="003B35E3">
            <w:pPr>
              <w:spacing w:before="0" w:after="0"/>
              <w:ind w:left="0"/>
              <w:jc w:val="right"/>
              <w:rPr>
                <w:rFonts w:asciiTheme="minorHAnsi" w:hAnsiTheme="minorHAnsi" w:cstheme="minorHAnsi"/>
                <w:sz w:val="16"/>
                <w:szCs w:val="16"/>
              </w:rPr>
            </w:pPr>
            <w:r w:rsidRPr="003B35E3">
              <w:rPr>
                <w:rFonts w:asciiTheme="minorHAnsi" w:hAnsiTheme="minorHAnsi" w:cstheme="minorHAnsi"/>
                <w:sz w:val="16"/>
                <w:szCs w:val="16"/>
              </w:rPr>
              <w:t>58,2</w:t>
            </w:r>
          </w:p>
        </w:tc>
        <w:tc>
          <w:tcPr>
            <w:tcW w:w="644" w:type="dxa"/>
            <w:vAlign w:val="center"/>
            <w:hideMark/>
          </w:tcPr>
          <w:p w14:paraId="7E9C4427" w14:textId="77777777" w:rsidR="00135065" w:rsidRPr="003B35E3" w:rsidRDefault="00135065" w:rsidP="003B35E3">
            <w:pPr>
              <w:spacing w:before="0" w:after="0"/>
              <w:ind w:left="0"/>
              <w:jc w:val="right"/>
              <w:rPr>
                <w:rFonts w:asciiTheme="minorHAnsi" w:hAnsiTheme="minorHAnsi" w:cstheme="minorHAnsi"/>
                <w:sz w:val="16"/>
                <w:szCs w:val="16"/>
              </w:rPr>
            </w:pPr>
            <w:r w:rsidRPr="003B35E3">
              <w:rPr>
                <w:rFonts w:asciiTheme="minorHAnsi" w:hAnsiTheme="minorHAnsi" w:cstheme="minorHAnsi"/>
                <w:sz w:val="16"/>
                <w:szCs w:val="16"/>
              </w:rPr>
              <w:t> </w:t>
            </w:r>
          </w:p>
        </w:tc>
      </w:tr>
      <w:tr w:rsidR="00135065" w:rsidRPr="003B35E3" w14:paraId="0D0F00DC" w14:textId="77777777" w:rsidTr="003B35E3">
        <w:trPr>
          <w:trHeight w:val="170"/>
        </w:trPr>
        <w:tc>
          <w:tcPr>
            <w:tcW w:w="960" w:type="dxa"/>
            <w:vMerge/>
            <w:vAlign w:val="center"/>
            <w:hideMark/>
          </w:tcPr>
          <w:p w14:paraId="3C739217" w14:textId="77777777" w:rsidR="00135065" w:rsidRPr="003B35E3" w:rsidRDefault="00135065" w:rsidP="003B35E3">
            <w:pPr>
              <w:spacing w:before="0" w:after="0"/>
              <w:ind w:left="0"/>
              <w:jc w:val="left"/>
              <w:rPr>
                <w:rFonts w:asciiTheme="minorHAnsi" w:hAnsiTheme="minorHAnsi" w:cstheme="minorHAnsi"/>
                <w:sz w:val="16"/>
                <w:szCs w:val="16"/>
              </w:rPr>
            </w:pPr>
          </w:p>
        </w:tc>
        <w:tc>
          <w:tcPr>
            <w:tcW w:w="960" w:type="dxa"/>
            <w:noWrap/>
            <w:vAlign w:val="bottom"/>
            <w:hideMark/>
          </w:tcPr>
          <w:p w14:paraId="38B86003" w14:textId="77777777" w:rsidR="00135065" w:rsidRPr="003B35E3" w:rsidRDefault="00135065" w:rsidP="003B35E3">
            <w:pPr>
              <w:spacing w:before="0" w:after="0"/>
              <w:ind w:left="0"/>
              <w:jc w:val="left"/>
              <w:rPr>
                <w:rFonts w:asciiTheme="minorHAnsi" w:hAnsiTheme="minorHAnsi" w:cstheme="minorHAnsi"/>
                <w:sz w:val="16"/>
                <w:szCs w:val="16"/>
              </w:rPr>
            </w:pPr>
            <w:r w:rsidRPr="003B35E3">
              <w:rPr>
                <w:rFonts w:asciiTheme="minorHAnsi" w:hAnsiTheme="minorHAnsi" w:cstheme="minorHAnsi"/>
                <w:sz w:val="16"/>
                <w:szCs w:val="16"/>
              </w:rPr>
              <w:t>5.48.14</w:t>
            </w:r>
          </w:p>
        </w:tc>
        <w:tc>
          <w:tcPr>
            <w:tcW w:w="4034" w:type="dxa"/>
            <w:noWrap/>
            <w:vAlign w:val="bottom"/>
            <w:hideMark/>
          </w:tcPr>
          <w:p w14:paraId="14481CE6" w14:textId="77777777" w:rsidR="00135065" w:rsidRPr="003B35E3" w:rsidRDefault="00135065" w:rsidP="003B35E3">
            <w:pPr>
              <w:spacing w:before="0" w:after="0"/>
              <w:ind w:left="0"/>
              <w:jc w:val="left"/>
              <w:rPr>
                <w:rFonts w:asciiTheme="minorHAnsi" w:hAnsiTheme="minorHAnsi" w:cstheme="minorHAnsi"/>
                <w:sz w:val="16"/>
                <w:szCs w:val="16"/>
              </w:rPr>
            </w:pPr>
            <w:r w:rsidRPr="003B35E3">
              <w:rPr>
                <w:rFonts w:asciiTheme="minorHAnsi" w:hAnsiTheme="minorHAnsi" w:cstheme="minorHAnsi"/>
                <w:sz w:val="16"/>
                <w:szCs w:val="16"/>
              </w:rPr>
              <w:t>26 - produkčně málo významné</w:t>
            </w:r>
          </w:p>
        </w:tc>
        <w:tc>
          <w:tcPr>
            <w:tcW w:w="960" w:type="dxa"/>
            <w:noWrap/>
            <w:vAlign w:val="bottom"/>
            <w:hideMark/>
          </w:tcPr>
          <w:p w14:paraId="2D8953CF" w14:textId="77777777" w:rsidR="00135065" w:rsidRPr="003B35E3" w:rsidRDefault="00135065" w:rsidP="003B35E3">
            <w:pPr>
              <w:spacing w:before="0" w:after="0"/>
              <w:ind w:left="0"/>
              <w:jc w:val="right"/>
              <w:rPr>
                <w:rFonts w:asciiTheme="minorHAnsi" w:hAnsiTheme="minorHAnsi" w:cstheme="minorHAnsi"/>
                <w:sz w:val="16"/>
                <w:szCs w:val="16"/>
              </w:rPr>
            </w:pPr>
            <w:r w:rsidRPr="003B35E3">
              <w:rPr>
                <w:rFonts w:asciiTheme="minorHAnsi" w:hAnsiTheme="minorHAnsi" w:cstheme="minorHAnsi"/>
                <w:sz w:val="16"/>
                <w:szCs w:val="16"/>
              </w:rPr>
              <w:t>49,3</w:t>
            </w:r>
          </w:p>
        </w:tc>
        <w:tc>
          <w:tcPr>
            <w:tcW w:w="644" w:type="dxa"/>
            <w:vAlign w:val="center"/>
            <w:hideMark/>
          </w:tcPr>
          <w:p w14:paraId="08610525" w14:textId="77777777" w:rsidR="00135065" w:rsidRPr="003B35E3" w:rsidRDefault="00135065" w:rsidP="003B35E3">
            <w:pPr>
              <w:spacing w:before="0" w:after="0"/>
              <w:ind w:left="0"/>
              <w:jc w:val="right"/>
              <w:rPr>
                <w:rFonts w:asciiTheme="minorHAnsi" w:hAnsiTheme="minorHAnsi" w:cstheme="minorHAnsi"/>
                <w:sz w:val="16"/>
                <w:szCs w:val="16"/>
              </w:rPr>
            </w:pPr>
            <w:r w:rsidRPr="003B35E3">
              <w:rPr>
                <w:rFonts w:asciiTheme="minorHAnsi" w:hAnsiTheme="minorHAnsi" w:cstheme="minorHAnsi"/>
                <w:sz w:val="16"/>
                <w:szCs w:val="16"/>
              </w:rPr>
              <w:t> </w:t>
            </w:r>
          </w:p>
        </w:tc>
      </w:tr>
      <w:tr w:rsidR="00135065" w:rsidRPr="003B35E3" w14:paraId="1506A727" w14:textId="77777777" w:rsidTr="003B35E3">
        <w:trPr>
          <w:trHeight w:val="170"/>
        </w:trPr>
        <w:tc>
          <w:tcPr>
            <w:tcW w:w="960" w:type="dxa"/>
            <w:vMerge/>
            <w:vAlign w:val="center"/>
            <w:hideMark/>
          </w:tcPr>
          <w:p w14:paraId="13A0B60A" w14:textId="77777777" w:rsidR="00135065" w:rsidRPr="003B35E3" w:rsidRDefault="00135065" w:rsidP="003B35E3">
            <w:pPr>
              <w:spacing w:before="0" w:after="0"/>
              <w:ind w:left="0"/>
              <w:jc w:val="left"/>
              <w:rPr>
                <w:rFonts w:asciiTheme="minorHAnsi" w:hAnsiTheme="minorHAnsi" w:cstheme="minorHAnsi"/>
                <w:sz w:val="16"/>
                <w:szCs w:val="16"/>
              </w:rPr>
            </w:pPr>
          </w:p>
        </w:tc>
        <w:tc>
          <w:tcPr>
            <w:tcW w:w="960" w:type="dxa"/>
            <w:noWrap/>
            <w:vAlign w:val="bottom"/>
            <w:hideMark/>
          </w:tcPr>
          <w:p w14:paraId="1774675D" w14:textId="77777777" w:rsidR="00135065" w:rsidRPr="003B35E3" w:rsidRDefault="00135065" w:rsidP="003B35E3">
            <w:pPr>
              <w:spacing w:before="0" w:after="0"/>
              <w:ind w:left="0"/>
              <w:jc w:val="left"/>
              <w:rPr>
                <w:rFonts w:asciiTheme="minorHAnsi" w:hAnsiTheme="minorHAnsi" w:cstheme="minorHAnsi"/>
                <w:sz w:val="16"/>
                <w:szCs w:val="16"/>
              </w:rPr>
            </w:pPr>
            <w:r w:rsidRPr="003B35E3">
              <w:rPr>
                <w:rFonts w:asciiTheme="minorHAnsi" w:hAnsiTheme="minorHAnsi" w:cstheme="minorHAnsi"/>
                <w:sz w:val="16"/>
                <w:szCs w:val="16"/>
              </w:rPr>
              <w:t>5.74.11</w:t>
            </w:r>
          </w:p>
        </w:tc>
        <w:tc>
          <w:tcPr>
            <w:tcW w:w="4034" w:type="dxa"/>
            <w:noWrap/>
            <w:vAlign w:val="bottom"/>
            <w:hideMark/>
          </w:tcPr>
          <w:p w14:paraId="67AE2A6F" w14:textId="77777777" w:rsidR="00135065" w:rsidRPr="003B35E3" w:rsidRDefault="00135065" w:rsidP="003B35E3">
            <w:pPr>
              <w:spacing w:before="0" w:after="0"/>
              <w:ind w:left="0"/>
              <w:jc w:val="left"/>
              <w:rPr>
                <w:rFonts w:asciiTheme="minorHAnsi" w:hAnsiTheme="minorHAnsi" w:cstheme="minorHAnsi"/>
                <w:sz w:val="16"/>
                <w:szCs w:val="16"/>
              </w:rPr>
            </w:pPr>
            <w:r w:rsidRPr="003B35E3">
              <w:rPr>
                <w:rFonts w:asciiTheme="minorHAnsi" w:hAnsiTheme="minorHAnsi" w:cstheme="minorHAnsi"/>
                <w:sz w:val="16"/>
                <w:szCs w:val="16"/>
              </w:rPr>
              <w:t>15 - produkčně málo významné</w:t>
            </w:r>
          </w:p>
        </w:tc>
        <w:tc>
          <w:tcPr>
            <w:tcW w:w="960" w:type="dxa"/>
            <w:noWrap/>
            <w:vAlign w:val="bottom"/>
            <w:hideMark/>
          </w:tcPr>
          <w:p w14:paraId="1F9EC163" w14:textId="77777777" w:rsidR="00135065" w:rsidRPr="003B35E3" w:rsidRDefault="00135065" w:rsidP="003B35E3">
            <w:pPr>
              <w:spacing w:before="0" w:after="0"/>
              <w:ind w:left="0"/>
              <w:jc w:val="right"/>
              <w:rPr>
                <w:rFonts w:asciiTheme="minorHAnsi" w:hAnsiTheme="minorHAnsi" w:cstheme="minorHAnsi"/>
                <w:sz w:val="16"/>
                <w:szCs w:val="16"/>
              </w:rPr>
            </w:pPr>
            <w:r w:rsidRPr="003B35E3">
              <w:rPr>
                <w:rFonts w:asciiTheme="minorHAnsi" w:hAnsiTheme="minorHAnsi" w:cstheme="minorHAnsi"/>
                <w:sz w:val="16"/>
                <w:szCs w:val="16"/>
              </w:rPr>
              <w:t>1,48</w:t>
            </w:r>
          </w:p>
        </w:tc>
        <w:tc>
          <w:tcPr>
            <w:tcW w:w="644" w:type="dxa"/>
            <w:vAlign w:val="center"/>
            <w:hideMark/>
          </w:tcPr>
          <w:p w14:paraId="286DBD5F" w14:textId="77777777" w:rsidR="00135065" w:rsidRPr="003B35E3" w:rsidRDefault="00135065" w:rsidP="003B35E3">
            <w:pPr>
              <w:spacing w:before="0" w:after="0"/>
              <w:ind w:left="0"/>
              <w:jc w:val="right"/>
              <w:rPr>
                <w:rFonts w:asciiTheme="minorHAnsi" w:hAnsiTheme="minorHAnsi" w:cstheme="minorHAnsi"/>
                <w:sz w:val="16"/>
                <w:szCs w:val="16"/>
              </w:rPr>
            </w:pPr>
            <w:r w:rsidRPr="003B35E3">
              <w:rPr>
                <w:rFonts w:asciiTheme="minorHAnsi" w:hAnsiTheme="minorHAnsi" w:cstheme="minorHAnsi"/>
                <w:sz w:val="16"/>
                <w:szCs w:val="16"/>
              </w:rPr>
              <w:t> </w:t>
            </w:r>
          </w:p>
        </w:tc>
      </w:tr>
      <w:tr w:rsidR="00135065" w:rsidRPr="003B35E3" w14:paraId="0B886626" w14:textId="77777777" w:rsidTr="003B35E3">
        <w:trPr>
          <w:trHeight w:val="170"/>
        </w:trPr>
        <w:tc>
          <w:tcPr>
            <w:tcW w:w="960" w:type="dxa"/>
            <w:vMerge/>
            <w:vAlign w:val="center"/>
            <w:hideMark/>
          </w:tcPr>
          <w:p w14:paraId="3B473B24" w14:textId="77777777" w:rsidR="00135065" w:rsidRPr="003B35E3" w:rsidRDefault="00135065" w:rsidP="003B35E3">
            <w:pPr>
              <w:spacing w:before="0" w:after="0"/>
              <w:ind w:left="0"/>
              <w:jc w:val="left"/>
              <w:rPr>
                <w:rFonts w:asciiTheme="minorHAnsi" w:hAnsiTheme="minorHAnsi" w:cstheme="minorHAnsi"/>
                <w:sz w:val="16"/>
                <w:szCs w:val="16"/>
              </w:rPr>
            </w:pPr>
          </w:p>
        </w:tc>
        <w:tc>
          <w:tcPr>
            <w:tcW w:w="960" w:type="dxa"/>
            <w:noWrap/>
            <w:vAlign w:val="bottom"/>
            <w:hideMark/>
          </w:tcPr>
          <w:p w14:paraId="36B4A1DB" w14:textId="77777777" w:rsidR="00135065" w:rsidRPr="003B35E3" w:rsidRDefault="00135065" w:rsidP="003B35E3">
            <w:pPr>
              <w:spacing w:before="0" w:after="0"/>
              <w:ind w:left="0"/>
              <w:jc w:val="left"/>
              <w:rPr>
                <w:rFonts w:asciiTheme="minorHAnsi" w:hAnsiTheme="minorHAnsi" w:cstheme="minorHAnsi"/>
                <w:sz w:val="16"/>
                <w:szCs w:val="16"/>
              </w:rPr>
            </w:pPr>
            <w:r w:rsidRPr="003B35E3">
              <w:rPr>
                <w:rFonts w:asciiTheme="minorHAnsi" w:hAnsiTheme="minorHAnsi" w:cstheme="minorHAnsi"/>
                <w:sz w:val="16"/>
                <w:szCs w:val="16"/>
              </w:rPr>
              <w:t>8.35.44</w:t>
            </w:r>
          </w:p>
        </w:tc>
        <w:tc>
          <w:tcPr>
            <w:tcW w:w="4034" w:type="dxa"/>
            <w:noWrap/>
            <w:vAlign w:val="bottom"/>
            <w:hideMark/>
          </w:tcPr>
          <w:p w14:paraId="4AB216DD" w14:textId="77777777" w:rsidR="00135065" w:rsidRPr="003B35E3" w:rsidRDefault="00135065" w:rsidP="003B35E3">
            <w:pPr>
              <w:spacing w:before="0" w:after="0"/>
              <w:ind w:left="0"/>
              <w:jc w:val="left"/>
              <w:rPr>
                <w:rFonts w:asciiTheme="minorHAnsi" w:hAnsiTheme="minorHAnsi" w:cstheme="minorHAnsi"/>
                <w:sz w:val="16"/>
                <w:szCs w:val="16"/>
              </w:rPr>
            </w:pPr>
            <w:r w:rsidRPr="003B35E3">
              <w:rPr>
                <w:rFonts w:asciiTheme="minorHAnsi" w:hAnsiTheme="minorHAnsi" w:cstheme="minorHAnsi"/>
                <w:sz w:val="16"/>
                <w:szCs w:val="16"/>
              </w:rPr>
              <w:t>14 - produkčně málo významné</w:t>
            </w:r>
          </w:p>
        </w:tc>
        <w:tc>
          <w:tcPr>
            <w:tcW w:w="960" w:type="dxa"/>
            <w:noWrap/>
            <w:vAlign w:val="bottom"/>
            <w:hideMark/>
          </w:tcPr>
          <w:p w14:paraId="2D2400FE" w14:textId="77777777" w:rsidR="00135065" w:rsidRPr="003B35E3" w:rsidRDefault="00135065" w:rsidP="003B35E3">
            <w:pPr>
              <w:spacing w:before="0" w:after="0"/>
              <w:ind w:left="0"/>
              <w:jc w:val="right"/>
              <w:rPr>
                <w:rFonts w:asciiTheme="minorHAnsi" w:hAnsiTheme="minorHAnsi" w:cstheme="minorHAnsi"/>
                <w:sz w:val="16"/>
                <w:szCs w:val="16"/>
              </w:rPr>
            </w:pPr>
            <w:r w:rsidRPr="003B35E3">
              <w:rPr>
                <w:rFonts w:asciiTheme="minorHAnsi" w:hAnsiTheme="minorHAnsi" w:cstheme="minorHAnsi"/>
                <w:sz w:val="16"/>
                <w:szCs w:val="16"/>
              </w:rPr>
              <w:t>1,4</w:t>
            </w:r>
          </w:p>
        </w:tc>
        <w:tc>
          <w:tcPr>
            <w:tcW w:w="644" w:type="dxa"/>
            <w:vAlign w:val="center"/>
            <w:hideMark/>
          </w:tcPr>
          <w:p w14:paraId="5946C88B" w14:textId="77777777" w:rsidR="00135065" w:rsidRPr="003B35E3" w:rsidRDefault="00135065" w:rsidP="003B35E3">
            <w:pPr>
              <w:spacing w:before="0" w:after="0"/>
              <w:ind w:left="0"/>
              <w:jc w:val="right"/>
              <w:rPr>
                <w:rFonts w:asciiTheme="minorHAnsi" w:hAnsiTheme="minorHAnsi" w:cstheme="minorHAnsi"/>
                <w:sz w:val="16"/>
                <w:szCs w:val="16"/>
              </w:rPr>
            </w:pPr>
            <w:r w:rsidRPr="003B35E3">
              <w:rPr>
                <w:rFonts w:asciiTheme="minorHAnsi" w:hAnsiTheme="minorHAnsi" w:cstheme="minorHAnsi"/>
                <w:sz w:val="16"/>
                <w:szCs w:val="16"/>
              </w:rPr>
              <w:t> </w:t>
            </w:r>
          </w:p>
        </w:tc>
      </w:tr>
      <w:tr w:rsidR="00135065" w:rsidRPr="003B35E3" w14:paraId="671776F9" w14:textId="77777777" w:rsidTr="003B35E3">
        <w:trPr>
          <w:trHeight w:val="170"/>
        </w:trPr>
        <w:tc>
          <w:tcPr>
            <w:tcW w:w="960" w:type="dxa"/>
            <w:vMerge/>
            <w:vAlign w:val="center"/>
            <w:hideMark/>
          </w:tcPr>
          <w:p w14:paraId="0AC377A1" w14:textId="77777777" w:rsidR="00135065" w:rsidRPr="003B35E3" w:rsidRDefault="00135065" w:rsidP="003B35E3">
            <w:pPr>
              <w:spacing w:before="0" w:after="0"/>
              <w:ind w:left="0"/>
              <w:jc w:val="left"/>
              <w:rPr>
                <w:rFonts w:asciiTheme="minorHAnsi" w:hAnsiTheme="minorHAnsi" w:cstheme="minorHAnsi"/>
                <w:sz w:val="16"/>
                <w:szCs w:val="16"/>
              </w:rPr>
            </w:pPr>
          </w:p>
        </w:tc>
        <w:tc>
          <w:tcPr>
            <w:tcW w:w="960" w:type="dxa"/>
            <w:noWrap/>
            <w:vAlign w:val="bottom"/>
            <w:hideMark/>
          </w:tcPr>
          <w:p w14:paraId="07D11B55" w14:textId="77777777" w:rsidR="00135065" w:rsidRPr="003B35E3" w:rsidRDefault="00135065" w:rsidP="003B35E3">
            <w:pPr>
              <w:spacing w:before="0" w:after="0"/>
              <w:ind w:left="0"/>
              <w:jc w:val="left"/>
              <w:rPr>
                <w:rFonts w:asciiTheme="minorHAnsi" w:hAnsiTheme="minorHAnsi" w:cstheme="minorHAnsi"/>
                <w:sz w:val="16"/>
                <w:szCs w:val="16"/>
              </w:rPr>
            </w:pPr>
            <w:r w:rsidRPr="003B35E3">
              <w:rPr>
                <w:rFonts w:asciiTheme="minorHAnsi" w:hAnsiTheme="minorHAnsi" w:cstheme="minorHAnsi"/>
                <w:sz w:val="16"/>
                <w:szCs w:val="16"/>
              </w:rPr>
              <w:t>8.37.46</w:t>
            </w:r>
          </w:p>
        </w:tc>
        <w:tc>
          <w:tcPr>
            <w:tcW w:w="4034" w:type="dxa"/>
            <w:noWrap/>
            <w:vAlign w:val="bottom"/>
            <w:hideMark/>
          </w:tcPr>
          <w:p w14:paraId="7C12360F" w14:textId="77777777" w:rsidR="00135065" w:rsidRPr="003B35E3" w:rsidRDefault="00135065" w:rsidP="003B35E3">
            <w:pPr>
              <w:spacing w:before="0" w:after="0"/>
              <w:ind w:left="0"/>
              <w:jc w:val="left"/>
              <w:rPr>
                <w:rFonts w:asciiTheme="minorHAnsi" w:hAnsiTheme="minorHAnsi" w:cstheme="minorHAnsi"/>
                <w:sz w:val="16"/>
                <w:szCs w:val="16"/>
              </w:rPr>
            </w:pPr>
            <w:r w:rsidRPr="003B35E3">
              <w:rPr>
                <w:rFonts w:asciiTheme="minorHAnsi" w:hAnsiTheme="minorHAnsi" w:cstheme="minorHAnsi"/>
                <w:sz w:val="16"/>
                <w:szCs w:val="16"/>
              </w:rPr>
              <w:t>10 - produkčně nevýznamné</w:t>
            </w:r>
          </w:p>
        </w:tc>
        <w:tc>
          <w:tcPr>
            <w:tcW w:w="960" w:type="dxa"/>
            <w:noWrap/>
            <w:vAlign w:val="bottom"/>
            <w:hideMark/>
          </w:tcPr>
          <w:p w14:paraId="61B0E7C4" w14:textId="77777777" w:rsidR="00135065" w:rsidRPr="003B35E3" w:rsidRDefault="00135065" w:rsidP="003B35E3">
            <w:pPr>
              <w:spacing w:before="0" w:after="0"/>
              <w:ind w:left="0"/>
              <w:jc w:val="right"/>
              <w:rPr>
                <w:rFonts w:asciiTheme="minorHAnsi" w:hAnsiTheme="minorHAnsi" w:cstheme="minorHAnsi"/>
                <w:sz w:val="16"/>
                <w:szCs w:val="16"/>
              </w:rPr>
            </w:pPr>
            <w:r w:rsidRPr="003B35E3">
              <w:rPr>
                <w:rFonts w:asciiTheme="minorHAnsi" w:hAnsiTheme="minorHAnsi" w:cstheme="minorHAnsi"/>
                <w:sz w:val="16"/>
                <w:szCs w:val="16"/>
              </w:rPr>
              <w:t>0,29</w:t>
            </w:r>
          </w:p>
        </w:tc>
        <w:tc>
          <w:tcPr>
            <w:tcW w:w="644" w:type="dxa"/>
            <w:vAlign w:val="center"/>
            <w:hideMark/>
          </w:tcPr>
          <w:p w14:paraId="5AB83008" w14:textId="77777777" w:rsidR="00135065" w:rsidRPr="003B35E3" w:rsidRDefault="00135065" w:rsidP="003B35E3">
            <w:pPr>
              <w:spacing w:before="0" w:after="0"/>
              <w:ind w:left="0"/>
              <w:jc w:val="right"/>
              <w:rPr>
                <w:rFonts w:asciiTheme="minorHAnsi" w:hAnsiTheme="minorHAnsi" w:cstheme="minorHAnsi"/>
                <w:sz w:val="16"/>
                <w:szCs w:val="16"/>
              </w:rPr>
            </w:pPr>
            <w:r w:rsidRPr="003B35E3">
              <w:rPr>
                <w:rFonts w:asciiTheme="minorHAnsi" w:hAnsiTheme="minorHAnsi" w:cstheme="minorHAnsi"/>
                <w:sz w:val="16"/>
                <w:szCs w:val="16"/>
              </w:rPr>
              <w:t>343,77</w:t>
            </w:r>
          </w:p>
        </w:tc>
      </w:tr>
    </w:tbl>
    <w:p w14:paraId="0A3C2705" w14:textId="77777777" w:rsidR="00135065" w:rsidRPr="00B609FA" w:rsidRDefault="00135065" w:rsidP="00135065">
      <w:pPr>
        <w:ind w:left="2552" w:hanging="425"/>
      </w:pPr>
      <w:r w:rsidRPr="00B609FA">
        <w:fldChar w:fldCharType="end"/>
      </w:r>
    </w:p>
    <w:p w14:paraId="40B1A842" w14:textId="77777777" w:rsidR="00135065" w:rsidRPr="00B609FA" w:rsidRDefault="00135065" w:rsidP="003B35E3">
      <w:r w:rsidRPr="00B609FA">
        <w:t>Hodnoty bodové výnosnosti (min = 6; max = 100)</w:t>
      </w:r>
    </w:p>
    <w:p w14:paraId="1EB13839" w14:textId="77777777" w:rsidR="00135065" w:rsidRPr="00B609FA" w:rsidRDefault="00135065" w:rsidP="003B35E3">
      <w:r w:rsidRPr="00B609FA">
        <w:t xml:space="preserve">Zemědělská půda řešeného území sice dosahuj místy až I. třídy ochrany ZPF, nicméně dle dat ÚHUL půdy nejsou příliš úrodné. Stejné tvrzení platí pro zbytek půdních typů zastoupených na území. </w:t>
      </w:r>
    </w:p>
    <w:p w14:paraId="2ECB1CE0" w14:textId="77777777" w:rsidR="004A6138" w:rsidRPr="00F15AA7" w:rsidRDefault="004A6138" w:rsidP="004A6138">
      <w:pPr>
        <w:ind w:hanging="425"/>
      </w:pPr>
      <w:r w:rsidRPr="00F15AA7">
        <w:lastRenderedPageBreak/>
        <w:t>.3</w:t>
      </w:r>
      <w:r w:rsidRPr="00F15AA7">
        <w:tab/>
        <w:t>Nejcennějšími půdami v území, řazenými do I. a II. třídy ochrany jsou:</w:t>
      </w:r>
    </w:p>
    <w:p w14:paraId="70F3B8F1" w14:textId="77777777" w:rsidR="004A6138" w:rsidRPr="004A6138" w:rsidRDefault="004A6138" w:rsidP="004A6138">
      <w:pPr>
        <w:rPr>
          <w:b/>
          <w:bCs/>
          <w:szCs w:val="18"/>
        </w:rPr>
      </w:pPr>
      <w:r w:rsidRPr="004A6138">
        <w:rPr>
          <w:b/>
          <w:bCs/>
          <w:szCs w:val="18"/>
        </w:rPr>
        <w:t>5.56.00 – I. třída ochrany</w:t>
      </w:r>
    </w:p>
    <w:p w14:paraId="510AD9A7" w14:textId="77777777" w:rsidR="004A6138" w:rsidRPr="00F15AA7" w:rsidRDefault="004A6138" w:rsidP="004A6138">
      <w:pPr>
        <w:rPr>
          <w:szCs w:val="18"/>
        </w:rPr>
      </w:pPr>
      <w:r w:rsidRPr="00F15AA7">
        <w:rPr>
          <w:szCs w:val="18"/>
        </w:rPr>
        <w:t>- fluvizemě převážně na rovině nebo úplné rovině se všesměrnou expozicí</w:t>
      </w:r>
    </w:p>
    <w:p w14:paraId="284CCF49" w14:textId="77777777" w:rsidR="004A6138" w:rsidRPr="00F15AA7" w:rsidRDefault="004A6138" w:rsidP="004A6138">
      <w:pPr>
        <w:rPr>
          <w:szCs w:val="18"/>
        </w:rPr>
      </w:pPr>
      <w:r w:rsidRPr="00F15AA7">
        <w:rPr>
          <w:szCs w:val="18"/>
        </w:rPr>
        <w:t>- s celkovým obsahem skeletu do 10 %</w:t>
      </w:r>
    </w:p>
    <w:p w14:paraId="25B8E16A" w14:textId="77777777" w:rsidR="004A6138" w:rsidRPr="00F15AA7" w:rsidRDefault="004A6138" w:rsidP="004A6138">
      <w:pPr>
        <w:rPr>
          <w:szCs w:val="18"/>
        </w:rPr>
      </w:pPr>
      <w:r w:rsidRPr="00F15AA7">
        <w:rPr>
          <w:szCs w:val="18"/>
        </w:rPr>
        <w:t>- hluboké v mírně teplém, mírně vlhkém klimatickém regionu</w:t>
      </w:r>
    </w:p>
    <w:p w14:paraId="40AC5455" w14:textId="77777777" w:rsidR="004A6138" w:rsidRPr="00F15AA7" w:rsidRDefault="004A6138" w:rsidP="004A6138">
      <w:pPr>
        <w:rPr>
          <w:szCs w:val="18"/>
        </w:rPr>
      </w:pPr>
      <w:r w:rsidRPr="00F15AA7">
        <w:t>Půdotvorný substrát: koluviální a nivní sedimenty</w:t>
      </w:r>
    </w:p>
    <w:p w14:paraId="2E2C1CE4" w14:textId="77777777" w:rsidR="004A6138" w:rsidRPr="00F15AA7" w:rsidRDefault="004A6138" w:rsidP="004A6138">
      <w:pPr>
        <w:rPr>
          <w:szCs w:val="18"/>
        </w:rPr>
      </w:pPr>
      <w:r w:rsidRPr="00F15AA7">
        <w:rPr>
          <w:szCs w:val="18"/>
        </w:rPr>
        <w:t xml:space="preserve">Bodová výnosnost: </w:t>
      </w:r>
      <w:r w:rsidRPr="00F15AA7">
        <w:rPr>
          <w:rStyle w:val="badge"/>
          <w:szCs w:val="18"/>
        </w:rPr>
        <w:t xml:space="preserve">57 </w:t>
      </w:r>
      <w:r w:rsidRPr="00F15AA7">
        <w:rPr>
          <w:szCs w:val="18"/>
        </w:rPr>
        <w:t>(málo produkční)</w:t>
      </w:r>
    </w:p>
    <w:p w14:paraId="6D5D32C3" w14:textId="77777777" w:rsidR="004A6138" w:rsidRPr="00265455" w:rsidRDefault="004A6138" w:rsidP="004A6138">
      <w:pPr>
        <w:rPr>
          <w:szCs w:val="18"/>
        </w:rPr>
      </w:pPr>
      <w:r w:rsidRPr="00265455">
        <w:rPr>
          <w:szCs w:val="18"/>
        </w:rPr>
        <w:t>Lokace v území:</w:t>
      </w:r>
    </w:p>
    <w:p w14:paraId="2B715E2C" w14:textId="77777777" w:rsidR="004A6138" w:rsidRPr="008E5C4A" w:rsidRDefault="004A6138" w:rsidP="004A6138">
      <w:pPr>
        <w:rPr>
          <w:szCs w:val="18"/>
        </w:rPr>
      </w:pPr>
      <w:r w:rsidRPr="008E5C4A">
        <w:rPr>
          <w:szCs w:val="18"/>
        </w:rPr>
        <w:t xml:space="preserve">První oblast táhnoucí se od jižního cípu řešeného území v Mariánském údolí, přes průmyslový areál; oblast </w:t>
      </w:r>
      <w:r>
        <w:rPr>
          <w:szCs w:val="18"/>
        </w:rPr>
        <w:t xml:space="preserve">je </w:t>
      </w:r>
      <w:r w:rsidRPr="008E5C4A">
        <w:rPr>
          <w:szCs w:val="18"/>
        </w:rPr>
        <w:t xml:space="preserve">zakončena jižně od sportovišť a železniční zastávky Hlubočky na Olomoucké ulici, kde se vine potok Bystřice. </w:t>
      </w:r>
    </w:p>
    <w:p w14:paraId="3736973A" w14:textId="77777777" w:rsidR="004A6138" w:rsidRPr="001A10F4" w:rsidRDefault="004A6138" w:rsidP="004A6138">
      <w:pPr>
        <w:rPr>
          <w:szCs w:val="18"/>
        </w:rPr>
      </w:pPr>
      <w:r w:rsidRPr="001A10F4">
        <w:rPr>
          <w:szCs w:val="18"/>
        </w:rPr>
        <w:t xml:space="preserve">Druhý útvar se rozprostírá v území podél hranice k.ú. Hluboček a Hrubé </w:t>
      </w:r>
      <w:r>
        <w:rPr>
          <w:szCs w:val="18"/>
        </w:rPr>
        <w:t>V</w:t>
      </w:r>
      <w:r w:rsidRPr="001A10F4">
        <w:rPr>
          <w:szCs w:val="18"/>
        </w:rPr>
        <w:t>ody v severní části oblasti ulice Dukelských hrdinů od sběrného dvora až dále na se</w:t>
      </w:r>
      <w:r>
        <w:rPr>
          <w:szCs w:val="18"/>
        </w:rPr>
        <w:t>ver k mostům přes Bystřici</w:t>
      </w:r>
      <w:r w:rsidRPr="001A10F4">
        <w:rPr>
          <w:szCs w:val="18"/>
        </w:rPr>
        <w:t xml:space="preserve">. </w:t>
      </w:r>
    </w:p>
    <w:p w14:paraId="7102396A" w14:textId="77777777" w:rsidR="004A6138" w:rsidRPr="004A6138" w:rsidRDefault="004A6138" w:rsidP="004A6138">
      <w:pPr>
        <w:rPr>
          <w:b/>
          <w:bCs/>
          <w:szCs w:val="18"/>
        </w:rPr>
      </w:pPr>
      <w:r w:rsidRPr="004A6138">
        <w:rPr>
          <w:b/>
          <w:bCs/>
          <w:szCs w:val="18"/>
        </w:rPr>
        <w:t>8.35.01 – I. třída ochrany</w:t>
      </w:r>
    </w:p>
    <w:p w14:paraId="7D618918" w14:textId="77777777" w:rsidR="004A6138" w:rsidRPr="00265455" w:rsidRDefault="004A6138" w:rsidP="004A6138">
      <w:r w:rsidRPr="00265455">
        <w:t>- kambizemě dystrické, podzoly, kryptopodzoly převážně na rovině nebo úplné rovině se všesměrnou expozicí</w:t>
      </w:r>
    </w:p>
    <w:p w14:paraId="21D56C02" w14:textId="77777777" w:rsidR="004A6138" w:rsidRPr="00265455" w:rsidRDefault="004A6138" w:rsidP="004A6138">
      <w:r w:rsidRPr="00265455">
        <w:t>- s celkovým obsahem skeletu do 25 %</w:t>
      </w:r>
    </w:p>
    <w:p w14:paraId="139D602C" w14:textId="77777777" w:rsidR="004A6138" w:rsidRPr="00265455" w:rsidRDefault="004A6138" w:rsidP="004A6138">
      <w:r w:rsidRPr="00265455">
        <w:t>- hluboké až středně hluboké v mírně chladném klimatickém regionu</w:t>
      </w:r>
    </w:p>
    <w:p w14:paraId="177F2A7D" w14:textId="77777777" w:rsidR="004A6138" w:rsidRPr="00265455" w:rsidRDefault="004A6138" w:rsidP="004A6138">
      <w:pPr>
        <w:rPr>
          <w:szCs w:val="18"/>
        </w:rPr>
      </w:pPr>
      <w:r w:rsidRPr="00265455">
        <w:t>Půdotvorný substrát: břidlice, flyš</w:t>
      </w:r>
    </w:p>
    <w:p w14:paraId="048DC139" w14:textId="77777777" w:rsidR="004A6138" w:rsidRPr="00265455" w:rsidRDefault="004A6138" w:rsidP="004A6138">
      <w:pPr>
        <w:rPr>
          <w:szCs w:val="18"/>
        </w:rPr>
      </w:pPr>
      <w:r w:rsidRPr="00265455">
        <w:rPr>
          <w:szCs w:val="18"/>
        </w:rPr>
        <w:t xml:space="preserve">Bodová výnosnost: </w:t>
      </w:r>
      <w:r w:rsidRPr="00265455">
        <w:rPr>
          <w:rStyle w:val="badge"/>
          <w:szCs w:val="18"/>
        </w:rPr>
        <w:t>31</w:t>
      </w:r>
      <w:r w:rsidRPr="00265455">
        <w:rPr>
          <w:szCs w:val="18"/>
        </w:rPr>
        <w:t xml:space="preserve"> (velmi málo produkční)</w:t>
      </w:r>
    </w:p>
    <w:p w14:paraId="4D3A69F1" w14:textId="77777777" w:rsidR="004A6138" w:rsidRPr="00265455" w:rsidRDefault="004A6138" w:rsidP="004A6138">
      <w:pPr>
        <w:rPr>
          <w:szCs w:val="18"/>
        </w:rPr>
      </w:pPr>
      <w:r w:rsidRPr="00265455">
        <w:rPr>
          <w:szCs w:val="18"/>
        </w:rPr>
        <w:t xml:space="preserve">Lokace v území: </w:t>
      </w:r>
    </w:p>
    <w:p w14:paraId="54FF3245" w14:textId="77777777" w:rsidR="004A6138" w:rsidRPr="00A5381D" w:rsidRDefault="004A6138" w:rsidP="004A6138">
      <w:pPr>
        <w:rPr>
          <w:szCs w:val="18"/>
        </w:rPr>
      </w:pPr>
      <w:r w:rsidRPr="00A5381D">
        <w:rPr>
          <w:szCs w:val="18"/>
        </w:rPr>
        <w:t xml:space="preserve">Oblast táhnoucí </w:t>
      </w:r>
      <w:r>
        <w:rPr>
          <w:szCs w:val="18"/>
        </w:rPr>
        <w:t>se západně</w:t>
      </w:r>
      <w:r w:rsidRPr="00A5381D">
        <w:rPr>
          <w:szCs w:val="18"/>
        </w:rPr>
        <w:t xml:space="preserve"> od lomu Hrubá </w:t>
      </w:r>
      <w:r>
        <w:rPr>
          <w:szCs w:val="18"/>
        </w:rPr>
        <w:t>V</w:t>
      </w:r>
      <w:r w:rsidRPr="00A5381D">
        <w:rPr>
          <w:szCs w:val="18"/>
        </w:rPr>
        <w:t xml:space="preserve">oda přes hranici území až na území </w:t>
      </w:r>
      <w:r>
        <w:rPr>
          <w:szCs w:val="18"/>
        </w:rPr>
        <w:t>sousední místní části</w:t>
      </w:r>
      <w:r w:rsidRPr="00A5381D">
        <w:rPr>
          <w:szCs w:val="18"/>
        </w:rPr>
        <w:t xml:space="preserve"> Pohořany na Moravě. </w:t>
      </w:r>
    </w:p>
    <w:p w14:paraId="55047376" w14:textId="77777777" w:rsidR="004A6138" w:rsidRPr="004A6138" w:rsidRDefault="004A6138" w:rsidP="004A6138">
      <w:pPr>
        <w:rPr>
          <w:b/>
          <w:bCs/>
          <w:szCs w:val="18"/>
        </w:rPr>
      </w:pPr>
      <w:r w:rsidRPr="004A6138">
        <w:rPr>
          <w:b/>
          <w:bCs/>
          <w:szCs w:val="18"/>
        </w:rPr>
        <w:t>8.35.21 – I. třída ochrany</w:t>
      </w:r>
    </w:p>
    <w:p w14:paraId="26CE64C3" w14:textId="77777777" w:rsidR="004A6138" w:rsidRPr="0008766B" w:rsidRDefault="004A6138" w:rsidP="004A6138">
      <w:r w:rsidRPr="0008766B">
        <w:t>- kambizemě dystrické, podzoly, kryptopodzoly převážně na mírných svazích s jižní expozicí (jihozápadní až jihovýchodní) nebo se západní či východní (jihoozápadní až severozápadní či jihovýchodní až severovýchodní)</w:t>
      </w:r>
    </w:p>
    <w:p w14:paraId="56FC6016" w14:textId="77777777" w:rsidR="004A6138" w:rsidRPr="0008766B" w:rsidRDefault="004A6138" w:rsidP="004A6138">
      <w:r w:rsidRPr="0008766B">
        <w:t>- celkovým obsahem skeletu do 25 %</w:t>
      </w:r>
    </w:p>
    <w:p w14:paraId="2AFEFE44" w14:textId="77777777" w:rsidR="004A6138" w:rsidRPr="0008766B" w:rsidRDefault="004A6138" w:rsidP="004A6138">
      <w:r w:rsidRPr="0008766B">
        <w:t>- hluboké až středně hluboké v mírně chladném klimatickém regionu.</w:t>
      </w:r>
    </w:p>
    <w:p w14:paraId="136D3B1E" w14:textId="77777777" w:rsidR="004A6138" w:rsidRPr="0008766B" w:rsidRDefault="004A6138" w:rsidP="004A6138">
      <w:pPr>
        <w:rPr>
          <w:szCs w:val="18"/>
        </w:rPr>
      </w:pPr>
      <w:r w:rsidRPr="0008766B">
        <w:t xml:space="preserve">Půdotvorný substrát: </w:t>
      </w:r>
      <w:r w:rsidRPr="0008766B">
        <w:tab/>
        <w:t>břidlice, flyš</w:t>
      </w:r>
    </w:p>
    <w:p w14:paraId="60819B27" w14:textId="77777777" w:rsidR="004A6138" w:rsidRPr="0008766B" w:rsidRDefault="004A6138" w:rsidP="004A6138">
      <w:pPr>
        <w:rPr>
          <w:szCs w:val="18"/>
        </w:rPr>
      </w:pPr>
      <w:r w:rsidRPr="0008766B">
        <w:rPr>
          <w:szCs w:val="18"/>
        </w:rPr>
        <w:t xml:space="preserve">Bodová výnosnost: </w:t>
      </w:r>
      <w:r w:rsidRPr="0008766B">
        <w:rPr>
          <w:rStyle w:val="badge"/>
          <w:szCs w:val="18"/>
        </w:rPr>
        <w:t>24</w:t>
      </w:r>
      <w:r w:rsidRPr="0008766B">
        <w:rPr>
          <w:szCs w:val="18"/>
        </w:rPr>
        <w:t xml:space="preserve"> (produkčně málo významné)</w:t>
      </w:r>
    </w:p>
    <w:p w14:paraId="672A1C47" w14:textId="77777777" w:rsidR="004A6138" w:rsidRPr="0008766B" w:rsidRDefault="004A6138" w:rsidP="004A6138">
      <w:pPr>
        <w:rPr>
          <w:szCs w:val="18"/>
        </w:rPr>
      </w:pPr>
      <w:r w:rsidRPr="0008766B">
        <w:rPr>
          <w:szCs w:val="18"/>
        </w:rPr>
        <w:t xml:space="preserve">Lokace v území: </w:t>
      </w:r>
    </w:p>
    <w:p w14:paraId="558BCC53" w14:textId="77777777" w:rsidR="004A6138" w:rsidRPr="00B609FA" w:rsidRDefault="004A6138" w:rsidP="004A6138">
      <w:pPr>
        <w:rPr>
          <w:szCs w:val="18"/>
          <w:highlight w:val="cyan"/>
        </w:rPr>
      </w:pPr>
      <w:r w:rsidRPr="00257029">
        <w:rPr>
          <w:szCs w:val="18"/>
        </w:rPr>
        <w:t>Severně od oblasti půdy 8.35.01</w:t>
      </w:r>
      <w:r>
        <w:rPr>
          <w:szCs w:val="18"/>
        </w:rPr>
        <w:t xml:space="preserve"> se nachází</w:t>
      </w:r>
      <w:r w:rsidRPr="00257029">
        <w:rPr>
          <w:szCs w:val="18"/>
        </w:rPr>
        <w:t xml:space="preserve"> dvě</w:t>
      </w:r>
      <w:r>
        <w:rPr>
          <w:szCs w:val="18"/>
        </w:rPr>
        <w:t xml:space="preserve"> oblasti v tenčích pásech přesahující z území místní části Pohořany na Moravě do řešeného území v lesích západně a severozápadně od lomu Hrubá Voda.</w:t>
      </w:r>
    </w:p>
    <w:p w14:paraId="47F0DA72" w14:textId="77777777" w:rsidR="004A6138" w:rsidRPr="004A6138" w:rsidRDefault="004A6138" w:rsidP="004A6138">
      <w:pPr>
        <w:rPr>
          <w:b/>
          <w:bCs/>
          <w:szCs w:val="18"/>
        </w:rPr>
      </w:pPr>
      <w:r w:rsidRPr="004A6138">
        <w:rPr>
          <w:b/>
          <w:bCs/>
          <w:szCs w:val="18"/>
        </w:rPr>
        <w:t>5.12.12 – II. třída ochrany</w:t>
      </w:r>
    </w:p>
    <w:p w14:paraId="7DF929A4" w14:textId="77777777" w:rsidR="004A6138" w:rsidRPr="00173CFF" w:rsidRDefault="004A6138" w:rsidP="004A6138">
      <w:r w:rsidRPr="00173CFF">
        <w:t>- hnědozemě převážně na mírných svazích se všesměrnou expozicí</w:t>
      </w:r>
    </w:p>
    <w:p w14:paraId="5ABF7DCD" w14:textId="77777777" w:rsidR="004A6138" w:rsidRPr="00173CFF" w:rsidRDefault="004A6138" w:rsidP="004A6138">
      <w:r w:rsidRPr="00173CFF">
        <w:t>- s celkovým obsahem skeletu 10 - 25 %</w:t>
      </w:r>
    </w:p>
    <w:p w14:paraId="7F49F9CF" w14:textId="77777777" w:rsidR="004A6138" w:rsidRPr="00173CFF" w:rsidRDefault="004A6138" w:rsidP="004A6138">
      <w:r w:rsidRPr="00173CFF">
        <w:t>- hluboké v mírně teplém, mírně vlhkém klimatickém regionu</w:t>
      </w:r>
    </w:p>
    <w:p w14:paraId="54018052" w14:textId="77777777" w:rsidR="004A6138" w:rsidRPr="00173CFF" w:rsidRDefault="004A6138" w:rsidP="004A6138">
      <w:pPr>
        <w:rPr>
          <w:szCs w:val="18"/>
        </w:rPr>
      </w:pPr>
      <w:r w:rsidRPr="00173CFF">
        <w:t>Půdotvorný substrát: míšené svahoviny</w:t>
      </w:r>
    </w:p>
    <w:p w14:paraId="58A4A906" w14:textId="77777777" w:rsidR="004A6138" w:rsidRPr="00173CFF" w:rsidRDefault="004A6138" w:rsidP="004A6138">
      <w:pPr>
        <w:rPr>
          <w:szCs w:val="18"/>
        </w:rPr>
      </w:pPr>
      <w:r w:rsidRPr="00173CFF">
        <w:rPr>
          <w:szCs w:val="18"/>
        </w:rPr>
        <w:t xml:space="preserve">Bodová výnosnost: </w:t>
      </w:r>
      <w:r w:rsidRPr="00173CFF">
        <w:rPr>
          <w:rStyle w:val="badge"/>
          <w:szCs w:val="18"/>
        </w:rPr>
        <w:t>53</w:t>
      </w:r>
      <w:r w:rsidRPr="00173CFF">
        <w:rPr>
          <w:szCs w:val="18"/>
        </w:rPr>
        <w:t xml:space="preserve"> (málo produkční)</w:t>
      </w:r>
    </w:p>
    <w:p w14:paraId="3FF51FD9" w14:textId="77777777" w:rsidR="004A6138" w:rsidRPr="00173CFF" w:rsidRDefault="004A6138" w:rsidP="004A6138">
      <w:pPr>
        <w:rPr>
          <w:szCs w:val="18"/>
        </w:rPr>
      </w:pPr>
      <w:r w:rsidRPr="00173CFF">
        <w:rPr>
          <w:szCs w:val="18"/>
        </w:rPr>
        <w:t xml:space="preserve">Lokace v území: </w:t>
      </w:r>
    </w:p>
    <w:p w14:paraId="39D3AB6A" w14:textId="77777777" w:rsidR="004A6138" w:rsidRPr="006611BE" w:rsidRDefault="004A6138" w:rsidP="004A6138">
      <w:pPr>
        <w:rPr>
          <w:szCs w:val="18"/>
        </w:rPr>
      </w:pPr>
      <w:r w:rsidRPr="006611BE">
        <w:rPr>
          <w:szCs w:val="18"/>
        </w:rPr>
        <w:t xml:space="preserve">Dvě oblasti nedaleko od sebe v severní části oblasti Vinohrádky v k.ú. Hrubá Voda v tenčích pásech přesahující z území </w:t>
      </w:r>
      <w:r>
        <w:rPr>
          <w:szCs w:val="18"/>
        </w:rPr>
        <w:t>vsi</w:t>
      </w:r>
      <w:r w:rsidRPr="006611BE">
        <w:rPr>
          <w:szCs w:val="18"/>
        </w:rPr>
        <w:t xml:space="preserve"> Véska do řešeného území. </w:t>
      </w:r>
    </w:p>
    <w:p w14:paraId="4B227E52" w14:textId="77777777" w:rsidR="004A6138" w:rsidRPr="004A6138" w:rsidRDefault="004A6138" w:rsidP="004A6138">
      <w:pPr>
        <w:rPr>
          <w:b/>
          <w:bCs/>
          <w:szCs w:val="18"/>
        </w:rPr>
      </w:pPr>
      <w:r w:rsidRPr="004A6138">
        <w:rPr>
          <w:b/>
          <w:bCs/>
          <w:szCs w:val="18"/>
        </w:rPr>
        <w:t>5.13.00 – II. třída ochrany</w:t>
      </w:r>
    </w:p>
    <w:p w14:paraId="0554DE3E" w14:textId="77777777" w:rsidR="004A6138" w:rsidRPr="00BA62B7" w:rsidRDefault="004A6138" w:rsidP="004A6138">
      <w:r w:rsidRPr="00BA62B7">
        <w:t>- hnědozemě převážně na rovině nebo úplné rovině se všesměrnou expozicí</w:t>
      </w:r>
    </w:p>
    <w:p w14:paraId="23DEAAD2" w14:textId="77777777" w:rsidR="004A6138" w:rsidRPr="00BA62B7" w:rsidRDefault="004A6138" w:rsidP="004A6138">
      <w:r w:rsidRPr="00BA62B7">
        <w:t>- s celkovým obsahem skeletu do 10 %</w:t>
      </w:r>
    </w:p>
    <w:p w14:paraId="304BF9E8" w14:textId="77777777" w:rsidR="004A6138" w:rsidRPr="00BA62B7" w:rsidRDefault="004A6138" w:rsidP="004A6138">
      <w:r w:rsidRPr="00BA62B7">
        <w:t>- hluboké v mírně teplém, mírně vlhkém klimatickém regionu.</w:t>
      </w:r>
    </w:p>
    <w:p w14:paraId="6DBEF4EC" w14:textId="77777777" w:rsidR="004A6138" w:rsidRPr="00BA62B7" w:rsidRDefault="004A6138" w:rsidP="004A6138">
      <w:pPr>
        <w:rPr>
          <w:szCs w:val="18"/>
        </w:rPr>
      </w:pPr>
      <w:r w:rsidRPr="00BA62B7">
        <w:t>Půdotvorný substrát: spraše, sprašové překryvy, svahoviny</w:t>
      </w:r>
    </w:p>
    <w:p w14:paraId="51C6F20D" w14:textId="77777777" w:rsidR="004A6138" w:rsidRPr="00BA62B7" w:rsidRDefault="004A6138" w:rsidP="004A6138">
      <w:pPr>
        <w:rPr>
          <w:szCs w:val="18"/>
        </w:rPr>
      </w:pPr>
      <w:r w:rsidRPr="00BA62B7">
        <w:rPr>
          <w:szCs w:val="18"/>
        </w:rPr>
        <w:t xml:space="preserve">Bodová výnosnost: </w:t>
      </w:r>
      <w:r w:rsidRPr="00BA62B7">
        <w:rPr>
          <w:rStyle w:val="badge"/>
          <w:szCs w:val="18"/>
        </w:rPr>
        <w:t>66</w:t>
      </w:r>
      <w:r w:rsidRPr="00BA62B7">
        <w:rPr>
          <w:szCs w:val="18"/>
        </w:rPr>
        <w:t xml:space="preserve"> (středně produkční)</w:t>
      </w:r>
    </w:p>
    <w:p w14:paraId="5840C15A" w14:textId="77777777" w:rsidR="004A6138" w:rsidRPr="002D409A" w:rsidRDefault="004A6138" w:rsidP="004A6138">
      <w:pPr>
        <w:rPr>
          <w:szCs w:val="18"/>
        </w:rPr>
      </w:pPr>
      <w:r w:rsidRPr="002D409A">
        <w:rPr>
          <w:szCs w:val="18"/>
        </w:rPr>
        <w:lastRenderedPageBreak/>
        <w:t xml:space="preserve">Lokace v území: </w:t>
      </w:r>
    </w:p>
    <w:p w14:paraId="4746715C" w14:textId="77777777" w:rsidR="004A6138" w:rsidRDefault="004A6138" w:rsidP="004A6138">
      <w:pPr>
        <w:rPr>
          <w:szCs w:val="18"/>
        </w:rPr>
      </w:pPr>
      <w:r w:rsidRPr="002D409A">
        <w:rPr>
          <w:szCs w:val="18"/>
        </w:rPr>
        <w:t>V severní části nad hranicí k.ú. Hlubočky v k.ú. Hrubá Voda severo</w:t>
      </w:r>
      <w:r>
        <w:rPr>
          <w:szCs w:val="18"/>
        </w:rPr>
        <w:t>západně</w:t>
      </w:r>
      <w:r w:rsidRPr="002D409A">
        <w:rPr>
          <w:szCs w:val="18"/>
        </w:rPr>
        <w:t xml:space="preserve"> od lyžařského a rekreačního střediska podél meandru řeky Bystřice až po most za železniční zastávkou Hrubá Voda. </w:t>
      </w:r>
    </w:p>
    <w:p w14:paraId="7477C430" w14:textId="77777777" w:rsidR="004A6138" w:rsidRPr="002D409A" w:rsidRDefault="004A6138" w:rsidP="004A6138">
      <w:pPr>
        <w:rPr>
          <w:szCs w:val="18"/>
        </w:rPr>
      </w:pPr>
      <w:r>
        <w:rPr>
          <w:szCs w:val="18"/>
        </w:rPr>
        <w:t xml:space="preserve">Druhá oblast vede východně od </w:t>
      </w:r>
      <w:r w:rsidRPr="002D409A">
        <w:rPr>
          <w:szCs w:val="18"/>
        </w:rPr>
        <w:t>lyžařského a rekreačního střediska</w:t>
      </w:r>
      <w:r>
        <w:rPr>
          <w:szCs w:val="18"/>
        </w:rPr>
        <w:t xml:space="preserve"> také podél říční nivy řeky Bystřice a severně podél východní hranice území Hrubá Voda a řešeného území až k brodu a železničnímu mostu v oblasti Hrubovodských sutí. </w:t>
      </w:r>
    </w:p>
    <w:p w14:paraId="0B166F66" w14:textId="77777777" w:rsidR="004A6138" w:rsidRPr="004A6138" w:rsidRDefault="004A6138" w:rsidP="004A6138">
      <w:pPr>
        <w:rPr>
          <w:b/>
          <w:bCs/>
          <w:szCs w:val="18"/>
        </w:rPr>
      </w:pPr>
      <w:r w:rsidRPr="004A6138">
        <w:rPr>
          <w:b/>
          <w:bCs/>
          <w:szCs w:val="18"/>
        </w:rPr>
        <w:t>5.15.10 – II. třída ochrany</w:t>
      </w:r>
    </w:p>
    <w:p w14:paraId="76BC5AD7" w14:textId="77777777" w:rsidR="004A6138" w:rsidRPr="00BA62B7" w:rsidRDefault="004A6138" w:rsidP="004A6138">
      <w:r w:rsidRPr="00BA62B7">
        <w:t xml:space="preserve">- </w:t>
      </w:r>
      <w:r>
        <w:t>l</w:t>
      </w:r>
      <w:r w:rsidRPr="00856C01">
        <w:t>uvizemě převážně na mírných svazích se všesměrnou expozicí</w:t>
      </w:r>
    </w:p>
    <w:p w14:paraId="32F5F28D" w14:textId="77777777" w:rsidR="004A6138" w:rsidRPr="00BA62B7" w:rsidRDefault="004A6138" w:rsidP="004A6138">
      <w:r w:rsidRPr="00BA62B7">
        <w:t>- s celkovým obsahem skeletu do 10 %</w:t>
      </w:r>
    </w:p>
    <w:p w14:paraId="2066DC39" w14:textId="77777777" w:rsidR="004A6138" w:rsidRPr="00BA62B7" w:rsidRDefault="004A6138" w:rsidP="004A6138">
      <w:r w:rsidRPr="00BA62B7">
        <w:t>- hluboké v mírně teplém, mírně vlhkém klimatickém regionu.</w:t>
      </w:r>
    </w:p>
    <w:p w14:paraId="251B37BF" w14:textId="77777777" w:rsidR="004A6138" w:rsidRPr="00BA62B7" w:rsidRDefault="004A6138" w:rsidP="004A6138">
      <w:pPr>
        <w:rPr>
          <w:szCs w:val="18"/>
        </w:rPr>
      </w:pPr>
      <w:r w:rsidRPr="00BA62B7">
        <w:t xml:space="preserve">Půdotvorný substrát: </w:t>
      </w:r>
      <w:r w:rsidRPr="00856C01">
        <w:t>svahoviny s eolitickou příměsí</w:t>
      </w:r>
    </w:p>
    <w:p w14:paraId="20366757" w14:textId="77777777" w:rsidR="004A6138" w:rsidRPr="00BA62B7" w:rsidRDefault="004A6138" w:rsidP="004A6138">
      <w:pPr>
        <w:rPr>
          <w:szCs w:val="18"/>
        </w:rPr>
      </w:pPr>
      <w:r w:rsidRPr="00BA62B7">
        <w:rPr>
          <w:szCs w:val="18"/>
        </w:rPr>
        <w:t xml:space="preserve">Bodová výnosnost: </w:t>
      </w:r>
      <w:r w:rsidRPr="00BA62B7">
        <w:rPr>
          <w:rStyle w:val="badge"/>
          <w:szCs w:val="18"/>
        </w:rPr>
        <w:t>6</w:t>
      </w:r>
      <w:r>
        <w:rPr>
          <w:rStyle w:val="badge"/>
          <w:szCs w:val="18"/>
        </w:rPr>
        <w:t>1</w:t>
      </w:r>
      <w:r w:rsidRPr="00BA62B7">
        <w:rPr>
          <w:szCs w:val="18"/>
        </w:rPr>
        <w:t xml:space="preserve"> (</w:t>
      </w:r>
      <w:r w:rsidRPr="00856C01">
        <w:rPr>
          <w:szCs w:val="18"/>
        </w:rPr>
        <w:t>méně </w:t>
      </w:r>
      <w:r w:rsidRPr="00BA62B7">
        <w:rPr>
          <w:szCs w:val="18"/>
        </w:rPr>
        <w:t>produkční)</w:t>
      </w:r>
    </w:p>
    <w:p w14:paraId="62273CFC" w14:textId="77777777" w:rsidR="004A6138" w:rsidRPr="00BA62B7" w:rsidRDefault="004A6138" w:rsidP="004A6138">
      <w:pPr>
        <w:rPr>
          <w:szCs w:val="18"/>
        </w:rPr>
      </w:pPr>
      <w:r w:rsidRPr="00BA62B7">
        <w:rPr>
          <w:szCs w:val="18"/>
        </w:rPr>
        <w:t xml:space="preserve">Lokace v území: </w:t>
      </w:r>
    </w:p>
    <w:p w14:paraId="165B7B39" w14:textId="77777777" w:rsidR="004A6138" w:rsidRDefault="004A6138" w:rsidP="004A6138">
      <w:pPr>
        <w:rPr>
          <w:szCs w:val="18"/>
        </w:rPr>
      </w:pPr>
      <w:r w:rsidRPr="002D409A">
        <w:rPr>
          <w:szCs w:val="18"/>
        </w:rPr>
        <w:t>Prví oblast</w:t>
      </w:r>
      <w:r>
        <w:rPr>
          <w:szCs w:val="18"/>
        </w:rPr>
        <w:t xml:space="preserve"> v území Posluchov se táhne přes velkou část zastavěného území zejména na západě a severu v dvou cípech směrem na západ k lokalitě Zdiměř mimo řešené území a druhý cíp směrem na severovýchod až k hranici lesa při k.ú. Hlubočky.</w:t>
      </w:r>
    </w:p>
    <w:p w14:paraId="4E92EDDB" w14:textId="77777777" w:rsidR="004A6138" w:rsidRPr="002D409A" w:rsidRDefault="004A6138" w:rsidP="004A6138">
      <w:pPr>
        <w:rPr>
          <w:szCs w:val="18"/>
        </w:rPr>
      </w:pPr>
      <w:r>
        <w:rPr>
          <w:szCs w:val="18"/>
        </w:rPr>
        <w:t xml:space="preserve">Druhá oblast se nachází v jihovýchodním výběžku Hluboček v středisku Ski Areál Hlubočky východně od vysílače a vodní nádrži. </w:t>
      </w:r>
    </w:p>
    <w:p w14:paraId="41D732CB" w14:textId="77777777" w:rsidR="004A6138" w:rsidRPr="004A6138" w:rsidRDefault="004A6138" w:rsidP="004A6138">
      <w:pPr>
        <w:rPr>
          <w:b/>
          <w:bCs/>
          <w:szCs w:val="18"/>
        </w:rPr>
      </w:pPr>
      <w:r w:rsidRPr="004A6138">
        <w:rPr>
          <w:b/>
          <w:bCs/>
          <w:szCs w:val="18"/>
        </w:rPr>
        <w:t>5.58.00 – II. třída ochrany</w:t>
      </w:r>
    </w:p>
    <w:p w14:paraId="77C4677D" w14:textId="77777777" w:rsidR="004A6138" w:rsidRPr="007D6B81" w:rsidRDefault="004A6138" w:rsidP="004A6138">
      <w:r w:rsidRPr="007D6B81">
        <w:t>- luvizemě převážně na rovině nebo úplné rovině se všesměrnou expozicí</w:t>
      </w:r>
    </w:p>
    <w:p w14:paraId="44C32D22" w14:textId="77777777" w:rsidR="004A6138" w:rsidRPr="007D6B81" w:rsidRDefault="004A6138" w:rsidP="004A6138">
      <w:r w:rsidRPr="007D6B81">
        <w:t>- s celkovým obsahem skeletu do 10 %</w:t>
      </w:r>
    </w:p>
    <w:p w14:paraId="0EA73B9C" w14:textId="77777777" w:rsidR="004A6138" w:rsidRPr="007D6B81" w:rsidRDefault="004A6138" w:rsidP="004A6138">
      <w:r w:rsidRPr="007D6B81">
        <w:t>- hluboké v mírně teplém, mírně vlhkém klimatickém regionu.</w:t>
      </w:r>
    </w:p>
    <w:p w14:paraId="40A6835F" w14:textId="77777777" w:rsidR="004A6138" w:rsidRPr="007D6B81" w:rsidRDefault="004A6138" w:rsidP="004A6138">
      <w:pPr>
        <w:rPr>
          <w:szCs w:val="18"/>
        </w:rPr>
      </w:pPr>
      <w:r w:rsidRPr="007D6B81">
        <w:t>Půdotvorný substrát: koluviální a nivní sedimenty</w:t>
      </w:r>
    </w:p>
    <w:p w14:paraId="4F0ABA17" w14:textId="77777777" w:rsidR="004A6138" w:rsidRPr="007D6B81" w:rsidRDefault="004A6138" w:rsidP="004A6138">
      <w:pPr>
        <w:rPr>
          <w:szCs w:val="18"/>
        </w:rPr>
      </w:pPr>
      <w:r w:rsidRPr="007D6B81">
        <w:rPr>
          <w:szCs w:val="18"/>
        </w:rPr>
        <w:t xml:space="preserve">Bodová výnosnost: </w:t>
      </w:r>
      <w:r w:rsidRPr="007D6B81">
        <w:rPr>
          <w:rStyle w:val="badge"/>
          <w:szCs w:val="18"/>
        </w:rPr>
        <w:t>44</w:t>
      </w:r>
      <w:r w:rsidRPr="007D6B81">
        <w:rPr>
          <w:szCs w:val="18"/>
        </w:rPr>
        <w:t xml:space="preserve"> (málo produkční)</w:t>
      </w:r>
    </w:p>
    <w:p w14:paraId="6991D161" w14:textId="77777777" w:rsidR="004A6138" w:rsidRPr="00BA62B7" w:rsidRDefault="004A6138" w:rsidP="004A6138">
      <w:pPr>
        <w:rPr>
          <w:szCs w:val="18"/>
        </w:rPr>
      </w:pPr>
      <w:r w:rsidRPr="007D6B81">
        <w:rPr>
          <w:szCs w:val="18"/>
        </w:rPr>
        <w:t>Lokace v území:</w:t>
      </w:r>
      <w:r w:rsidRPr="00BA62B7">
        <w:rPr>
          <w:szCs w:val="18"/>
        </w:rPr>
        <w:t xml:space="preserve"> </w:t>
      </w:r>
    </w:p>
    <w:p w14:paraId="1A1A6BF4" w14:textId="77777777" w:rsidR="004A6138" w:rsidRDefault="004A6138" w:rsidP="004A6138">
      <w:pPr>
        <w:rPr>
          <w:szCs w:val="18"/>
        </w:rPr>
      </w:pPr>
      <w:r w:rsidRPr="00D058AB">
        <w:rPr>
          <w:szCs w:val="18"/>
        </w:rPr>
        <w:t xml:space="preserve">Oblast táhnoucí se mezi dvěma oblastmi půdy 5.56.00; severně od začátku sportovního areálu a železniční zastávky Hlubočky podél hranice lesního porostu ke konci průmyslového areálu na ulici Dukelských hrdinů. </w:t>
      </w:r>
    </w:p>
    <w:p w14:paraId="02AC30D5" w14:textId="77777777" w:rsidR="004A6138" w:rsidRPr="00D058AB" w:rsidRDefault="004A6138" w:rsidP="004A6138">
      <w:pPr>
        <w:rPr>
          <w:szCs w:val="18"/>
        </w:rPr>
      </w:pPr>
      <w:r>
        <w:rPr>
          <w:szCs w:val="18"/>
        </w:rPr>
        <w:t xml:space="preserve">Druhá oblast je mezi dvěma oblastmi </w:t>
      </w:r>
      <w:r w:rsidRPr="00D058AB">
        <w:rPr>
          <w:szCs w:val="18"/>
        </w:rPr>
        <w:t>půdy 5.</w:t>
      </w:r>
      <w:r>
        <w:rPr>
          <w:szCs w:val="18"/>
        </w:rPr>
        <w:t>13</w:t>
      </w:r>
      <w:r w:rsidRPr="00D058AB">
        <w:rPr>
          <w:szCs w:val="18"/>
        </w:rPr>
        <w:t>.00;</w:t>
      </w:r>
      <w:r>
        <w:rPr>
          <w:szCs w:val="18"/>
        </w:rPr>
        <w:t xml:space="preserve"> v k.ú. Hrubá Voda na severu nad lyžařským a rekreačním areálem ve směru na severozápad podél řeky až po nejbližší železniční a silniční most.</w:t>
      </w:r>
    </w:p>
    <w:p w14:paraId="22A0F76D" w14:textId="77777777" w:rsidR="004A6138" w:rsidRPr="004A6138" w:rsidRDefault="004A6138" w:rsidP="004A6138">
      <w:pPr>
        <w:rPr>
          <w:b/>
          <w:bCs/>
          <w:szCs w:val="18"/>
        </w:rPr>
      </w:pPr>
      <w:r w:rsidRPr="004A6138">
        <w:rPr>
          <w:b/>
          <w:bCs/>
          <w:szCs w:val="18"/>
        </w:rPr>
        <w:t>8.35.04 – II. třída ochrany</w:t>
      </w:r>
    </w:p>
    <w:p w14:paraId="1440C74C" w14:textId="77777777" w:rsidR="004A6138" w:rsidRPr="007D6B81" w:rsidRDefault="004A6138" w:rsidP="004A6138">
      <w:r w:rsidRPr="007D6B81">
        <w:t>- kambizemě dystrické, podzoly, kryptopodzoly převážně na rovině nebo úplné rovině se všesměrnou expozicí</w:t>
      </w:r>
    </w:p>
    <w:p w14:paraId="142A7904" w14:textId="77777777" w:rsidR="004A6138" w:rsidRPr="007D6B81" w:rsidRDefault="004A6138" w:rsidP="004A6138">
      <w:r w:rsidRPr="007D6B81">
        <w:t>- s celkovým obsahem skeletu 25 - 50 %</w:t>
      </w:r>
    </w:p>
    <w:p w14:paraId="3C715017" w14:textId="77777777" w:rsidR="004A6138" w:rsidRPr="007D6B81" w:rsidRDefault="004A6138" w:rsidP="004A6138">
      <w:r w:rsidRPr="007D6B81">
        <w:t>- hluboké až středně hluboké v mírně chladném klimatickém regionu.</w:t>
      </w:r>
    </w:p>
    <w:p w14:paraId="621A60B0" w14:textId="77777777" w:rsidR="004A6138" w:rsidRPr="007D6B81" w:rsidRDefault="004A6138" w:rsidP="004A6138">
      <w:pPr>
        <w:rPr>
          <w:szCs w:val="18"/>
        </w:rPr>
      </w:pPr>
      <w:r w:rsidRPr="007D6B81">
        <w:t>Půdotvorný substrát: břidlice, flyš</w:t>
      </w:r>
    </w:p>
    <w:p w14:paraId="28FC3414" w14:textId="77777777" w:rsidR="004A6138" w:rsidRPr="00CE4818" w:rsidRDefault="004A6138" w:rsidP="004A6138">
      <w:pPr>
        <w:rPr>
          <w:szCs w:val="18"/>
        </w:rPr>
      </w:pPr>
      <w:r w:rsidRPr="00CE4818">
        <w:rPr>
          <w:szCs w:val="18"/>
        </w:rPr>
        <w:t xml:space="preserve">Bodová výnosnost: </w:t>
      </w:r>
      <w:r w:rsidRPr="00CE4818">
        <w:rPr>
          <w:rStyle w:val="badge"/>
          <w:szCs w:val="18"/>
        </w:rPr>
        <w:t>20</w:t>
      </w:r>
      <w:r w:rsidRPr="00CE4818">
        <w:rPr>
          <w:szCs w:val="18"/>
        </w:rPr>
        <w:t xml:space="preserve"> (produkčně málo významné)</w:t>
      </w:r>
    </w:p>
    <w:p w14:paraId="6E66AB92" w14:textId="77777777" w:rsidR="004A6138" w:rsidRPr="00CE4818" w:rsidRDefault="004A6138" w:rsidP="004A6138">
      <w:pPr>
        <w:rPr>
          <w:szCs w:val="18"/>
        </w:rPr>
      </w:pPr>
      <w:r w:rsidRPr="00CE4818">
        <w:rPr>
          <w:szCs w:val="18"/>
        </w:rPr>
        <w:t xml:space="preserve">Lokace v území: </w:t>
      </w:r>
    </w:p>
    <w:p w14:paraId="73D0E4BD" w14:textId="77777777" w:rsidR="004A6138" w:rsidRPr="00CE4818" w:rsidRDefault="004A6138" w:rsidP="004A6138">
      <w:pPr>
        <w:rPr>
          <w:szCs w:val="18"/>
        </w:rPr>
      </w:pPr>
      <w:r w:rsidRPr="00CE4818">
        <w:rPr>
          <w:szCs w:val="18"/>
        </w:rPr>
        <w:t xml:space="preserve">Oblast tohoto půdního typu se </w:t>
      </w:r>
      <w:r>
        <w:rPr>
          <w:szCs w:val="18"/>
        </w:rPr>
        <w:t>nachází na samém severu řešeného území; v k.ú. Hrubá Voda proniká do území oblast v tenkém pásu ze sousední obce Jívová; v blízkosti Mlynského vrchu (574 m.n.m. Jívová) a přístřešku U Obrázku (Hrubá Voda).</w:t>
      </w:r>
    </w:p>
    <w:p w14:paraId="5F6BB5C1" w14:textId="77777777" w:rsidR="004A6138" w:rsidRPr="004A6138" w:rsidRDefault="004A6138" w:rsidP="004A6138">
      <w:pPr>
        <w:rPr>
          <w:b/>
          <w:bCs/>
          <w:szCs w:val="18"/>
        </w:rPr>
      </w:pPr>
      <w:r w:rsidRPr="004A6138">
        <w:rPr>
          <w:b/>
          <w:bCs/>
          <w:szCs w:val="18"/>
        </w:rPr>
        <w:t>5.08.50 – II. třída ochrany</w:t>
      </w:r>
    </w:p>
    <w:p w14:paraId="42289244" w14:textId="77777777" w:rsidR="004A6138" w:rsidRPr="00BF51F3" w:rsidRDefault="004A6138" w:rsidP="004A6138">
      <w:r w:rsidRPr="00BF51F3">
        <w:t>- černozemě převážně na středních svazích se západní či východní expozicí (jihoozápadní až severozápadní či jihovýchodní až severovýchodní) nebo se severní expozicí (severozápadní až severovýchodní)</w:t>
      </w:r>
    </w:p>
    <w:p w14:paraId="29801CC9" w14:textId="77777777" w:rsidR="004A6138" w:rsidRPr="00BF51F3" w:rsidRDefault="004A6138" w:rsidP="004A6138">
      <w:r w:rsidRPr="00BF51F3">
        <w:t>- s celkovým obsahem skeletu do 10 %</w:t>
      </w:r>
    </w:p>
    <w:p w14:paraId="32DD1BF1" w14:textId="77777777" w:rsidR="004A6138" w:rsidRPr="00BF51F3" w:rsidRDefault="004A6138" w:rsidP="004A6138">
      <w:r w:rsidRPr="00BF51F3">
        <w:t>- hluboké v mírně teplém, mírně vlhkém klimatickém regionu.</w:t>
      </w:r>
    </w:p>
    <w:p w14:paraId="6785CCFB" w14:textId="77777777" w:rsidR="004A6138" w:rsidRPr="00BF51F3" w:rsidRDefault="004A6138" w:rsidP="004A6138">
      <w:pPr>
        <w:rPr>
          <w:szCs w:val="18"/>
        </w:rPr>
      </w:pPr>
      <w:r w:rsidRPr="00BF51F3">
        <w:t>Půdotvorný substrát: spraše, sprašové pokryvy, svahoviny</w:t>
      </w:r>
    </w:p>
    <w:p w14:paraId="1315B09F" w14:textId="77777777" w:rsidR="004A6138" w:rsidRPr="00806258" w:rsidRDefault="004A6138" w:rsidP="004A6138">
      <w:pPr>
        <w:rPr>
          <w:szCs w:val="18"/>
        </w:rPr>
      </w:pPr>
      <w:r w:rsidRPr="00806258">
        <w:rPr>
          <w:szCs w:val="18"/>
        </w:rPr>
        <w:t xml:space="preserve">Bodová výnosnost: </w:t>
      </w:r>
      <w:r w:rsidRPr="00806258">
        <w:rPr>
          <w:rStyle w:val="badge"/>
          <w:szCs w:val="18"/>
        </w:rPr>
        <w:t>43</w:t>
      </w:r>
      <w:r w:rsidRPr="00806258">
        <w:rPr>
          <w:szCs w:val="18"/>
        </w:rPr>
        <w:t xml:space="preserve"> (velmi málo produkční)</w:t>
      </w:r>
    </w:p>
    <w:p w14:paraId="42258BC5" w14:textId="77777777" w:rsidR="004A6138" w:rsidRPr="00806258" w:rsidRDefault="004A6138" w:rsidP="004A6138">
      <w:pPr>
        <w:rPr>
          <w:szCs w:val="18"/>
        </w:rPr>
      </w:pPr>
      <w:r w:rsidRPr="00806258">
        <w:rPr>
          <w:szCs w:val="18"/>
        </w:rPr>
        <w:t xml:space="preserve">Lokace v území: </w:t>
      </w:r>
    </w:p>
    <w:p w14:paraId="356FCD66" w14:textId="77777777" w:rsidR="004A6138" w:rsidRPr="00806258" w:rsidRDefault="004A6138" w:rsidP="004A6138">
      <w:pPr>
        <w:rPr>
          <w:szCs w:val="18"/>
        </w:rPr>
      </w:pPr>
      <w:r w:rsidRPr="00806258">
        <w:rPr>
          <w:szCs w:val="18"/>
        </w:rPr>
        <w:t>V</w:t>
      </w:r>
      <w:r>
        <w:rPr>
          <w:szCs w:val="18"/>
        </w:rPr>
        <w:t xml:space="preserve"> západní</w:t>
      </w:r>
      <w:r w:rsidRPr="00806258">
        <w:rPr>
          <w:szCs w:val="18"/>
        </w:rPr>
        <w:t xml:space="preserve"> části </w:t>
      </w:r>
      <w:r>
        <w:rPr>
          <w:szCs w:val="18"/>
        </w:rPr>
        <w:t>k.ú. Posluchov dále od zastavěného území; od jižní hranice řešeného území na sever až po úroveň hranice areálu zemědělské výroby.</w:t>
      </w:r>
    </w:p>
    <w:p w14:paraId="11050F5A" w14:textId="77777777" w:rsidR="004A6138" w:rsidRPr="004A6138" w:rsidRDefault="004A6138" w:rsidP="004A6138">
      <w:pPr>
        <w:rPr>
          <w:b/>
          <w:bCs/>
          <w:szCs w:val="18"/>
        </w:rPr>
      </w:pPr>
      <w:r w:rsidRPr="004A6138">
        <w:rPr>
          <w:b/>
          <w:bCs/>
          <w:szCs w:val="18"/>
        </w:rPr>
        <w:lastRenderedPageBreak/>
        <w:t>5.22.10 – II. třída ochrany</w:t>
      </w:r>
    </w:p>
    <w:p w14:paraId="0A2AB59B" w14:textId="77777777" w:rsidR="004A6138" w:rsidRPr="00BF51F3" w:rsidRDefault="004A6138" w:rsidP="004A6138">
      <w:r w:rsidRPr="00BF51F3">
        <w:t xml:space="preserve">- </w:t>
      </w:r>
      <w:r>
        <w:t>r</w:t>
      </w:r>
      <w:r w:rsidRPr="00CC30DA">
        <w:t>egozemě převážně na mírných svazích se všesměrnou expozicí</w:t>
      </w:r>
    </w:p>
    <w:p w14:paraId="2385C0D8" w14:textId="77777777" w:rsidR="004A6138" w:rsidRPr="00BF51F3" w:rsidRDefault="004A6138" w:rsidP="004A6138">
      <w:r w:rsidRPr="00BF51F3">
        <w:t>- s celkovým obsahem skeletu do 10 %</w:t>
      </w:r>
    </w:p>
    <w:p w14:paraId="5D43E786" w14:textId="77777777" w:rsidR="004A6138" w:rsidRPr="00BF51F3" w:rsidRDefault="004A6138" w:rsidP="004A6138">
      <w:r w:rsidRPr="00BF51F3">
        <w:t>- hluboké v mírně teplém, mírně vlhkém klimatickém regionu.</w:t>
      </w:r>
    </w:p>
    <w:p w14:paraId="1115DD58" w14:textId="77777777" w:rsidR="004A6138" w:rsidRDefault="004A6138" w:rsidP="004A6138">
      <w:r w:rsidRPr="00BF51F3">
        <w:t xml:space="preserve">Půdotvorný substrát: </w:t>
      </w:r>
      <w:r w:rsidRPr="00CC30DA">
        <w:t>štěrkopísky, písky</w:t>
      </w:r>
    </w:p>
    <w:p w14:paraId="0ED92E65" w14:textId="77777777" w:rsidR="004A6138" w:rsidRPr="00BF51F3" w:rsidRDefault="004A6138" w:rsidP="004A6138">
      <w:pPr>
        <w:rPr>
          <w:szCs w:val="18"/>
        </w:rPr>
      </w:pPr>
      <w:r w:rsidRPr="00BF51F3">
        <w:rPr>
          <w:szCs w:val="18"/>
        </w:rPr>
        <w:t xml:space="preserve">Bodová výnosnost: </w:t>
      </w:r>
      <w:r>
        <w:rPr>
          <w:rStyle w:val="badge"/>
          <w:szCs w:val="18"/>
        </w:rPr>
        <w:t>39</w:t>
      </w:r>
      <w:r w:rsidRPr="00BF51F3">
        <w:rPr>
          <w:szCs w:val="18"/>
        </w:rPr>
        <w:t xml:space="preserve"> (velmi málo produkční)</w:t>
      </w:r>
    </w:p>
    <w:p w14:paraId="3CD59FB9" w14:textId="77777777" w:rsidR="004A6138" w:rsidRPr="004C00E0" w:rsidRDefault="004A6138" w:rsidP="004A6138">
      <w:pPr>
        <w:rPr>
          <w:szCs w:val="18"/>
        </w:rPr>
      </w:pPr>
      <w:r w:rsidRPr="004C00E0">
        <w:rPr>
          <w:szCs w:val="18"/>
        </w:rPr>
        <w:t xml:space="preserve">Lokace v území: </w:t>
      </w:r>
    </w:p>
    <w:p w14:paraId="6A5D5D89" w14:textId="77777777" w:rsidR="004A6138" w:rsidRPr="004C00E0" w:rsidRDefault="004A6138" w:rsidP="004A6138">
      <w:pPr>
        <w:rPr>
          <w:szCs w:val="18"/>
        </w:rPr>
      </w:pPr>
      <w:r w:rsidRPr="004C00E0">
        <w:rPr>
          <w:szCs w:val="18"/>
        </w:rPr>
        <w:t xml:space="preserve">Oblast v cípu na jihu řešeného území pod rekreačními plochami pro přírodní koupaliště na ulici Olomoucká. </w:t>
      </w:r>
    </w:p>
    <w:p w14:paraId="4419555D" w14:textId="77777777" w:rsidR="004A6138" w:rsidRPr="00B609FA" w:rsidRDefault="004A6138" w:rsidP="004A6138">
      <w:pPr>
        <w:rPr>
          <w:szCs w:val="18"/>
          <w:highlight w:val="cyan"/>
        </w:rPr>
      </w:pPr>
    </w:p>
    <w:p w14:paraId="1AEC9E1D" w14:textId="67C0B88C" w:rsidR="004A6138" w:rsidRPr="00060D7B" w:rsidRDefault="004A6138" w:rsidP="004A6138">
      <w:r w:rsidRPr="00060D7B">
        <w:t>Středně kvalitními zemědělskými půdami řazenými do III. třídy ochrany jsou:</w:t>
      </w:r>
    </w:p>
    <w:p w14:paraId="027A8366" w14:textId="77777777" w:rsidR="004A6138" w:rsidRPr="00B609FA" w:rsidRDefault="004A6138" w:rsidP="004A6138">
      <w:pPr>
        <w:rPr>
          <w:highlight w:val="cyan"/>
        </w:rPr>
      </w:pPr>
    </w:p>
    <w:p w14:paraId="310F90C2" w14:textId="77777777" w:rsidR="004A6138" w:rsidRPr="004A6138" w:rsidRDefault="004A6138" w:rsidP="004A6138">
      <w:pPr>
        <w:rPr>
          <w:b/>
          <w:bCs/>
          <w:szCs w:val="18"/>
        </w:rPr>
      </w:pPr>
      <w:r w:rsidRPr="004A6138">
        <w:rPr>
          <w:b/>
          <w:bCs/>
          <w:szCs w:val="18"/>
        </w:rPr>
        <w:t xml:space="preserve">5.26.11 – III. třída ochrany </w:t>
      </w:r>
      <w:r w:rsidRPr="004A6138">
        <w:rPr>
          <w:b/>
          <w:bCs/>
          <w:color w:val="000000" w:themeColor="text1"/>
          <w:szCs w:val="18"/>
        </w:rPr>
        <w:t>(půdní typ na území nejhojněji zastoupený)</w:t>
      </w:r>
    </w:p>
    <w:p w14:paraId="3D313EDE" w14:textId="77777777" w:rsidR="004A6138" w:rsidRPr="00060D7B" w:rsidRDefault="004A6138" w:rsidP="004A6138">
      <w:r w:rsidRPr="00060D7B">
        <w:t>- kambizemě převážně na mírných svazích se všesměrnou expozicí</w:t>
      </w:r>
    </w:p>
    <w:p w14:paraId="254593B5" w14:textId="77777777" w:rsidR="004A6138" w:rsidRPr="00060D7B" w:rsidRDefault="004A6138" w:rsidP="004A6138">
      <w:r w:rsidRPr="00060D7B">
        <w:t>- s celkovým obsahem skeletu do 25 %</w:t>
      </w:r>
    </w:p>
    <w:p w14:paraId="79403E0C" w14:textId="77777777" w:rsidR="004A6138" w:rsidRPr="00060D7B" w:rsidRDefault="004A6138" w:rsidP="004A6138">
      <w:r w:rsidRPr="00060D7B">
        <w:t>- hluboké až středně hluboké v mírně teplém, mírně vlhkém klimatickém regionu.</w:t>
      </w:r>
    </w:p>
    <w:p w14:paraId="30995483" w14:textId="77777777" w:rsidR="004A6138" w:rsidRPr="00060D7B" w:rsidRDefault="004A6138" w:rsidP="004A6138">
      <w:pPr>
        <w:rPr>
          <w:szCs w:val="18"/>
        </w:rPr>
      </w:pPr>
      <w:r w:rsidRPr="00060D7B">
        <w:t>Půdotvorný substrát: břidlice, fylity, hadce</w:t>
      </w:r>
    </w:p>
    <w:p w14:paraId="054BECB3" w14:textId="77777777" w:rsidR="004A6138" w:rsidRPr="00060D7B" w:rsidRDefault="004A6138" w:rsidP="004A6138">
      <w:pPr>
        <w:rPr>
          <w:szCs w:val="18"/>
        </w:rPr>
      </w:pPr>
      <w:r w:rsidRPr="00060D7B">
        <w:rPr>
          <w:szCs w:val="18"/>
        </w:rPr>
        <w:t xml:space="preserve">Bodová výnosnost: </w:t>
      </w:r>
      <w:r w:rsidRPr="00060D7B">
        <w:t>40 (velmi málo produkční)</w:t>
      </w:r>
    </w:p>
    <w:p w14:paraId="4CC450F7" w14:textId="77777777" w:rsidR="004A6138" w:rsidRPr="004C00E0" w:rsidRDefault="004A6138" w:rsidP="004A6138">
      <w:pPr>
        <w:rPr>
          <w:szCs w:val="18"/>
        </w:rPr>
      </w:pPr>
      <w:r w:rsidRPr="004C00E0">
        <w:rPr>
          <w:szCs w:val="18"/>
        </w:rPr>
        <w:t xml:space="preserve">Lokace v území: </w:t>
      </w:r>
    </w:p>
    <w:p w14:paraId="2262E794" w14:textId="77777777" w:rsidR="004A6138" w:rsidRPr="004C00E0" w:rsidRDefault="004A6138" w:rsidP="004A6138">
      <w:pPr>
        <w:rPr>
          <w:szCs w:val="18"/>
        </w:rPr>
      </w:pPr>
      <w:r w:rsidRPr="004C00E0">
        <w:rPr>
          <w:szCs w:val="18"/>
        </w:rPr>
        <w:t>V oblasti Vinohrádky, jihozápadní část k.ú. Hrubá Voda; na západě přesahující hranici území v</w:t>
      </w:r>
      <w:r>
        <w:rPr>
          <w:szCs w:val="18"/>
        </w:rPr>
        <w:t>e dvou cípech ze sousední části</w:t>
      </w:r>
      <w:r w:rsidRPr="004C00E0">
        <w:rPr>
          <w:szCs w:val="18"/>
        </w:rPr>
        <w:t xml:space="preserve"> Véska u Olomouce.</w:t>
      </w:r>
    </w:p>
    <w:p w14:paraId="02D2C742" w14:textId="77777777" w:rsidR="004A6138" w:rsidRPr="004A6138" w:rsidRDefault="004A6138" w:rsidP="004A6138">
      <w:pPr>
        <w:rPr>
          <w:b/>
          <w:bCs/>
          <w:szCs w:val="18"/>
        </w:rPr>
      </w:pPr>
      <w:r w:rsidRPr="004A6138">
        <w:rPr>
          <w:b/>
          <w:bCs/>
          <w:szCs w:val="18"/>
        </w:rPr>
        <w:t>5.47.10 – III. třída ochrany</w:t>
      </w:r>
    </w:p>
    <w:p w14:paraId="6B32DF3A" w14:textId="77777777" w:rsidR="004A6138" w:rsidRPr="00292C10" w:rsidRDefault="004A6138" w:rsidP="004A6138">
      <w:r w:rsidRPr="00292C10">
        <w:t>- pseudogleje převážně na mírných svazích se všesměrnou expozicí</w:t>
      </w:r>
    </w:p>
    <w:p w14:paraId="19AAB361" w14:textId="77777777" w:rsidR="004A6138" w:rsidRPr="00292C10" w:rsidRDefault="004A6138" w:rsidP="004A6138">
      <w:r w:rsidRPr="00292C10">
        <w:t>- s celkovým obsahem skeletu do 10 %</w:t>
      </w:r>
    </w:p>
    <w:p w14:paraId="44B04BA8" w14:textId="77777777" w:rsidR="004A6138" w:rsidRPr="00292C10" w:rsidRDefault="004A6138" w:rsidP="004A6138">
      <w:r w:rsidRPr="00292C10">
        <w:t>- hluboké v mírně teplém, mírně vlhkém klimatickém regionu.</w:t>
      </w:r>
    </w:p>
    <w:p w14:paraId="3A534772" w14:textId="77777777" w:rsidR="004A6138" w:rsidRPr="00292C10" w:rsidRDefault="004A6138" w:rsidP="004A6138">
      <w:pPr>
        <w:rPr>
          <w:szCs w:val="18"/>
        </w:rPr>
      </w:pPr>
      <w:r w:rsidRPr="00292C10">
        <w:t>Půdotvorný substrát: svahoviny s eolickou příměsí</w:t>
      </w:r>
    </w:p>
    <w:p w14:paraId="27E8AAF8" w14:textId="77777777" w:rsidR="004A6138" w:rsidRPr="00292C10" w:rsidRDefault="004A6138" w:rsidP="004A6138">
      <w:pPr>
        <w:rPr>
          <w:szCs w:val="18"/>
        </w:rPr>
      </w:pPr>
      <w:r w:rsidRPr="00292C10">
        <w:rPr>
          <w:szCs w:val="18"/>
        </w:rPr>
        <w:t xml:space="preserve">Bodová výnosnost: </w:t>
      </w:r>
      <w:r w:rsidRPr="00292C10">
        <w:t>39 (velmi málo produkční)</w:t>
      </w:r>
    </w:p>
    <w:p w14:paraId="23F3BBAB" w14:textId="77777777" w:rsidR="004A6138" w:rsidRPr="006F78D4" w:rsidRDefault="004A6138" w:rsidP="004A6138">
      <w:pPr>
        <w:rPr>
          <w:szCs w:val="18"/>
        </w:rPr>
      </w:pPr>
      <w:r w:rsidRPr="006F78D4">
        <w:rPr>
          <w:szCs w:val="18"/>
        </w:rPr>
        <w:t xml:space="preserve">Lokace v území: </w:t>
      </w:r>
    </w:p>
    <w:p w14:paraId="58736536" w14:textId="77777777" w:rsidR="004A6138" w:rsidRPr="006F78D4" w:rsidRDefault="004A6138" w:rsidP="004A6138">
      <w:pPr>
        <w:rPr>
          <w:szCs w:val="18"/>
        </w:rPr>
      </w:pPr>
      <w:r w:rsidRPr="006F78D4">
        <w:rPr>
          <w:szCs w:val="18"/>
        </w:rPr>
        <w:t xml:space="preserve">V k.ú. Posluchov na západě území; </w:t>
      </w:r>
      <w:r>
        <w:rPr>
          <w:szCs w:val="18"/>
        </w:rPr>
        <w:t xml:space="preserve">s počátkem u areálu </w:t>
      </w:r>
      <w:r w:rsidRPr="006F78D4">
        <w:rPr>
          <w:szCs w:val="18"/>
        </w:rPr>
        <w:t>zemědělské výroby se oblast táhne dále v</w:t>
      </w:r>
      <w:r>
        <w:rPr>
          <w:szCs w:val="18"/>
        </w:rPr>
        <w:t>e směru</w:t>
      </w:r>
      <w:r w:rsidRPr="006F78D4">
        <w:rPr>
          <w:szCs w:val="18"/>
        </w:rPr>
        <w:t xml:space="preserve"> od západu přes severozápad až na sever k hranici řešeného území.</w:t>
      </w:r>
    </w:p>
    <w:p w14:paraId="10B8E57E" w14:textId="77777777" w:rsidR="004A6138" w:rsidRPr="004A6138" w:rsidRDefault="004A6138" w:rsidP="004A6138">
      <w:pPr>
        <w:rPr>
          <w:b/>
          <w:bCs/>
          <w:szCs w:val="18"/>
        </w:rPr>
      </w:pPr>
      <w:r w:rsidRPr="004A6138">
        <w:rPr>
          <w:b/>
          <w:bCs/>
          <w:szCs w:val="18"/>
        </w:rPr>
        <w:t>8.35.24 – III. třída ochrany</w:t>
      </w:r>
    </w:p>
    <w:p w14:paraId="2048CE45" w14:textId="77777777" w:rsidR="004A6138" w:rsidRPr="00B469B8" w:rsidRDefault="004A6138" w:rsidP="004A6138">
      <w:r w:rsidRPr="00B469B8">
        <w:t>- kambizemě dystrické, podzoly, kryptopodzoly převážně na mírných svazích s jižní expozicí (jihozápadní až jihovýchodní) nebo se západní či východní (jihoozápadní až severozápadní či jihovýchodní až severovýchodní)</w:t>
      </w:r>
    </w:p>
    <w:p w14:paraId="241DE916" w14:textId="77777777" w:rsidR="004A6138" w:rsidRPr="00B469B8" w:rsidRDefault="004A6138" w:rsidP="004A6138">
      <w:r w:rsidRPr="00B469B8">
        <w:t xml:space="preserve">- s celkovým obsahem skeletu 25 - 50 % </w:t>
      </w:r>
    </w:p>
    <w:p w14:paraId="2A83B76D" w14:textId="77777777" w:rsidR="004A6138" w:rsidRPr="00B469B8" w:rsidRDefault="004A6138" w:rsidP="004A6138">
      <w:r w:rsidRPr="00B469B8">
        <w:t>- hluboké až středně hluboké v mírně chladném klimatickém regionu.</w:t>
      </w:r>
    </w:p>
    <w:p w14:paraId="1A20A08C" w14:textId="77777777" w:rsidR="004A6138" w:rsidRPr="00B469B8" w:rsidRDefault="004A6138" w:rsidP="004A6138">
      <w:pPr>
        <w:rPr>
          <w:szCs w:val="18"/>
        </w:rPr>
      </w:pPr>
      <w:r w:rsidRPr="00B469B8">
        <w:t>Půdotvorný substrát: břidlice, flyš</w:t>
      </w:r>
    </w:p>
    <w:p w14:paraId="70BBED6D" w14:textId="77777777" w:rsidR="004A6138" w:rsidRPr="00B469B8" w:rsidRDefault="004A6138" w:rsidP="004A6138">
      <w:pPr>
        <w:rPr>
          <w:szCs w:val="18"/>
        </w:rPr>
      </w:pPr>
      <w:r w:rsidRPr="00B469B8">
        <w:rPr>
          <w:szCs w:val="18"/>
        </w:rPr>
        <w:t xml:space="preserve">Bodová výnosnost: </w:t>
      </w:r>
      <w:r w:rsidRPr="00B469B8">
        <w:t>17 (produkčně málo významné)</w:t>
      </w:r>
    </w:p>
    <w:p w14:paraId="7490753E" w14:textId="77777777" w:rsidR="004A6138" w:rsidRPr="006F78D4" w:rsidRDefault="004A6138" w:rsidP="004A6138">
      <w:pPr>
        <w:rPr>
          <w:szCs w:val="18"/>
        </w:rPr>
      </w:pPr>
      <w:r w:rsidRPr="006F78D4">
        <w:rPr>
          <w:szCs w:val="18"/>
        </w:rPr>
        <w:t xml:space="preserve">Lokace v území: </w:t>
      </w:r>
    </w:p>
    <w:p w14:paraId="64EEB518" w14:textId="77777777" w:rsidR="004A6138" w:rsidRDefault="004A6138" w:rsidP="004A6138">
      <w:pPr>
        <w:rPr>
          <w:szCs w:val="18"/>
        </w:rPr>
      </w:pPr>
      <w:r w:rsidRPr="006F78D4">
        <w:rPr>
          <w:szCs w:val="18"/>
        </w:rPr>
        <w:t xml:space="preserve">Až tři oblasti daného typu půdy; </w:t>
      </w:r>
      <w:r>
        <w:rPr>
          <w:szCs w:val="18"/>
        </w:rPr>
        <w:t xml:space="preserve">v k.ú. Hrubá Voda západně od lomu Hrubá Voda v tenkém pásu přesahuje do území oblast ze sousední obce Pohořany na Moravě a dále na západ, také se jedná o tenčí pás z obce Pohořany na Moravě při hranici tří oblastí – Pohořany, Véska u Olomouce a Hrubá Voda. </w:t>
      </w:r>
    </w:p>
    <w:p w14:paraId="34A65760" w14:textId="77777777" w:rsidR="004A6138" w:rsidRPr="002E16C7" w:rsidRDefault="004A6138" w:rsidP="004A6138">
      <w:pPr>
        <w:rPr>
          <w:szCs w:val="18"/>
        </w:rPr>
      </w:pPr>
      <w:r>
        <w:rPr>
          <w:szCs w:val="18"/>
        </w:rPr>
        <w:t>Třetí oblast v severní části k.ú. Hrubá Voda na spodní severozápadní hranici s obcí Jivová.</w:t>
      </w:r>
    </w:p>
    <w:p w14:paraId="0A8E52E4" w14:textId="77777777" w:rsidR="004A6138" w:rsidRPr="004A6138" w:rsidRDefault="004A6138" w:rsidP="004A6138">
      <w:pPr>
        <w:rPr>
          <w:b/>
          <w:bCs/>
          <w:szCs w:val="18"/>
        </w:rPr>
      </w:pPr>
      <w:r w:rsidRPr="004A6138">
        <w:rPr>
          <w:b/>
          <w:bCs/>
          <w:szCs w:val="18"/>
        </w:rPr>
        <w:t>5.48.11 – III. třída ochrany</w:t>
      </w:r>
    </w:p>
    <w:p w14:paraId="110EB665" w14:textId="77777777" w:rsidR="004A6138" w:rsidRPr="00073525" w:rsidRDefault="004A6138" w:rsidP="004A6138">
      <w:r w:rsidRPr="00073525">
        <w:t>- pseudogleje převážně na mírných svazích se všesměrnou expozicí</w:t>
      </w:r>
    </w:p>
    <w:p w14:paraId="7C77F1B1" w14:textId="77777777" w:rsidR="004A6138" w:rsidRPr="00073525" w:rsidRDefault="004A6138" w:rsidP="004A6138">
      <w:r w:rsidRPr="00073525">
        <w:t>- s celkovým obsahem skeletu do 25 %</w:t>
      </w:r>
    </w:p>
    <w:p w14:paraId="20800B90" w14:textId="77777777" w:rsidR="004A6138" w:rsidRPr="00073525" w:rsidRDefault="004A6138" w:rsidP="004A6138">
      <w:r w:rsidRPr="00073525">
        <w:t>- hluboké až středně hluboké v mírně teplém, mírně vlhkém klimatickém regionu.</w:t>
      </w:r>
    </w:p>
    <w:p w14:paraId="6B485B51" w14:textId="77777777" w:rsidR="004A6138" w:rsidRPr="00073525" w:rsidRDefault="004A6138" w:rsidP="004A6138">
      <w:pPr>
        <w:rPr>
          <w:szCs w:val="18"/>
        </w:rPr>
      </w:pPr>
      <w:r w:rsidRPr="00073525">
        <w:t>Půdotvorný substrát: břidlice, lupky siltovce</w:t>
      </w:r>
    </w:p>
    <w:p w14:paraId="51E4219E" w14:textId="77777777" w:rsidR="004A6138" w:rsidRPr="00073525" w:rsidRDefault="004A6138" w:rsidP="004A6138">
      <w:pPr>
        <w:rPr>
          <w:szCs w:val="18"/>
        </w:rPr>
      </w:pPr>
      <w:r w:rsidRPr="00073525">
        <w:rPr>
          <w:szCs w:val="18"/>
        </w:rPr>
        <w:t xml:space="preserve">Bodová výnosnost: </w:t>
      </w:r>
      <w:r w:rsidRPr="00073525">
        <w:t>37 (velmi málo produkční)</w:t>
      </w:r>
    </w:p>
    <w:p w14:paraId="37EA9985" w14:textId="77777777" w:rsidR="004A6138" w:rsidRPr="00073525" w:rsidRDefault="004A6138" w:rsidP="004A6138">
      <w:pPr>
        <w:rPr>
          <w:szCs w:val="18"/>
        </w:rPr>
      </w:pPr>
      <w:r w:rsidRPr="00073525">
        <w:rPr>
          <w:szCs w:val="18"/>
        </w:rPr>
        <w:lastRenderedPageBreak/>
        <w:t xml:space="preserve">Lokace v území: </w:t>
      </w:r>
    </w:p>
    <w:p w14:paraId="3E10451B" w14:textId="77777777" w:rsidR="004A6138" w:rsidRPr="00D45A33" w:rsidRDefault="004A6138" w:rsidP="004A6138">
      <w:pPr>
        <w:rPr>
          <w:szCs w:val="18"/>
        </w:rPr>
      </w:pPr>
      <w:r>
        <w:rPr>
          <w:szCs w:val="18"/>
        </w:rPr>
        <w:t>V k.ú. Hrubá Voda v cípu severně od lokality Vinohrádky proniká kousek oblasti ze sousední části Véska u Olomouce.</w:t>
      </w:r>
    </w:p>
    <w:p w14:paraId="5A8DBC4B" w14:textId="1885150E" w:rsidR="004A6138" w:rsidRPr="008661BF" w:rsidRDefault="004A6138" w:rsidP="004A6138">
      <w:r w:rsidRPr="008661BF">
        <w:t>Nejméně úrodnými půdami, řazenými do IV. a V. třídy ochrany jsou v řešeném území převážně:</w:t>
      </w:r>
    </w:p>
    <w:p w14:paraId="07E1AE12" w14:textId="77777777" w:rsidR="004A6138" w:rsidRPr="00EB018C" w:rsidRDefault="004A6138" w:rsidP="004A6138">
      <w:r w:rsidRPr="00EB018C">
        <w:t xml:space="preserve">- kambizemě (např. 5.26.54, 5.27.54) a pseudogleje (např. 5.48.14) převážně středních </w:t>
      </w:r>
      <w:r>
        <w:t xml:space="preserve">a </w:t>
      </w:r>
      <w:r w:rsidRPr="00EB018C">
        <w:t>mírných svazích</w:t>
      </w:r>
      <w:r>
        <w:t xml:space="preserve"> s</w:t>
      </w:r>
      <w:r w:rsidRPr="00EB018C">
        <w:t xml:space="preserve"> všesměrnou expozicí; celkovým obsahem skeletu 25 - 50 %; hluboké až středně hluboké v mírně teplém, mírně</w:t>
      </w:r>
      <w:r>
        <w:t xml:space="preserve"> </w:t>
      </w:r>
      <w:r w:rsidRPr="00EB018C">
        <w:t>vlhkém klimatickém regionu a produkčně málo významné</w:t>
      </w:r>
    </w:p>
    <w:p w14:paraId="5B5F555F" w14:textId="77777777" w:rsidR="004A6138" w:rsidRPr="00EB018C" w:rsidRDefault="004A6138" w:rsidP="004A6138">
      <w:r w:rsidRPr="00EB018C">
        <w:t xml:space="preserve"> [zdroj: eKatalog BPEJ, bpej.vumop.cz]</w:t>
      </w:r>
    </w:p>
    <w:p w14:paraId="2D9CE01B" w14:textId="77777777" w:rsidR="0026591A" w:rsidRPr="00B609FA" w:rsidRDefault="0026591A" w:rsidP="008A41F9">
      <w:pPr>
        <w:pStyle w:val="Nadpis4"/>
      </w:pPr>
      <w:r w:rsidRPr="00B609FA">
        <w:t>Struktura zemědělského půdního fondu</w:t>
      </w:r>
    </w:p>
    <w:p w14:paraId="764E3C81" w14:textId="77777777" w:rsidR="0026591A" w:rsidRPr="00DF70DC" w:rsidRDefault="0026591A" w:rsidP="00E0465E">
      <w:r w:rsidRPr="00B609FA">
        <w:t xml:space="preserve">Pozemky zemědělského půdního fondu byly stabilizovány jako plochy smíšené nezastavěného území. Řešením územního plánu nedojde k narušení stávajícího uspořádání zemědělského půdního fondu a ekologické stability krajiny, územní plán vymezil stávající i navrhované skladebné části ÚSES a respektoval jejich vymezení dle platných hranic pozemků. Skladebné části ÚSES jsou řešeny na plochách, které nejsou </w:t>
      </w:r>
      <w:r w:rsidRPr="00DF70DC">
        <w:t>v konfliktu plochami určenými k zástavbě.</w:t>
      </w:r>
    </w:p>
    <w:p w14:paraId="2A00538D" w14:textId="77777777" w:rsidR="0026591A" w:rsidRPr="00DF70DC" w:rsidRDefault="0026591A" w:rsidP="00E0465E">
      <w:r w:rsidRPr="00DF70DC">
        <w:t>Struktura půdního fondu v řešeném území je podrobně analyzována v tabulce. Největší plochy zemědělské půdy se nachází v k.ú. Posluchov (70% výměry zemědělské půdy v k.ú.).</w:t>
      </w:r>
    </w:p>
    <w:p w14:paraId="235A5235" w14:textId="77777777" w:rsidR="0026591A" w:rsidRPr="00250EA5" w:rsidRDefault="0026591A" w:rsidP="00E0465E">
      <w:r w:rsidRPr="00250EA5">
        <w:t>Struktura půdního fondu (ha), ke dni 18.6.2025</w:t>
      </w:r>
    </w:p>
    <w:tbl>
      <w:tblPr>
        <w:tblW w:w="8504" w:type="dxa"/>
        <w:tblBorders>
          <w:top w:val="dashSmallGap" w:sz="4" w:space="0" w:color="auto"/>
          <w:bottom w:val="dashSmallGap" w:sz="4" w:space="0" w:color="auto"/>
          <w:insideH w:val="dashSmallGap" w:sz="4" w:space="0" w:color="auto"/>
        </w:tblBorders>
        <w:tblLayout w:type="fixed"/>
        <w:tblCellMar>
          <w:left w:w="70" w:type="dxa"/>
          <w:right w:w="70" w:type="dxa"/>
        </w:tblCellMar>
        <w:tblLook w:val="04A0" w:firstRow="1" w:lastRow="0" w:firstColumn="1" w:lastColumn="0" w:noHBand="0" w:noVBand="1"/>
      </w:tblPr>
      <w:tblGrid>
        <w:gridCol w:w="993"/>
        <w:gridCol w:w="709"/>
        <w:gridCol w:w="709"/>
        <w:gridCol w:w="566"/>
        <w:gridCol w:w="709"/>
        <w:gridCol w:w="708"/>
        <w:gridCol w:w="567"/>
        <w:gridCol w:w="709"/>
        <w:gridCol w:w="709"/>
        <w:gridCol w:w="709"/>
        <w:gridCol w:w="708"/>
        <w:gridCol w:w="708"/>
      </w:tblGrid>
      <w:tr w:rsidR="0026591A" w:rsidRPr="00250EA5" w14:paraId="04F2032D" w14:textId="77777777" w:rsidTr="00E0465E">
        <w:trPr>
          <w:trHeight w:val="315"/>
        </w:trPr>
        <w:tc>
          <w:tcPr>
            <w:tcW w:w="993" w:type="dxa"/>
            <w:vMerge w:val="restart"/>
            <w:tcBorders>
              <w:top w:val="dashSmallGap" w:sz="4" w:space="0" w:color="auto"/>
              <w:left w:val="nil"/>
              <w:bottom w:val="dashSmallGap" w:sz="4" w:space="0" w:color="auto"/>
              <w:right w:val="nil"/>
            </w:tcBorders>
            <w:vAlign w:val="center"/>
            <w:hideMark/>
          </w:tcPr>
          <w:p w14:paraId="5B107519" w14:textId="77777777" w:rsidR="0026591A" w:rsidRPr="00250EA5" w:rsidRDefault="0026591A" w:rsidP="00711D49">
            <w:pPr>
              <w:ind w:left="0"/>
              <w:rPr>
                <w:rFonts w:cs="Calibri"/>
                <w:b/>
                <w:sz w:val="16"/>
                <w:szCs w:val="16"/>
              </w:rPr>
            </w:pPr>
            <w:r w:rsidRPr="00250EA5">
              <w:rPr>
                <w:rFonts w:cs="Calibri"/>
                <w:b/>
                <w:sz w:val="16"/>
                <w:szCs w:val="16"/>
              </w:rPr>
              <w:t>k.ú.</w:t>
            </w:r>
          </w:p>
        </w:tc>
        <w:tc>
          <w:tcPr>
            <w:tcW w:w="709" w:type="dxa"/>
            <w:vMerge w:val="restart"/>
            <w:tcBorders>
              <w:top w:val="dashSmallGap" w:sz="4" w:space="0" w:color="auto"/>
              <w:left w:val="nil"/>
              <w:bottom w:val="dashSmallGap" w:sz="4" w:space="0" w:color="auto"/>
              <w:right w:val="nil"/>
            </w:tcBorders>
            <w:vAlign w:val="center"/>
            <w:hideMark/>
          </w:tcPr>
          <w:p w14:paraId="2169229D" w14:textId="77777777" w:rsidR="0026591A" w:rsidRPr="00250EA5" w:rsidRDefault="0026591A" w:rsidP="00711D49">
            <w:pPr>
              <w:ind w:left="0"/>
              <w:jc w:val="right"/>
              <w:rPr>
                <w:rFonts w:cs="Calibri"/>
                <w:b/>
                <w:sz w:val="16"/>
                <w:szCs w:val="16"/>
              </w:rPr>
            </w:pPr>
            <w:r w:rsidRPr="00250EA5">
              <w:rPr>
                <w:rFonts w:cs="Calibri"/>
                <w:b/>
                <w:sz w:val="16"/>
                <w:szCs w:val="16"/>
              </w:rPr>
              <w:t>výměra k.ú. (ha)</w:t>
            </w:r>
          </w:p>
        </w:tc>
        <w:tc>
          <w:tcPr>
            <w:tcW w:w="2690" w:type="dxa"/>
            <w:gridSpan w:val="4"/>
            <w:tcBorders>
              <w:top w:val="dashSmallGap" w:sz="4" w:space="0" w:color="auto"/>
              <w:left w:val="nil"/>
              <w:bottom w:val="dashSmallGap" w:sz="4" w:space="0" w:color="auto"/>
              <w:right w:val="nil"/>
            </w:tcBorders>
            <w:shd w:val="clear" w:color="auto" w:fill="FFFFFF"/>
            <w:vAlign w:val="center"/>
            <w:hideMark/>
          </w:tcPr>
          <w:p w14:paraId="5961B567" w14:textId="77777777" w:rsidR="0026591A" w:rsidRPr="00250EA5" w:rsidRDefault="0026591A" w:rsidP="00711D49">
            <w:pPr>
              <w:ind w:left="0"/>
              <w:rPr>
                <w:rFonts w:cs="Calibri"/>
                <w:b/>
                <w:sz w:val="16"/>
                <w:szCs w:val="16"/>
              </w:rPr>
            </w:pPr>
            <w:r w:rsidRPr="00250EA5">
              <w:rPr>
                <w:rFonts w:cs="Calibri"/>
                <w:b/>
                <w:sz w:val="16"/>
                <w:szCs w:val="16"/>
              </w:rPr>
              <w:t>zemědělská půda dle kultury</w:t>
            </w:r>
          </w:p>
        </w:tc>
        <w:tc>
          <w:tcPr>
            <w:tcW w:w="3402" w:type="dxa"/>
            <w:gridSpan w:val="5"/>
            <w:tcBorders>
              <w:top w:val="dashSmallGap" w:sz="4" w:space="0" w:color="auto"/>
              <w:left w:val="nil"/>
              <w:bottom w:val="dashSmallGap" w:sz="4" w:space="0" w:color="auto"/>
              <w:right w:val="nil"/>
            </w:tcBorders>
            <w:shd w:val="clear" w:color="auto" w:fill="FFFFFF"/>
            <w:vAlign w:val="center"/>
            <w:hideMark/>
          </w:tcPr>
          <w:p w14:paraId="14791E7E" w14:textId="77777777" w:rsidR="0026591A" w:rsidRPr="00250EA5" w:rsidRDefault="0026591A" w:rsidP="00711D49">
            <w:pPr>
              <w:ind w:left="0"/>
              <w:rPr>
                <w:rFonts w:cs="Calibri"/>
                <w:b/>
                <w:sz w:val="16"/>
                <w:szCs w:val="16"/>
              </w:rPr>
            </w:pPr>
            <w:r w:rsidRPr="00250EA5">
              <w:rPr>
                <w:rFonts w:cs="Calibri"/>
                <w:b/>
                <w:sz w:val="16"/>
                <w:szCs w:val="16"/>
              </w:rPr>
              <w:t>zemědělská půda dle třídy ochrany</w:t>
            </w:r>
          </w:p>
        </w:tc>
        <w:tc>
          <w:tcPr>
            <w:tcW w:w="708" w:type="dxa"/>
            <w:vMerge w:val="restart"/>
            <w:tcBorders>
              <w:top w:val="dashSmallGap" w:sz="4" w:space="0" w:color="auto"/>
              <w:left w:val="nil"/>
              <w:bottom w:val="dashSmallGap" w:sz="4" w:space="0" w:color="auto"/>
              <w:right w:val="nil"/>
            </w:tcBorders>
            <w:shd w:val="clear" w:color="auto" w:fill="FFFFFF"/>
            <w:textDirection w:val="btLr"/>
            <w:vAlign w:val="center"/>
            <w:hideMark/>
          </w:tcPr>
          <w:p w14:paraId="059374BC" w14:textId="77777777" w:rsidR="0026591A" w:rsidRPr="00250EA5" w:rsidRDefault="0026591A" w:rsidP="00711D49">
            <w:pPr>
              <w:ind w:left="0"/>
              <w:jc w:val="left"/>
              <w:rPr>
                <w:rFonts w:cs="Calibri"/>
                <w:b/>
                <w:bCs/>
                <w:sz w:val="16"/>
                <w:szCs w:val="16"/>
              </w:rPr>
            </w:pPr>
            <w:r w:rsidRPr="00250EA5">
              <w:rPr>
                <w:rFonts w:cs="Calibri"/>
                <w:b/>
                <w:bCs/>
                <w:sz w:val="16"/>
                <w:szCs w:val="16"/>
              </w:rPr>
              <w:t>ZPF celkem</w:t>
            </w:r>
          </w:p>
        </w:tc>
      </w:tr>
      <w:tr w:rsidR="0026591A" w:rsidRPr="00250EA5" w14:paraId="68E8C0A0" w14:textId="77777777" w:rsidTr="00E0465E">
        <w:trPr>
          <w:trHeight w:val="615"/>
        </w:trPr>
        <w:tc>
          <w:tcPr>
            <w:tcW w:w="993" w:type="dxa"/>
            <w:vMerge/>
            <w:tcBorders>
              <w:top w:val="dashSmallGap" w:sz="4" w:space="0" w:color="auto"/>
              <w:left w:val="nil"/>
              <w:bottom w:val="dashSmallGap" w:sz="4" w:space="0" w:color="auto"/>
              <w:right w:val="nil"/>
            </w:tcBorders>
            <w:vAlign w:val="center"/>
            <w:hideMark/>
          </w:tcPr>
          <w:p w14:paraId="537095A3" w14:textId="77777777" w:rsidR="0026591A" w:rsidRPr="00250EA5" w:rsidRDefault="0026591A" w:rsidP="00711D49">
            <w:pPr>
              <w:ind w:left="0"/>
              <w:jc w:val="left"/>
              <w:rPr>
                <w:rFonts w:cs="Calibri"/>
                <w:b/>
                <w:sz w:val="16"/>
                <w:szCs w:val="16"/>
              </w:rPr>
            </w:pPr>
          </w:p>
        </w:tc>
        <w:tc>
          <w:tcPr>
            <w:tcW w:w="709" w:type="dxa"/>
            <w:vMerge/>
            <w:tcBorders>
              <w:top w:val="dashSmallGap" w:sz="4" w:space="0" w:color="auto"/>
              <w:left w:val="nil"/>
              <w:bottom w:val="dashSmallGap" w:sz="4" w:space="0" w:color="auto"/>
              <w:right w:val="nil"/>
            </w:tcBorders>
            <w:vAlign w:val="center"/>
            <w:hideMark/>
          </w:tcPr>
          <w:p w14:paraId="21296236" w14:textId="77777777" w:rsidR="0026591A" w:rsidRPr="00250EA5" w:rsidRDefault="0026591A" w:rsidP="00711D49">
            <w:pPr>
              <w:ind w:left="0"/>
              <w:jc w:val="left"/>
              <w:rPr>
                <w:rFonts w:cs="Calibri"/>
                <w:b/>
                <w:sz w:val="16"/>
                <w:szCs w:val="16"/>
              </w:rPr>
            </w:pPr>
          </w:p>
        </w:tc>
        <w:tc>
          <w:tcPr>
            <w:tcW w:w="709" w:type="dxa"/>
            <w:tcBorders>
              <w:top w:val="dashSmallGap" w:sz="4" w:space="0" w:color="auto"/>
              <w:left w:val="nil"/>
              <w:bottom w:val="dashSmallGap" w:sz="4" w:space="0" w:color="auto"/>
              <w:right w:val="nil"/>
            </w:tcBorders>
            <w:shd w:val="clear" w:color="auto" w:fill="FFFFFF"/>
            <w:textDirection w:val="btLr"/>
            <w:vAlign w:val="center"/>
            <w:hideMark/>
          </w:tcPr>
          <w:p w14:paraId="4BA97CD8" w14:textId="77777777" w:rsidR="0026591A" w:rsidRPr="00250EA5" w:rsidRDefault="0026591A" w:rsidP="00711D49">
            <w:pPr>
              <w:ind w:left="0"/>
              <w:jc w:val="left"/>
              <w:rPr>
                <w:rFonts w:cs="Calibri"/>
                <w:b/>
                <w:sz w:val="16"/>
                <w:szCs w:val="16"/>
              </w:rPr>
            </w:pPr>
            <w:r w:rsidRPr="00250EA5">
              <w:rPr>
                <w:rFonts w:cs="Calibri"/>
                <w:b/>
                <w:sz w:val="16"/>
                <w:szCs w:val="16"/>
              </w:rPr>
              <w:t>orná půda</w:t>
            </w:r>
          </w:p>
        </w:tc>
        <w:tc>
          <w:tcPr>
            <w:tcW w:w="566" w:type="dxa"/>
            <w:tcBorders>
              <w:top w:val="dashSmallGap" w:sz="4" w:space="0" w:color="auto"/>
              <w:left w:val="nil"/>
              <w:bottom w:val="dashSmallGap" w:sz="4" w:space="0" w:color="auto"/>
              <w:right w:val="nil"/>
            </w:tcBorders>
            <w:shd w:val="clear" w:color="auto" w:fill="FFFFFF"/>
            <w:textDirection w:val="btLr"/>
            <w:vAlign w:val="center"/>
            <w:hideMark/>
          </w:tcPr>
          <w:p w14:paraId="40275265" w14:textId="77777777" w:rsidR="0026591A" w:rsidRPr="00250EA5" w:rsidRDefault="0026591A" w:rsidP="00711D49">
            <w:pPr>
              <w:ind w:left="0"/>
              <w:jc w:val="left"/>
              <w:rPr>
                <w:rFonts w:cs="Calibri"/>
                <w:b/>
                <w:sz w:val="16"/>
                <w:szCs w:val="16"/>
              </w:rPr>
            </w:pPr>
            <w:r w:rsidRPr="00250EA5">
              <w:rPr>
                <w:rFonts w:cs="Calibri"/>
                <w:b/>
                <w:sz w:val="16"/>
                <w:szCs w:val="16"/>
              </w:rPr>
              <w:t>zahrada</w:t>
            </w:r>
          </w:p>
        </w:tc>
        <w:tc>
          <w:tcPr>
            <w:tcW w:w="709" w:type="dxa"/>
            <w:tcBorders>
              <w:top w:val="dashSmallGap" w:sz="4" w:space="0" w:color="auto"/>
              <w:left w:val="nil"/>
              <w:bottom w:val="dashSmallGap" w:sz="4" w:space="0" w:color="auto"/>
              <w:right w:val="nil"/>
            </w:tcBorders>
            <w:shd w:val="clear" w:color="auto" w:fill="FFFFFF"/>
            <w:textDirection w:val="btLr"/>
            <w:vAlign w:val="center"/>
            <w:hideMark/>
          </w:tcPr>
          <w:p w14:paraId="3F90C40F" w14:textId="77777777" w:rsidR="0026591A" w:rsidRPr="00250EA5" w:rsidRDefault="0026591A" w:rsidP="00711D49">
            <w:pPr>
              <w:ind w:left="0"/>
              <w:jc w:val="left"/>
              <w:rPr>
                <w:rFonts w:cs="Calibri"/>
                <w:b/>
                <w:sz w:val="16"/>
                <w:szCs w:val="16"/>
              </w:rPr>
            </w:pPr>
            <w:r w:rsidRPr="00250EA5">
              <w:rPr>
                <w:rFonts w:cs="Calibri"/>
                <w:b/>
                <w:sz w:val="16"/>
                <w:szCs w:val="16"/>
              </w:rPr>
              <w:t>ovocný sad</w:t>
            </w:r>
          </w:p>
        </w:tc>
        <w:tc>
          <w:tcPr>
            <w:tcW w:w="708" w:type="dxa"/>
            <w:tcBorders>
              <w:top w:val="dashSmallGap" w:sz="4" w:space="0" w:color="auto"/>
              <w:left w:val="nil"/>
              <w:bottom w:val="dashSmallGap" w:sz="4" w:space="0" w:color="auto"/>
              <w:right w:val="nil"/>
            </w:tcBorders>
            <w:shd w:val="clear" w:color="auto" w:fill="FFFFFF"/>
            <w:textDirection w:val="btLr"/>
            <w:vAlign w:val="center"/>
            <w:hideMark/>
          </w:tcPr>
          <w:p w14:paraId="2FBE4559" w14:textId="77777777" w:rsidR="0026591A" w:rsidRPr="00250EA5" w:rsidRDefault="0026591A" w:rsidP="00711D49">
            <w:pPr>
              <w:ind w:left="0"/>
              <w:jc w:val="left"/>
              <w:rPr>
                <w:rFonts w:cs="Calibri"/>
                <w:b/>
                <w:sz w:val="16"/>
                <w:szCs w:val="16"/>
              </w:rPr>
            </w:pPr>
            <w:r w:rsidRPr="00250EA5">
              <w:rPr>
                <w:rFonts w:cs="Calibri"/>
                <w:b/>
                <w:sz w:val="16"/>
                <w:szCs w:val="16"/>
              </w:rPr>
              <w:t>trvalý travní porost</w:t>
            </w:r>
          </w:p>
        </w:tc>
        <w:tc>
          <w:tcPr>
            <w:tcW w:w="567" w:type="dxa"/>
            <w:tcBorders>
              <w:top w:val="dashSmallGap" w:sz="4" w:space="0" w:color="auto"/>
              <w:left w:val="nil"/>
              <w:bottom w:val="dashSmallGap" w:sz="4" w:space="0" w:color="auto"/>
              <w:right w:val="nil"/>
            </w:tcBorders>
            <w:shd w:val="clear" w:color="auto" w:fill="FFFFFF"/>
            <w:textDirection w:val="btLr"/>
            <w:vAlign w:val="center"/>
            <w:hideMark/>
          </w:tcPr>
          <w:p w14:paraId="31772F44" w14:textId="77777777" w:rsidR="0026591A" w:rsidRPr="00250EA5" w:rsidRDefault="0026591A" w:rsidP="00711D49">
            <w:pPr>
              <w:ind w:left="0"/>
              <w:jc w:val="left"/>
              <w:rPr>
                <w:rFonts w:cs="Calibri"/>
                <w:b/>
                <w:sz w:val="16"/>
                <w:szCs w:val="16"/>
              </w:rPr>
            </w:pPr>
            <w:r w:rsidRPr="00250EA5">
              <w:rPr>
                <w:rFonts w:cs="Calibri"/>
                <w:b/>
                <w:sz w:val="16"/>
                <w:szCs w:val="16"/>
              </w:rPr>
              <w:t>I. třída</w:t>
            </w:r>
          </w:p>
        </w:tc>
        <w:tc>
          <w:tcPr>
            <w:tcW w:w="709" w:type="dxa"/>
            <w:tcBorders>
              <w:top w:val="dashSmallGap" w:sz="4" w:space="0" w:color="auto"/>
              <w:left w:val="nil"/>
              <w:bottom w:val="dashSmallGap" w:sz="4" w:space="0" w:color="auto"/>
              <w:right w:val="nil"/>
            </w:tcBorders>
            <w:shd w:val="clear" w:color="auto" w:fill="FFFFFF"/>
            <w:textDirection w:val="btLr"/>
            <w:vAlign w:val="center"/>
            <w:hideMark/>
          </w:tcPr>
          <w:p w14:paraId="445D0591" w14:textId="77777777" w:rsidR="0026591A" w:rsidRPr="00250EA5" w:rsidRDefault="0026591A" w:rsidP="00711D49">
            <w:pPr>
              <w:ind w:left="0"/>
              <w:jc w:val="left"/>
              <w:rPr>
                <w:rFonts w:cs="Calibri"/>
                <w:b/>
                <w:sz w:val="16"/>
                <w:szCs w:val="16"/>
              </w:rPr>
            </w:pPr>
            <w:r w:rsidRPr="00250EA5">
              <w:rPr>
                <w:rFonts w:cs="Calibri"/>
                <w:b/>
                <w:sz w:val="16"/>
                <w:szCs w:val="16"/>
              </w:rPr>
              <w:t>II. třída</w:t>
            </w:r>
          </w:p>
        </w:tc>
        <w:tc>
          <w:tcPr>
            <w:tcW w:w="709" w:type="dxa"/>
            <w:tcBorders>
              <w:top w:val="dashSmallGap" w:sz="4" w:space="0" w:color="auto"/>
              <w:left w:val="nil"/>
              <w:bottom w:val="dashSmallGap" w:sz="4" w:space="0" w:color="auto"/>
              <w:right w:val="nil"/>
            </w:tcBorders>
            <w:shd w:val="clear" w:color="auto" w:fill="FFFFFF"/>
            <w:textDirection w:val="btLr"/>
            <w:vAlign w:val="center"/>
            <w:hideMark/>
          </w:tcPr>
          <w:p w14:paraId="3FAB588D" w14:textId="77777777" w:rsidR="0026591A" w:rsidRPr="00250EA5" w:rsidRDefault="0026591A" w:rsidP="00711D49">
            <w:pPr>
              <w:ind w:left="0"/>
              <w:jc w:val="left"/>
              <w:rPr>
                <w:rFonts w:cs="Calibri"/>
                <w:b/>
                <w:sz w:val="16"/>
                <w:szCs w:val="16"/>
              </w:rPr>
            </w:pPr>
            <w:r w:rsidRPr="00250EA5">
              <w:rPr>
                <w:rFonts w:cs="Calibri"/>
                <w:b/>
                <w:sz w:val="16"/>
                <w:szCs w:val="16"/>
              </w:rPr>
              <w:t>III. třída</w:t>
            </w:r>
          </w:p>
        </w:tc>
        <w:tc>
          <w:tcPr>
            <w:tcW w:w="709" w:type="dxa"/>
            <w:tcBorders>
              <w:top w:val="dashSmallGap" w:sz="4" w:space="0" w:color="auto"/>
              <w:left w:val="nil"/>
              <w:bottom w:val="dashSmallGap" w:sz="4" w:space="0" w:color="auto"/>
              <w:right w:val="nil"/>
            </w:tcBorders>
            <w:shd w:val="clear" w:color="auto" w:fill="FFFFFF"/>
            <w:textDirection w:val="btLr"/>
            <w:vAlign w:val="center"/>
            <w:hideMark/>
          </w:tcPr>
          <w:p w14:paraId="2B710100" w14:textId="77777777" w:rsidR="0026591A" w:rsidRPr="00250EA5" w:rsidRDefault="0026591A" w:rsidP="00711D49">
            <w:pPr>
              <w:ind w:left="0"/>
              <w:jc w:val="left"/>
              <w:rPr>
                <w:rFonts w:cs="Calibri"/>
                <w:b/>
                <w:sz w:val="16"/>
                <w:szCs w:val="16"/>
              </w:rPr>
            </w:pPr>
            <w:r w:rsidRPr="00250EA5">
              <w:rPr>
                <w:rFonts w:cs="Calibri"/>
                <w:b/>
                <w:sz w:val="16"/>
                <w:szCs w:val="16"/>
              </w:rPr>
              <w:t>IV. třída</w:t>
            </w:r>
          </w:p>
        </w:tc>
        <w:tc>
          <w:tcPr>
            <w:tcW w:w="708" w:type="dxa"/>
            <w:tcBorders>
              <w:top w:val="dashSmallGap" w:sz="4" w:space="0" w:color="auto"/>
              <w:left w:val="nil"/>
              <w:bottom w:val="dashSmallGap" w:sz="4" w:space="0" w:color="auto"/>
              <w:right w:val="nil"/>
            </w:tcBorders>
            <w:shd w:val="clear" w:color="auto" w:fill="FFFFFF"/>
            <w:textDirection w:val="btLr"/>
            <w:vAlign w:val="center"/>
            <w:hideMark/>
          </w:tcPr>
          <w:p w14:paraId="2940266E" w14:textId="77777777" w:rsidR="0026591A" w:rsidRPr="00250EA5" w:rsidRDefault="0026591A" w:rsidP="00711D49">
            <w:pPr>
              <w:ind w:left="0"/>
              <w:jc w:val="left"/>
              <w:rPr>
                <w:rFonts w:cs="Calibri"/>
                <w:b/>
                <w:sz w:val="16"/>
                <w:szCs w:val="16"/>
              </w:rPr>
            </w:pPr>
            <w:r w:rsidRPr="00250EA5">
              <w:rPr>
                <w:rFonts w:cs="Calibri"/>
                <w:b/>
                <w:sz w:val="16"/>
                <w:szCs w:val="16"/>
              </w:rPr>
              <w:t>V. třída</w:t>
            </w:r>
          </w:p>
        </w:tc>
        <w:tc>
          <w:tcPr>
            <w:tcW w:w="708" w:type="dxa"/>
            <w:vMerge/>
            <w:tcBorders>
              <w:top w:val="dashSmallGap" w:sz="4" w:space="0" w:color="auto"/>
              <w:left w:val="nil"/>
              <w:bottom w:val="dashSmallGap" w:sz="4" w:space="0" w:color="auto"/>
              <w:right w:val="nil"/>
            </w:tcBorders>
            <w:vAlign w:val="center"/>
            <w:hideMark/>
          </w:tcPr>
          <w:p w14:paraId="1D0F241A" w14:textId="77777777" w:rsidR="0026591A" w:rsidRPr="00250EA5" w:rsidRDefault="0026591A" w:rsidP="00711D49">
            <w:pPr>
              <w:ind w:left="0"/>
              <w:jc w:val="left"/>
              <w:rPr>
                <w:rFonts w:cs="Calibri"/>
                <w:b/>
                <w:bCs/>
                <w:sz w:val="16"/>
                <w:szCs w:val="16"/>
              </w:rPr>
            </w:pPr>
          </w:p>
        </w:tc>
      </w:tr>
      <w:tr w:rsidR="0026591A" w:rsidRPr="00250EA5" w14:paraId="2ACF3261" w14:textId="77777777" w:rsidTr="00E0465E">
        <w:trPr>
          <w:trHeight w:val="300"/>
        </w:trPr>
        <w:tc>
          <w:tcPr>
            <w:tcW w:w="993" w:type="dxa"/>
            <w:tcBorders>
              <w:top w:val="dashSmallGap" w:sz="4" w:space="0" w:color="auto"/>
              <w:left w:val="nil"/>
              <w:bottom w:val="dashSmallGap" w:sz="4" w:space="0" w:color="auto"/>
              <w:right w:val="nil"/>
            </w:tcBorders>
            <w:vAlign w:val="center"/>
            <w:hideMark/>
          </w:tcPr>
          <w:p w14:paraId="4432A965" w14:textId="77777777" w:rsidR="0026591A" w:rsidRPr="00250EA5" w:rsidRDefault="0026591A" w:rsidP="00711D49">
            <w:pPr>
              <w:ind w:left="0"/>
              <w:rPr>
                <w:rFonts w:cs="Calibri"/>
                <w:sz w:val="16"/>
                <w:szCs w:val="16"/>
              </w:rPr>
            </w:pPr>
            <w:r w:rsidRPr="00250EA5">
              <w:rPr>
                <w:rFonts w:cs="Calibri"/>
                <w:sz w:val="16"/>
                <w:szCs w:val="16"/>
              </w:rPr>
              <w:t>Hlubočky</w:t>
            </w:r>
          </w:p>
        </w:tc>
        <w:tc>
          <w:tcPr>
            <w:tcW w:w="709" w:type="dxa"/>
            <w:tcBorders>
              <w:top w:val="dashSmallGap" w:sz="4" w:space="0" w:color="auto"/>
              <w:left w:val="nil"/>
              <w:bottom w:val="dashSmallGap" w:sz="4" w:space="0" w:color="auto"/>
              <w:right w:val="nil"/>
            </w:tcBorders>
            <w:vAlign w:val="center"/>
            <w:hideMark/>
          </w:tcPr>
          <w:p w14:paraId="6699576A" w14:textId="77777777" w:rsidR="0026591A" w:rsidRPr="00250EA5" w:rsidRDefault="0026591A" w:rsidP="00711D49">
            <w:pPr>
              <w:ind w:left="0"/>
              <w:jc w:val="right"/>
              <w:rPr>
                <w:rFonts w:cs="Calibri"/>
                <w:sz w:val="16"/>
                <w:szCs w:val="16"/>
              </w:rPr>
            </w:pPr>
            <w:r w:rsidRPr="00250EA5">
              <w:rPr>
                <w:rFonts w:cs="Calibri"/>
                <w:sz w:val="16"/>
                <w:szCs w:val="16"/>
              </w:rPr>
              <w:t>598,16</w:t>
            </w:r>
          </w:p>
        </w:tc>
        <w:tc>
          <w:tcPr>
            <w:tcW w:w="709" w:type="dxa"/>
            <w:tcBorders>
              <w:top w:val="dashSmallGap" w:sz="4" w:space="0" w:color="auto"/>
              <w:left w:val="nil"/>
              <w:bottom w:val="dashSmallGap" w:sz="4" w:space="0" w:color="auto"/>
              <w:right w:val="nil"/>
            </w:tcBorders>
            <w:shd w:val="clear" w:color="auto" w:fill="FFFFFF"/>
            <w:vAlign w:val="center"/>
            <w:hideMark/>
          </w:tcPr>
          <w:p w14:paraId="23BB618A" w14:textId="77777777" w:rsidR="0026591A" w:rsidRPr="00250EA5" w:rsidRDefault="0026591A" w:rsidP="00711D49">
            <w:pPr>
              <w:ind w:left="0"/>
              <w:jc w:val="right"/>
              <w:rPr>
                <w:rFonts w:cs="Calibri"/>
                <w:sz w:val="16"/>
                <w:szCs w:val="16"/>
              </w:rPr>
            </w:pPr>
            <w:r w:rsidRPr="00250EA5">
              <w:rPr>
                <w:rFonts w:cs="Calibri"/>
                <w:sz w:val="16"/>
                <w:szCs w:val="16"/>
              </w:rPr>
              <w:t>0,91</w:t>
            </w:r>
          </w:p>
        </w:tc>
        <w:tc>
          <w:tcPr>
            <w:tcW w:w="566" w:type="dxa"/>
            <w:tcBorders>
              <w:top w:val="dashSmallGap" w:sz="4" w:space="0" w:color="auto"/>
              <w:left w:val="nil"/>
              <w:bottom w:val="dashSmallGap" w:sz="4" w:space="0" w:color="auto"/>
              <w:right w:val="nil"/>
            </w:tcBorders>
            <w:shd w:val="clear" w:color="auto" w:fill="FFFFFF"/>
            <w:vAlign w:val="center"/>
            <w:hideMark/>
          </w:tcPr>
          <w:p w14:paraId="6699B16A" w14:textId="77777777" w:rsidR="0026591A" w:rsidRPr="00250EA5" w:rsidRDefault="0026591A" w:rsidP="00711D49">
            <w:pPr>
              <w:ind w:left="0"/>
              <w:jc w:val="right"/>
              <w:rPr>
                <w:rFonts w:cs="Calibri"/>
                <w:sz w:val="16"/>
                <w:szCs w:val="16"/>
              </w:rPr>
            </w:pPr>
            <w:r w:rsidRPr="00250EA5">
              <w:rPr>
                <w:rFonts w:cs="Calibri"/>
                <w:sz w:val="16"/>
                <w:szCs w:val="16"/>
              </w:rPr>
              <w:t>37,40</w:t>
            </w:r>
          </w:p>
        </w:tc>
        <w:tc>
          <w:tcPr>
            <w:tcW w:w="709" w:type="dxa"/>
            <w:tcBorders>
              <w:top w:val="dashSmallGap" w:sz="4" w:space="0" w:color="auto"/>
              <w:left w:val="nil"/>
              <w:bottom w:val="dashSmallGap" w:sz="4" w:space="0" w:color="auto"/>
              <w:right w:val="nil"/>
            </w:tcBorders>
            <w:shd w:val="clear" w:color="auto" w:fill="FFFFFF"/>
            <w:vAlign w:val="center"/>
            <w:hideMark/>
          </w:tcPr>
          <w:p w14:paraId="313817E2" w14:textId="77777777" w:rsidR="0026591A" w:rsidRPr="00250EA5" w:rsidRDefault="0026591A" w:rsidP="00711D49">
            <w:pPr>
              <w:ind w:left="0"/>
              <w:jc w:val="right"/>
              <w:rPr>
                <w:rFonts w:cs="Calibri"/>
                <w:sz w:val="16"/>
                <w:szCs w:val="16"/>
              </w:rPr>
            </w:pPr>
            <w:r w:rsidRPr="00250EA5">
              <w:rPr>
                <w:rFonts w:cs="Calibri"/>
                <w:sz w:val="16"/>
                <w:szCs w:val="16"/>
              </w:rPr>
              <w:t>0,00</w:t>
            </w:r>
          </w:p>
        </w:tc>
        <w:tc>
          <w:tcPr>
            <w:tcW w:w="708" w:type="dxa"/>
            <w:tcBorders>
              <w:top w:val="dashSmallGap" w:sz="4" w:space="0" w:color="auto"/>
              <w:left w:val="nil"/>
              <w:bottom w:val="dashSmallGap" w:sz="4" w:space="0" w:color="auto"/>
              <w:right w:val="nil"/>
            </w:tcBorders>
            <w:shd w:val="clear" w:color="auto" w:fill="FFFFFF"/>
            <w:vAlign w:val="center"/>
            <w:hideMark/>
          </w:tcPr>
          <w:p w14:paraId="4FF913EA" w14:textId="77777777" w:rsidR="0026591A" w:rsidRPr="00250EA5" w:rsidRDefault="0026591A" w:rsidP="00711D49">
            <w:pPr>
              <w:ind w:left="0"/>
              <w:jc w:val="right"/>
              <w:rPr>
                <w:rFonts w:cs="Calibri"/>
                <w:sz w:val="16"/>
                <w:szCs w:val="16"/>
              </w:rPr>
            </w:pPr>
            <w:r w:rsidRPr="00250EA5">
              <w:rPr>
                <w:rFonts w:cs="Calibri"/>
                <w:sz w:val="16"/>
                <w:szCs w:val="16"/>
              </w:rPr>
              <w:t>178,38</w:t>
            </w:r>
          </w:p>
        </w:tc>
        <w:tc>
          <w:tcPr>
            <w:tcW w:w="567" w:type="dxa"/>
            <w:tcBorders>
              <w:top w:val="dashSmallGap" w:sz="4" w:space="0" w:color="auto"/>
              <w:left w:val="nil"/>
              <w:bottom w:val="dashSmallGap" w:sz="4" w:space="0" w:color="auto"/>
              <w:right w:val="nil"/>
            </w:tcBorders>
            <w:shd w:val="clear" w:color="auto" w:fill="FFFFFF"/>
            <w:vAlign w:val="center"/>
            <w:hideMark/>
          </w:tcPr>
          <w:p w14:paraId="217DD78B" w14:textId="77777777" w:rsidR="0026591A" w:rsidRPr="00250EA5" w:rsidRDefault="0026591A" w:rsidP="00711D49">
            <w:pPr>
              <w:ind w:left="0"/>
              <w:jc w:val="right"/>
              <w:rPr>
                <w:rFonts w:cs="Calibri"/>
                <w:sz w:val="16"/>
                <w:szCs w:val="16"/>
              </w:rPr>
            </w:pPr>
            <w:r w:rsidRPr="00250EA5">
              <w:rPr>
                <w:rFonts w:cs="Calibri"/>
                <w:sz w:val="16"/>
                <w:szCs w:val="16"/>
              </w:rPr>
              <w:t>11,66</w:t>
            </w:r>
          </w:p>
        </w:tc>
        <w:tc>
          <w:tcPr>
            <w:tcW w:w="709" w:type="dxa"/>
            <w:tcBorders>
              <w:top w:val="dashSmallGap" w:sz="4" w:space="0" w:color="auto"/>
              <w:left w:val="nil"/>
              <w:bottom w:val="dashSmallGap" w:sz="4" w:space="0" w:color="auto"/>
              <w:right w:val="nil"/>
            </w:tcBorders>
            <w:shd w:val="clear" w:color="auto" w:fill="FFFFFF"/>
            <w:vAlign w:val="center"/>
            <w:hideMark/>
          </w:tcPr>
          <w:p w14:paraId="73C2B9AC" w14:textId="77777777" w:rsidR="0026591A" w:rsidRPr="00250EA5" w:rsidRDefault="0026591A" w:rsidP="00711D49">
            <w:pPr>
              <w:ind w:left="0"/>
              <w:jc w:val="right"/>
              <w:rPr>
                <w:rFonts w:cs="Calibri"/>
                <w:sz w:val="16"/>
                <w:szCs w:val="16"/>
              </w:rPr>
            </w:pPr>
            <w:r w:rsidRPr="00250EA5">
              <w:rPr>
                <w:rFonts w:cs="Calibri"/>
                <w:sz w:val="16"/>
                <w:szCs w:val="16"/>
              </w:rPr>
              <w:t>34,66</w:t>
            </w:r>
          </w:p>
        </w:tc>
        <w:tc>
          <w:tcPr>
            <w:tcW w:w="709" w:type="dxa"/>
            <w:tcBorders>
              <w:top w:val="dashSmallGap" w:sz="4" w:space="0" w:color="auto"/>
              <w:left w:val="nil"/>
              <w:bottom w:val="dashSmallGap" w:sz="4" w:space="0" w:color="auto"/>
              <w:right w:val="nil"/>
            </w:tcBorders>
            <w:shd w:val="clear" w:color="auto" w:fill="FFFFFF"/>
            <w:vAlign w:val="center"/>
            <w:hideMark/>
          </w:tcPr>
          <w:p w14:paraId="1059F4F2" w14:textId="77777777" w:rsidR="0026591A" w:rsidRPr="00250EA5" w:rsidRDefault="0026591A" w:rsidP="00711D49">
            <w:pPr>
              <w:ind w:left="0"/>
              <w:jc w:val="right"/>
              <w:rPr>
                <w:rFonts w:cs="Calibri"/>
                <w:sz w:val="16"/>
                <w:szCs w:val="16"/>
              </w:rPr>
            </w:pPr>
            <w:r w:rsidRPr="00250EA5">
              <w:rPr>
                <w:rFonts w:cs="Calibri"/>
                <w:sz w:val="16"/>
                <w:szCs w:val="16"/>
              </w:rPr>
              <w:t>1,48</w:t>
            </w:r>
          </w:p>
        </w:tc>
        <w:tc>
          <w:tcPr>
            <w:tcW w:w="709" w:type="dxa"/>
            <w:tcBorders>
              <w:top w:val="dashSmallGap" w:sz="4" w:space="0" w:color="auto"/>
              <w:left w:val="nil"/>
              <w:bottom w:val="dashSmallGap" w:sz="4" w:space="0" w:color="auto"/>
              <w:right w:val="nil"/>
            </w:tcBorders>
            <w:shd w:val="clear" w:color="auto" w:fill="FFFFFF"/>
            <w:vAlign w:val="center"/>
            <w:hideMark/>
          </w:tcPr>
          <w:p w14:paraId="6616AC52" w14:textId="77777777" w:rsidR="0026591A" w:rsidRPr="00250EA5" w:rsidRDefault="0026591A" w:rsidP="00711D49">
            <w:pPr>
              <w:ind w:left="0"/>
              <w:jc w:val="right"/>
              <w:rPr>
                <w:rFonts w:cs="Calibri"/>
                <w:sz w:val="16"/>
                <w:szCs w:val="16"/>
              </w:rPr>
            </w:pPr>
            <w:r w:rsidRPr="00250EA5">
              <w:rPr>
                <w:rFonts w:cs="Calibri"/>
                <w:sz w:val="16"/>
                <w:szCs w:val="16"/>
              </w:rPr>
              <w:t>0,27</w:t>
            </w:r>
          </w:p>
        </w:tc>
        <w:tc>
          <w:tcPr>
            <w:tcW w:w="708" w:type="dxa"/>
            <w:tcBorders>
              <w:top w:val="dashSmallGap" w:sz="4" w:space="0" w:color="auto"/>
              <w:left w:val="nil"/>
              <w:bottom w:val="dashSmallGap" w:sz="4" w:space="0" w:color="auto"/>
              <w:right w:val="nil"/>
            </w:tcBorders>
            <w:shd w:val="clear" w:color="auto" w:fill="FFFFFF"/>
            <w:vAlign w:val="center"/>
            <w:hideMark/>
          </w:tcPr>
          <w:p w14:paraId="0EDDBFC7" w14:textId="77777777" w:rsidR="0026591A" w:rsidRPr="00250EA5" w:rsidRDefault="0026591A" w:rsidP="00711D49">
            <w:pPr>
              <w:ind w:left="0"/>
              <w:jc w:val="right"/>
              <w:rPr>
                <w:rFonts w:cs="Calibri"/>
                <w:sz w:val="16"/>
                <w:szCs w:val="16"/>
              </w:rPr>
            </w:pPr>
            <w:r w:rsidRPr="00250EA5">
              <w:rPr>
                <w:rFonts w:cs="Calibri"/>
                <w:sz w:val="16"/>
                <w:szCs w:val="16"/>
              </w:rPr>
              <w:t>168,62</w:t>
            </w:r>
          </w:p>
        </w:tc>
        <w:tc>
          <w:tcPr>
            <w:tcW w:w="708" w:type="dxa"/>
            <w:tcBorders>
              <w:top w:val="dashSmallGap" w:sz="4" w:space="0" w:color="auto"/>
              <w:left w:val="nil"/>
              <w:bottom w:val="dashSmallGap" w:sz="4" w:space="0" w:color="auto"/>
              <w:right w:val="nil"/>
            </w:tcBorders>
            <w:shd w:val="clear" w:color="auto" w:fill="FFFFFF"/>
            <w:vAlign w:val="center"/>
            <w:hideMark/>
          </w:tcPr>
          <w:p w14:paraId="6C12DDAD" w14:textId="77777777" w:rsidR="0026591A" w:rsidRPr="00250EA5" w:rsidRDefault="0026591A" w:rsidP="00711D49">
            <w:pPr>
              <w:ind w:left="0"/>
              <w:jc w:val="right"/>
              <w:rPr>
                <w:rFonts w:cs="Calibri"/>
                <w:sz w:val="16"/>
                <w:szCs w:val="16"/>
              </w:rPr>
            </w:pPr>
            <w:r w:rsidRPr="00250EA5">
              <w:rPr>
                <w:rFonts w:cs="Calibri"/>
                <w:sz w:val="16"/>
                <w:szCs w:val="16"/>
              </w:rPr>
              <w:t>216,69</w:t>
            </w:r>
          </w:p>
        </w:tc>
      </w:tr>
      <w:tr w:rsidR="0026591A" w:rsidRPr="00250EA5" w14:paraId="14509F02" w14:textId="77777777" w:rsidTr="00E0465E">
        <w:trPr>
          <w:trHeight w:val="300"/>
        </w:trPr>
        <w:tc>
          <w:tcPr>
            <w:tcW w:w="993" w:type="dxa"/>
            <w:tcBorders>
              <w:top w:val="dashSmallGap" w:sz="4" w:space="0" w:color="auto"/>
              <w:left w:val="nil"/>
              <w:bottom w:val="dashSmallGap" w:sz="4" w:space="0" w:color="auto"/>
              <w:right w:val="nil"/>
            </w:tcBorders>
            <w:vAlign w:val="center"/>
            <w:hideMark/>
          </w:tcPr>
          <w:p w14:paraId="69CC88E1" w14:textId="77777777" w:rsidR="0026591A" w:rsidRPr="00250EA5" w:rsidRDefault="0026591A" w:rsidP="00711D49">
            <w:pPr>
              <w:ind w:left="0"/>
              <w:rPr>
                <w:rFonts w:cs="Calibri"/>
                <w:sz w:val="16"/>
                <w:szCs w:val="16"/>
              </w:rPr>
            </w:pPr>
            <w:r w:rsidRPr="00250EA5">
              <w:rPr>
                <w:rFonts w:cs="Calibri"/>
                <w:sz w:val="16"/>
                <w:szCs w:val="16"/>
              </w:rPr>
              <w:t>Hrubá Voda</w:t>
            </w:r>
          </w:p>
        </w:tc>
        <w:tc>
          <w:tcPr>
            <w:tcW w:w="709" w:type="dxa"/>
            <w:tcBorders>
              <w:top w:val="dashSmallGap" w:sz="4" w:space="0" w:color="auto"/>
              <w:left w:val="nil"/>
              <w:bottom w:val="dashSmallGap" w:sz="4" w:space="0" w:color="auto"/>
              <w:right w:val="nil"/>
            </w:tcBorders>
            <w:vAlign w:val="center"/>
            <w:hideMark/>
          </w:tcPr>
          <w:p w14:paraId="66AC112D" w14:textId="77777777" w:rsidR="0026591A" w:rsidRPr="00250EA5" w:rsidRDefault="0026591A" w:rsidP="00711D49">
            <w:pPr>
              <w:ind w:left="0"/>
              <w:jc w:val="right"/>
              <w:rPr>
                <w:rFonts w:cs="Calibri"/>
                <w:sz w:val="16"/>
                <w:szCs w:val="16"/>
              </w:rPr>
            </w:pPr>
            <w:r w:rsidRPr="00250EA5">
              <w:rPr>
                <w:rFonts w:cs="Calibri"/>
                <w:sz w:val="16"/>
                <w:szCs w:val="16"/>
              </w:rPr>
              <w:t>1598,33</w:t>
            </w:r>
          </w:p>
        </w:tc>
        <w:tc>
          <w:tcPr>
            <w:tcW w:w="709" w:type="dxa"/>
            <w:tcBorders>
              <w:top w:val="dashSmallGap" w:sz="4" w:space="0" w:color="auto"/>
              <w:left w:val="nil"/>
              <w:bottom w:val="dashSmallGap" w:sz="4" w:space="0" w:color="auto"/>
              <w:right w:val="nil"/>
            </w:tcBorders>
            <w:shd w:val="clear" w:color="auto" w:fill="FFFFFF"/>
            <w:vAlign w:val="center"/>
            <w:hideMark/>
          </w:tcPr>
          <w:p w14:paraId="721BEBB2" w14:textId="77777777" w:rsidR="0026591A" w:rsidRPr="00250EA5" w:rsidRDefault="0026591A" w:rsidP="00711D49">
            <w:pPr>
              <w:ind w:left="0"/>
              <w:jc w:val="right"/>
              <w:rPr>
                <w:rFonts w:cs="Calibri"/>
                <w:sz w:val="16"/>
                <w:szCs w:val="16"/>
              </w:rPr>
            </w:pPr>
            <w:r w:rsidRPr="00250EA5">
              <w:rPr>
                <w:rFonts w:cs="Calibri"/>
                <w:sz w:val="16"/>
                <w:szCs w:val="16"/>
              </w:rPr>
              <w:t>3,83</w:t>
            </w:r>
          </w:p>
        </w:tc>
        <w:tc>
          <w:tcPr>
            <w:tcW w:w="566" w:type="dxa"/>
            <w:tcBorders>
              <w:top w:val="dashSmallGap" w:sz="4" w:space="0" w:color="auto"/>
              <w:left w:val="nil"/>
              <w:bottom w:val="dashSmallGap" w:sz="4" w:space="0" w:color="auto"/>
              <w:right w:val="nil"/>
            </w:tcBorders>
            <w:shd w:val="clear" w:color="auto" w:fill="FFFFFF"/>
            <w:vAlign w:val="center"/>
            <w:hideMark/>
          </w:tcPr>
          <w:p w14:paraId="342E11A3" w14:textId="77777777" w:rsidR="0026591A" w:rsidRPr="00250EA5" w:rsidRDefault="0026591A" w:rsidP="00711D49">
            <w:pPr>
              <w:ind w:left="0"/>
              <w:jc w:val="right"/>
              <w:rPr>
                <w:rFonts w:cs="Calibri"/>
                <w:sz w:val="16"/>
                <w:szCs w:val="16"/>
              </w:rPr>
            </w:pPr>
            <w:r w:rsidRPr="00250EA5">
              <w:rPr>
                <w:rFonts w:cs="Calibri"/>
                <w:sz w:val="16"/>
                <w:szCs w:val="16"/>
              </w:rPr>
              <w:t>13,47</w:t>
            </w:r>
          </w:p>
        </w:tc>
        <w:tc>
          <w:tcPr>
            <w:tcW w:w="709" w:type="dxa"/>
            <w:tcBorders>
              <w:top w:val="dashSmallGap" w:sz="4" w:space="0" w:color="auto"/>
              <w:left w:val="nil"/>
              <w:bottom w:val="dashSmallGap" w:sz="4" w:space="0" w:color="auto"/>
              <w:right w:val="nil"/>
            </w:tcBorders>
            <w:shd w:val="clear" w:color="auto" w:fill="FFFFFF"/>
            <w:vAlign w:val="center"/>
            <w:hideMark/>
          </w:tcPr>
          <w:p w14:paraId="66676B5C" w14:textId="77777777" w:rsidR="0026591A" w:rsidRPr="00250EA5" w:rsidRDefault="0026591A" w:rsidP="00711D49">
            <w:pPr>
              <w:ind w:left="0"/>
              <w:jc w:val="right"/>
              <w:rPr>
                <w:rFonts w:cs="Calibri"/>
                <w:sz w:val="16"/>
                <w:szCs w:val="16"/>
              </w:rPr>
            </w:pPr>
            <w:r w:rsidRPr="00250EA5">
              <w:rPr>
                <w:rFonts w:cs="Calibri"/>
                <w:sz w:val="16"/>
                <w:szCs w:val="16"/>
              </w:rPr>
              <w:t>0,00</w:t>
            </w:r>
          </w:p>
        </w:tc>
        <w:tc>
          <w:tcPr>
            <w:tcW w:w="708" w:type="dxa"/>
            <w:tcBorders>
              <w:top w:val="dashSmallGap" w:sz="4" w:space="0" w:color="auto"/>
              <w:left w:val="nil"/>
              <w:bottom w:val="dashSmallGap" w:sz="4" w:space="0" w:color="auto"/>
              <w:right w:val="nil"/>
            </w:tcBorders>
            <w:shd w:val="clear" w:color="auto" w:fill="FFFFFF"/>
            <w:vAlign w:val="center"/>
            <w:hideMark/>
          </w:tcPr>
          <w:p w14:paraId="288E9DC3" w14:textId="77777777" w:rsidR="0026591A" w:rsidRPr="00250EA5" w:rsidRDefault="0026591A" w:rsidP="00711D49">
            <w:pPr>
              <w:ind w:left="0"/>
              <w:jc w:val="right"/>
              <w:rPr>
                <w:rFonts w:cs="Calibri"/>
                <w:sz w:val="16"/>
                <w:szCs w:val="16"/>
              </w:rPr>
            </w:pPr>
            <w:r w:rsidRPr="00250EA5">
              <w:rPr>
                <w:rFonts w:cs="Calibri"/>
                <w:sz w:val="16"/>
                <w:szCs w:val="16"/>
              </w:rPr>
              <w:t>49,60</w:t>
            </w:r>
          </w:p>
        </w:tc>
        <w:tc>
          <w:tcPr>
            <w:tcW w:w="567" w:type="dxa"/>
            <w:tcBorders>
              <w:top w:val="dashSmallGap" w:sz="4" w:space="0" w:color="auto"/>
              <w:left w:val="nil"/>
              <w:bottom w:val="dashSmallGap" w:sz="4" w:space="0" w:color="auto"/>
              <w:right w:val="nil"/>
            </w:tcBorders>
            <w:shd w:val="clear" w:color="auto" w:fill="FFFFFF"/>
            <w:vAlign w:val="center"/>
            <w:hideMark/>
          </w:tcPr>
          <w:p w14:paraId="0247068E" w14:textId="77777777" w:rsidR="0026591A" w:rsidRPr="00250EA5" w:rsidRDefault="0026591A" w:rsidP="00711D49">
            <w:pPr>
              <w:ind w:left="0"/>
              <w:jc w:val="right"/>
              <w:rPr>
                <w:rFonts w:cs="Calibri"/>
                <w:sz w:val="16"/>
                <w:szCs w:val="16"/>
              </w:rPr>
            </w:pPr>
            <w:r w:rsidRPr="00250EA5">
              <w:rPr>
                <w:rFonts w:cs="Calibri"/>
                <w:sz w:val="16"/>
                <w:szCs w:val="16"/>
              </w:rPr>
              <w:t>0,00</w:t>
            </w:r>
          </w:p>
        </w:tc>
        <w:tc>
          <w:tcPr>
            <w:tcW w:w="709" w:type="dxa"/>
            <w:tcBorders>
              <w:top w:val="dashSmallGap" w:sz="4" w:space="0" w:color="auto"/>
              <w:left w:val="nil"/>
              <w:bottom w:val="dashSmallGap" w:sz="4" w:space="0" w:color="auto"/>
              <w:right w:val="nil"/>
            </w:tcBorders>
            <w:shd w:val="clear" w:color="auto" w:fill="FFFFFF"/>
            <w:vAlign w:val="center"/>
            <w:hideMark/>
          </w:tcPr>
          <w:p w14:paraId="79D31859" w14:textId="77777777" w:rsidR="0026591A" w:rsidRPr="00250EA5" w:rsidRDefault="0026591A" w:rsidP="00711D49">
            <w:pPr>
              <w:ind w:left="0"/>
              <w:jc w:val="right"/>
              <w:rPr>
                <w:rFonts w:cs="Calibri"/>
                <w:sz w:val="16"/>
                <w:szCs w:val="16"/>
              </w:rPr>
            </w:pPr>
            <w:r w:rsidRPr="00250EA5">
              <w:rPr>
                <w:rFonts w:cs="Calibri"/>
                <w:sz w:val="16"/>
                <w:szCs w:val="16"/>
              </w:rPr>
              <w:t>29,66</w:t>
            </w:r>
          </w:p>
        </w:tc>
        <w:tc>
          <w:tcPr>
            <w:tcW w:w="709" w:type="dxa"/>
            <w:tcBorders>
              <w:top w:val="dashSmallGap" w:sz="4" w:space="0" w:color="auto"/>
              <w:left w:val="nil"/>
              <w:bottom w:val="dashSmallGap" w:sz="4" w:space="0" w:color="auto"/>
              <w:right w:val="nil"/>
            </w:tcBorders>
            <w:shd w:val="clear" w:color="auto" w:fill="FFFFFF"/>
            <w:vAlign w:val="center"/>
            <w:hideMark/>
          </w:tcPr>
          <w:p w14:paraId="325A1954" w14:textId="77777777" w:rsidR="0026591A" w:rsidRPr="00250EA5" w:rsidRDefault="0026591A" w:rsidP="00711D49">
            <w:pPr>
              <w:ind w:left="0"/>
              <w:jc w:val="right"/>
              <w:rPr>
                <w:rFonts w:cs="Calibri"/>
                <w:sz w:val="16"/>
                <w:szCs w:val="16"/>
              </w:rPr>
            </w:pPr>
            <w:r w:rsidRPr="00250EA5">
              <w:rPr>
                <w:rFonts w:cs="Calibri"/>
                <w:sz w:val="16"/>
                <w:szCs w:val="16"/>
              </w:rPr>
              <w:t>1,31</w:t>
            </w:r>
          </w:p>
        </w:tc>
        <w:tc>
          <w:tcPr>
            <w:tcW w:w="709" w:type="dxa"/>
            <w:tcBorders>
              <w:top w:val="dashSmallGap" w:sz="4" w:space="0" w:color="auto"/>
              <w:left w:val="nil"/>
              <w:bottom w:val="dashSmallGap" w:sz="4" w:space="0" w:color="auto"/>
              <w:right w:val="nil"/>
            </w:tcBorders>
            <w:shd w:val="clear" w:color="auto" w:fill="FFFFFF"/>
            <w:vAlign w:val="center"/>
            <w:hideMark/>
          </w:tcPr>
          <w:p w14:paraId="458A73D2" w14:textId="77777777" w:rsidR="0026591A" w:rsidRPr="00250EA5" w:rsidRDefault="0026591A" w:rsidP="00711D49">
            <w:pPr>
              <w:ind w:left="0"/>
              <w:jc w:val="right"/>
              <w:rPr>
                <w:rFonts w:cs="Calibri"/>
                <w:sz w:val="16"/>
                <w:szCs w:val="16"/>
              </w:rPr>
            </w:pPr>
            <w:r w:rsidRPr="00250EA5">
              <w:rPr>
                <w:rFonts w:cs="Calibri"/>
                <w:sz w:val="16"/>
                <w:szCs w:val="16"/>
              </w:rPr>
              <w:t>7,65</w:t>
            </w:r>
          </w:p>
        </w:tc>
        <w:tc>
          <w:tcPr>
            <w:tcW w:w="708" w:type="dxa"/>
            <w:tcBorders>
              <w:top w:val="dashSmallGap" w:sz="4" w:space="0" w:color="auto"/>
              <w:left w:val="nil"/>
              <w:bottom w:val="dashSmallGap" w:sz="4" w:space="0" w:color="auto"/>
              <w:right w:val="nil"/>
            </w:tcBorders>
            <w:shd w:val="clear" w:color="auto" w:fill="FFFFFF"/>
            <w:vAlign w:val="center"/>
            <w:hideMark/>
          </w:tcPr>
          <w:p w14:paraId="6B8A23FE" w14:textId="77777777" w:rsidR="0026591A" w:rsidRPr="00250EA5" w:rsidRDefault="0026591A" w:rsidP="00711D49">
            <w:pPr>
              <w:ind w:left="0"/>
              <w:jc w:val="right"/>
              <w:rPr>
                <w:rFonts w:cs="Calibri"/>
                <w:sz w:val="16"/>
                <w:szCs w:val="16"/>
              </w:rPr>
            </w:pPr>
            <w:r w:rsidRPr="00250EA5">
              <w:rPr>
                <w:rFonts w:cs="Calibri"/>
                <w:sz w:val="16"/>
                <w:szCs w:val="16"/>
              </w:rPr>
              <w:t>28,02</w:t>
            </w:r>
          </w:p>
        </w:tc>
        <w:tc>
          <w:tcPr>
            <w:tcW w:w="708" w:type="dxa"/>
            <w:tcBorders>
              <w:top w:val="dashSmallGap" w:sz="4" w:space="0" w:color="auto"/>
              <w:left w:val="nil"/>
              <w:bottom w:val="dashSmallGap" w:sz="4" w:space="0" w:color="auto"/>
              <w:right w:val="nil"/>
            </w:tcBorders>
            <w:shd w:val="clear" w:color="auto" w:fill="FFFFFF"/>
            <w:vAlign w:val="center"/>
            <w:hideMark/>
          </w:tcPr>
          <w:p w14:paraId="2D93A5E9" w14:textId="77777777" w:rsidR="0026591A" w:rsidRPr="00250EA5" w:rsidRDefault="0026591A" w:rsidP="00711D49">
            <w:pPr>
              <w:ind w:left="0"/>
              <w:jc w:val="right"/>
              <w:rPr>
                <w:rFonts w:cs="Calibri"/>
                <w:sz w:val="16"/>
                <w:szCs w:val="16"/>
              </w:rPr>
            </w:pPr>
            <w:r w:rsidRPr="00250EA5">
              <w:rPr>
                <w:rFonts w:cs="Calibri"/>
                <w:sz w:val="16"/>
                <w:szCs w:val="16"/>
              </w:rPr>
              <w:t>66,64</w:t>
            </w:r>
          </w:p>
        </w:tc>
      </w:tr>
      <w:tr w:rsidR="0026591A" w:rsidRPr="00250EA5" w14:paraId="4C281B12" w14:textId="77777777" w:rsidTr="00E0465E">
        <w:trPr>
          <w:trHeight w:val="300"/>
        </w:trPr>
        <w:tc>
          <w:tcPr>
            <w:tcW w:w="993" w:type="dxa"/>
            <w:tcBorders>
              <w:top w:val="dashSmallGap" w:sz="4" w:space="0" w:color="auto"/>
              <w:left w:val="nil"/>
              <w:bottom w:val="dashSmallGap" w:sz="4" w:space="0" w:color="auto"/>
              <w:right w:val="nil"/>
            </w:tcBorders>
            <w:vAlign w:val="center"/>
            <w:hideMark/>
          </w:tcPr>
          <w:p w14:paraId="73F0CE83" w14:textId="77777777" w:rsidR="0026591A" w:rsidRPr="00250EA5" w:rsidRDefault="0026591A" w:rsidP="00711D49">
            <w:pPr>
              <w:ind w:left="0"/>
              <w:rPr>
                <w:rFonts w:cs="Calibri"/>
                <w:sz w:val="16"/>
                <w:szCs w:val="16"/>
              </w:rPr>
            </w:pPr>
            <w:r w:rsidRPr="00250EA5">
              <w:rPr>
                <w:rFonts w:cs="Calibri"/>
                <w:sz w:val="16"/>
                <w:szCs w:val="16"/>
              </w:rPr>
              <w:t>Posluchov</w:t>
            </w:r>
          </w:p>
        </w:tc>
        <w:tc>
          <w:tcPr>
            <w:tcW w:w="709" w:type="dxa"/>
            <w:tcBorders>
              <w:top w:val="dashSmallGap" w:sz="4" w:space="0" w:color="auto"/>
              <w:left w:val="nil"/>
              <w:bottom w:val="dashSmallGap" w:sz="4" w:space="0" w:color="auto"/>
              <w:right w:val="nil"/>
            </w:tcBorders>
            <w:vAlign w:val="center"/>
            <w:hideMark/>
          </w:tcPr>
          <w:p w14:paraId="782F8008" w14:textId="77777777" w:rsidR="0026591A" w:rsidRPr="00250EA5" w:rsidRDefault="0026591A" w:rsidP="00711D49">
            <w:pPr>
              <w:ind w:left="0"/>
              <w:jc w:val="right"/>
              <w:rPr>
                <w:rFonts w:cs="Calibri"/>
                <w:sz w:val="16"/>
                <w:szCs w:val="16"/>
              </w:rPr>
            </w:pPr>
            <w:r w:rsidRPr="00250EA5">
              <w:rPr>
                <w:rFonts w:cs="Calibri"/>
                <w:sz w:val="16"/>
                <w:szCs w:val="16"/>
              </w:rPr>
              <w:t>164,69</w:t>
            </w:r>
          </w:p>
        </w:tc>
        <w:tc>
          <w:tcPr>
            <w:tcW w:w="709" w:type="dxa"/>
            <w:tcBorders>
              <w:top w:val="dashSmallGap" w:sz="4" w:space="0" w:color="auto"/>
              <w:left w:val="nil"/>
              <w:bottom w:val="dashSmallGap" w:sz="4" w:space="0" w:color="auto"/>
              <w:right w:val="nil"/>
            </w:tcBorders>
            <w:shd w:val="clear" w:color="auto" w:fill="FFFFFF"/>
            <w:vAlign w:val="center"/>
            <w:hideMark/>
          </w:tcPr>
          <w:p w14:paraId="514FAA44" w14:textId="77777777" w:rsidR="0026591A" w:rsidRPr="00250EA5" w:rsidRDefault="0026591A" w:rsidP="00711D49">
            <w:pPr>
              <w:ind w:left="0"/>
              <w:jc w:val="right"/>
              <w:rPr>
                <w:rFonts w:cs="Calibri"/>
                <w:sz w:val="16"/>
                <w:szCs w:val="16"/>
              </w:rPr>
            </w:pPr>
            <w:r w:rsidRPr="00250EA5">
              <w:rPr>
                <w:rFonts w:cs="Calibri"/>
                <w:sz w:val="16"/>
                <w:szCs w:val="16"/>
              </w:rPr>
              <w:t>61,42</w:t>
            </w:r>
          </w:p>
        </w:tc>
        <w:tc>
          <w:tcPr>
            <w:tcW w:w="566" w:type="dxa"/>
            <w:tcBorders>
              <w:top w:val="dashSmallGap" w:sz="4" w:space="0" w:color="auto"/>
              <w:left w:val="nil"/>
              <w:bottom w:val="dashSmallGap" w:sz="4" w:space="0" w:color="auto"/>
              <w:right w:val="nil"/>
            </w:tcBorders>
            <w:shd w:val="clear" w:color="auto" w:fill="FFFFFF"/>
            <w:vAlign w:val="center"/>
            <w:hideMark/>
          </w:tcPr>
          <w:p w14:paraId="7843DA2D" w14:textId="77777777" w:rsidR="0026591A" w:rsidRPr="00250EA5" w:rsidRDefault="0026591A" w:rsidP="00711D49">
            <w:pPr>
              <w:ind w:left="0"/>
              <w:jc w:val="right"/>
              <w:rPr>
                <w:rFonts w:cs="Calibri"/>
                <w:sz w:val="16"/>
                <w:szCs w:val="16"/>
              </w:rPr>
            </w:pPr>
            <w:r w:rsidRPr="00250EA5">
              <w:rPr>
                <w:rFonts w:cs="Calibri"/>
                <w:sz w:val="16"/>
                <w:szCs w:val="16"/>
              </w:rPr>
              <w:t>4,21</w:t>
            </w:r>
          </w:p>
        </w:tc>
        <w:tc>
          <w:tcPr>
            <w:tcW w:w="709" w:type="dxa"/>
            <w:tcBorders>
              <w:top w:val="dashSmallGap" w:sz="4" w:space="0" w:color="auto"/>
              <w:left w:val="nil"/>
              <w:bottom w:val="dashSmallGap" w:sz="4" w:space="0" w:color="auto"/>
              <w:right w:val="nil"/>
            </w:tcBorders>
            <w:shd w:val="clear" w:color="auto" w:fill="FFFFFF"/>
            <w:vAlign w:val="center"/>
            <w:hideMark/>
          </w:tcPr>
          <w:p w14:paraId="5E15EAA1" w14:textId="77777777" w:rsidR="0026591A" w:rsidRPr="00250EA5" w:rsidRDefault="0026591A" w:rsidP="00711D49">
            <w:pPr>
              <w:ind w:left="0"/>
              <w:jc w:val="right"/>
              <w:rPr>
                <w:rFonts w:cs="Calibri"/>
                <w:sz w:val="16"/>
                <w:szCs w:val="16"/>
              </w:rPr>
            </w:pPr>
            <w:r w:rsidRPr="00250EA5">
              <w:rPr>
                <w:rFonts w:cs="Calibri"/>
                <w:sz w:val="16"/>
                <w:szCs w:val="16"/>
              </w:rPr>
              <w:t>0,58</w:t>
            </w:r>
          </w:p>
        </w:tc>
        <w:tc>
          <w:tcPr>
            <w:tcW w:w="708" w:type="dxa"/>
            <w:tcBorders>
              <w:top w:val="dashSmallGap" w:sz="4" w:space="0" w:color="auto"/>
              <w:left w:val="nil"/>
              <w:bottom w:val="dashSmallGap" w:sz="4" w:space="0" w:color="auto"/>
              <w:right w:val="nil"/>
            </w:tcBorders>
            <w:shd w:val="clear" w:color="auto" w:fill="FFFFFF"/>
            <w:vAlign w:val="center"/>
            <w:hideMark/>
          </w:tcPr>
          <w:p w14:paraId="09D70D1D" w14:textId="77777777" w:rsidR="0026591A" w:rsidRPr="00250EA5" w:rsidRDefault="0026591A" w:rsidP="00711D49">
            <w:pPr>
              <w:ind w:left="0"/>
              <w:jc w:val="right"/>
              <w:rPr>
                <w:rFonts w:cs="Calibri"/>
                <w:sz w:val="16"/>
                <w:szCs w:val="16"/>
              </w:rPr>
            </w:pPr>
            <w:r w:rsidRPr="00250EA5">
              <w:rPr>
                <w:rFonts w:cs="Calibri"/>
                <w:sz w:val="16"/>
                <w:szCs w:val="16"/>
              </w:rPr>
              <w:t>48,36</w:t>
            </w:r>
          </w:p>
        </w:tc>
        <w:tc>
          <w:tcPr>
            <w:tcW w:w="567" w:type="dxa"/>
            <w:tcBorders>
              <w:top w:val="dashSmallGap" w:sz="4" w:space="0" w:color="auto"/>
              <w:left w:val="nil"/>
              <w:bottom w:val="dashSmallGap" w:sz="4" w:space="0" w:color="auto"/>
              <w:right w:val="nil"/>
            </w:tcBorders>
            <w:shd w:val="clear" w:color="auto" w:fill="FFFFFF"/>
            <w:vAlign w:val="center"/>
            <w:hideMark/>
          </w:tcPr>
          <w:p w14:paraId="1A1ED739" w14:textId="77777777" w:rsidR="0026591A" w:rsidRPr="00250EA5" w:rsidRDefault="0026591A" w:rsidP="00711D49">
            <w:pPr>
              <w:ind w:left="0"/>
              <w:jc w:val="right"/>
              <w:rPr>
                <w:rFonts w:cs="Calibri"/>
                <w:sz w:val="16"/>
                <w:szCs w:val="16"/>
              </w:rPr>
            </w:pPr>
            <w:r w:rsidRPr="00250EA5">
              <w:rPr>
                <w:rFonts w:cs="Calibri"/>
                <w:sz w:val="16"/>
                <w:szCs w:val="16"/>
              </w:rPr>
              <w:t>0,00</w:t>
            </w:r>
          </w:p>
        </w:tc>
        <w:tc>
          <w:tcPr>
            <w:tcW w:w="709" w:type="dxa"/>
            <w:tcBorders>
              <w:top w:val="dashSmallGap" w:sz="4" w:space="0" w:color="auto"/>
              <w:left w:val="nil"/>
              <w:bottom w:val="dashSmallGap" w:sz="4" w:space="0" w:color="auto"/>
              <w:right w:val="nil"/>
            </w:tcBorders>
            <w:shd w:val="clear" w:color="auto" w:fill="FFFFFF"/>
            <w:vAlign w:val="center"/>
            <w:hideMark/>
          </w:tcPr>
          <w:p w14:paraId="2C335656" w14:textId="77777777" w:rsidR="0026591A" w:rsidRPr="00250EA5" w:rsidRDefault="0026591A" w:rsidP="00711D49">
            <w:pPr>
              <w:ind w:left="0"/>
              <w:jc w:val="right"/>
              <w:rPr>
                <w:rFonts w:cs="Calibri"/>
                <w:sz w:val="16"/>
                <w:szCs w:val="16"/>
              </w:rPr>
            </w:pPr>
            <w:r w:rsidRPr="00250EA5">
              <w:rPr>
                <w:rFonts w:cs="Calibri"/>
                <w:sz w:val="16"/>
                <w:szCs w:val="16"/>
              </w:rPr>
              <w:t>46,39</w:t>
            </w:r>
          </w:p>
        </w:tc>
        <w:tc>
          <w:tcPr>
            <w:tcW w:w="709" w:type="dxa"/>
            <w:tcBorders>
              <w:top w:val="dashSmallGap" w:sz="4" w:space="0" w:color="auto"/>
              <w:left w:val="nil"/>
              <w:bottom w:val="dashSmallGap" w:sz="4" w:space="0" w:color="auto"/>
              <w:right w:val="nil"/>
            </w:tcBorders>
            <w:shd w:val="clear" w:color="auto" w:fill="FFFFFF"/>
            <w:vAlign w:val="center"/>
            <w:hideMark/>
          </w:tcPr>
          <w:p w14:paraId="4883F6A9" w14:textId="77777777" w:rsidR="0026591A" w:rsidRPr="00250EA5" w:rsidRDefault="0026591A" w:rsidP="00711D49">
            <w:pPr>
              <w:ind w:left="0"/>
              <w:jc w:val="right"/>
              <w:rPr>
                <w:rFonts w:cs="Calibri"/>
                <w:sz w:val="16"/>
                <w:szCs w:val="16"/>
              </w:rPr>
            </w:pPr>
            <w:r w:rsidRPr="00250EA5">
              <w:rPr>
                <w:rFonts w:cs="Calibri"/>
                <w:sz w:val="16"/>
                <w:szCs w:val="16"/>
              </w:rPr>
              <w:t>27,26</w:t>
            </w:r>
          </w:p>
        </w:tc>
        <w:tc>
          <w:tcPr>
            <w:tcW w:w="709" w:type="dxa"/>
            <w:tcBorders>
              <w:top w:val="dashSmallGap" w:sz="4" w:space="0" w:color="auto"/>
              <w:left w:val="nil"/>
              <w:bottom w:val="dashSmallGap" w:sz="4" w:space="0" w:color="auto"/>
              <w:right w:val="nil"/>
            </w:tcBorders>
            <w:shd w:val="clear" w:color="auto" w:fill="FFFFFF"/>
            <w:vAlign w:val="center"/>
            <w:hideMark/>
          </w:tcPr>
          <w:p w14:paraId="099A8DEF" w14:textId="77777777" w:rsidR="0026591A" w:rsidRPr="00250EA5" w:rsidRDefault="0026591A" w:rsidP="00711D49">
            <w:pPr>
              <w:ind w:left="0"/>
              <w:jc w:val="right"/>
              <w:rPr>
                <w:rFonts w:cs="Calibri"/>
                <w:sz w:val="16"/>
                <w:szCs w:val="16"/>
              </w:rPr>
            </w:pPr>
            <w:r w:rsidRPr="00250EA5">
              <w:rPr>
                <w:rFonts w:cs="Calibri"/>
                <w:sz w:val="16"/>
                <w:szCs w:val="16"/>
              </w:rPr>
              <w:t>0,00</w:t>
            </w:r>
          </w:p>
        </w:tc>
        <w:tc>
          <w:tcPr>
            <w:tcW w:w="708" w:type="dxa"/>
            <w:tcBorders>
              <w:top w:val="dashSmallGap" w:sz="4" w:space="0" w:color="auto"/>
              <w:left w:val="nil"/>
              <w:bottom w:val="dashSmallGap" w:sz="4" w:space="0" w:color="auto"/>
              <w:right w:val="nil"/>
            </w:tcBorders>
            <w:shd w:val="clear" w:color="auto" w:fill="FFFFFF"/>
            <w:vAlign w:val="center"/>
            <w:hideMark/>
          </w:tcPr>
          <w:p w14:paraId="0943C9D1" w14:textId="77777777" w:rsidR="0026591A" w:rsidRPr="00250EA5" w:rsidRDefault="0026591A" w:rsidP="00711D49">
            <w:pPr>
              <w:ind w:left="0"/>
              <w:jc w:val="right"/>
              <w:rPr>
                <w:rFonts w:cs="Calibri"/>
                <w:sz w:val="16"/>
                <w:szCs w:val="16"/>
              </w:rPr>
            </w:pPr>
            <w:r w:rsidRPr="00250EA5">
              <w:rPr>
                <w:rFonts w:cs="Calibri"/>
                <w:sz w:val="16"/>
                <w:szCs w:val="16"/>
              </w:rPr>
              <w:t>40,93</w:t>
            </w:r>
          </w:p>
        </w:tc>
        <w:tc>
          <w:tcPr>
            <w:tcW w:w="708" w:type="dxa"/>
            <w:tcBorders>
              <w:top w:val="dashSmallGap" w:sz="4" w:space="0" w:color="auto"/>
              <w:left w:val="nil"/>
              <w:bottom w:val="dashSmallGap" w:sz="4" w:space="0" w:color="auto"/>
              <w:right w:val="nil"/>
            </w:tcBorders>
            <w:shd w:val="clear" w:color="auto" w:fill="FFFFFF"/>
            <w:vAlign w:val="center"/>
            <w:hideMark/>
          </w:tcPr>
          <w:p w14:paraId="08A20F0D" w14:textId="77777777" w:rsidR="0026591A" w:rsidRPr="00250EA5" w:rsidRDefault="0026591A" w:rsidP="00711D49">
            <w:pPr>
              <w:ind w:left="0"/>
              <w:jc w:val="center"/>
              <w:rPr>
                <w:rFonts w:cs="Calibri"/>
                <w:sz w:val="16"/>
                <w:szCs w:val="16"/>
              </w:rPr>
            </w:pPr>
            <w:r w:rsidRPr="00250EA5">
              <w:rPr>
                <w:rFonts w:cs="Calibri"/>
                <w:sz w:val="16"/>
                <w:szCs w:val="16"/>
              </w:rPr>
              <w:t>114,58</w:t>
            </w:r>
          </w:p>
        </w:tc>
      </w:tr>
      <w:tr w:rsidR="0026591A" w:rsidRPr="00250EA5" w14:paraId="446A6653" w14:textId="77777777" w:rsidTr="00E0465E">
        <w:trPr>
          <w:trHeight w:val="300"/>
        </w:trPr>
        <w:tc>
          <w:tcPr>
            <w:tcW w:w="993" w:type="dxa"/>
            <w:tcBorders>
              <w:top w:val="dashSmallGap" w:sz="4" w:space="0" w:color="auto"/>
              <w:left w:val="nil"/>
              <w:bottom w:val="dashSmallGap" w:sz="4" w:space="0" w:color="auto"/>
              <w:right w:val="nil"/>
            </w:tcBorders>
            <w:vAlign w:val="center"/>
            <w:hideMark/>
          </w:tcPr>
          <w:p w14:paraId="39A367F7" w14:textId="77777777" w:rsidR="0026591A" w:rsidRPr="00250EA5" w:rsidRDefault="0026591A" w:rsidP="00711D49">
            <w:pPr>
              <w:ind w:left="0"/>
              <w:rPr>
                <w:rFonts w:cs="Calibri"/>
                <w:b/>
                <w:bCs/>
                <w:sz w:val="16"/>
                <w:szCs w:val="16"/>
              </w:rPr>
            </w:pPr>
            <w:r w:rsidRPr="00250EA5">
              <w:rPr>
                <w:rFonts w:cs="Calibri"/>
                <w:b/>
                <w:bCs/>
                <w:sz w:val="16"/>
                <w:szCs w:val="16"/>
              </w:rPr>
              <w:t>Celkem</w:t>
            </w:r>
          </w:p>
        </w:tc>
        <w:tc>
          <w:tcPr>
            <w:tcW w:w="709" w:type="dxa"/>
            <w:tcBorders>
              <w:top w:val="dashSmallGap" w:sz="4" w:space="0" w:color="auto"/>
              <w:left w:val="nil"/>
              <w:bottom w:val="dashSmallGap" w:sz="4" w:space="0" w:color="auto"/>
              <w:right w:val="nil"/>
            </w:tcBorders>
            <w:vAlign w:val="center"/>
            <w:hideMark/>
          </w:tcPr>
          <w:p w14:paraId="4CD8542F" w14:textId="77777777" w:rsidR="0026591A" w:rsidRPr="00250EA5" w:rsidRDefault="0026591A" w:rsidP="00711D49">
            <w:pPr>
              <w:ind w:left="0"/>
              <w:jc w:val="right"/>
              <w:rPr>
                <w:rFonts w:cs="Calibri"/>
                <w:b/>
                <w:bCs/>
                <w:sz w:val="16"/>
                <w:szCs w:val="16"/>
              </w:rPr>
            </w:pPr>
            <w:r w:rsidRPr="00250EA5">
              <w:rPr>
                <w:rFonts w:cs="Calibri"/>
                <w:b/>
                <w:bCs/>
                <w:sz w:val="16"/>
                <w:szCs w:val="16"/>
              </w:rPr>
              <w:t>2361,18</w:t>
            </w:r>
          </w:p>
        </w:tc>
        <w:tc>
          <w:tcPr>
            <w:tcW w:w="709" w:type="dxa"/>
            <w:tcBorders>
              <w:top w:val="dashSmallGap" w:sz="4" w:space="0" w:color="auto"/>
              <w:left w:val="nil"/>
              <w:bottom w:val="dashSmallGap" w:sz="4" w:space="0" w:color="auto"/>
              <w:right w:val="nil"/>
            </w:tcBorders>
            <w:shd w:val="clear" w:color="auto" w:fill="FFFFFF"/>
            <w:vAlign w:val="center"/>
            <w:hideMark/>
          </w:tcPr>
          <w:p w14:paraId="222266AB" w14:textId="77777777" w:rsidR="0026591A" w:rsidRPr="00250EA5" w:rsidRDefault="0026591A" w:rsidP="00711D49">
            <w:pPr>
              <w:ind w:left="0"/>
              <w:jc w:val="right"/>
              <w:rPr>
                <w:rFonts w:cs="Calibri"/>
                <w:b/>
                <w:bCs/>
                <w:sz w:val="16"/>
                <w:szCs w:val="16"/>
              </w:rPr>
            </w:pPr>
            <w:r w:rsidRPr="00250EA5">
              <w:rPr>
                <w:rFonts w:cs="Calibri"/>
                <w:b/>
                <w:bCs/>
                <w:sz w:val="16"/>
                <w:szCs w:val="16"/>
              </w:rPr>
              <w:t>66,16</w:t>
            </w:r>
          </w:p>
        </w:tc>
        <w:tc>
          <w:tcPr>
            <w:tcW w:w="566" w:type="dxa"/>
            <w:tcBorders>
              <w:top w:val="dashSmallGap" w:sz="4" w:space="0" w:color="auto"/>
              <w:left w:val="nil"/>
              <w:bottom w:val="dashSmallGap" w:sz="4" w:space="0" w:color="auto"/>
              <w:right w:val="nil"/>
            </w:tcBorders>
            <w:shd w:val="clear" w:color="auto" w:fill="FFFFFF"/>
            <w:vAlign w:val="center"/>
            <w:hideMark/>
          </w:tcPr>
          <w:p w14:paraId="1CC96E90" w14:textId="77777777" w:rsidR="0026591A" w:rsidRPr="00250EA5" w:rsidRDefault="0026591A" w:rsidP="00711D49">
            <w:pPr>
              <w:ind w:left="0"/>
              <w:jc w:val="right"/>
              <w:rPr>
                <w:rFonts w:cs="Calibri"/>
                <w:b/>
                <w:bCs/>
                <w:sz w:val="16"/>
                <w:szCs w:val="16"/>
              </w:rPr>
            </w:pPr>
            <w:r w:rsidRPr="00250EA5">
              <w:rPr>
                <w:rFonts w:cs="Calibri"/>
                <w:b/>
                <w:bCs/>
                <w:sz w:val="16"/>
                <w:szCs w:val="16"/>
              </w:rPr>
              <w:t>55,08</w:t>
            </w:r>
          </w:p>
        </w:tc>
        <w:tc>
          <w:tcPr>
            <w:tcW w:w="709" w:type="dxa"/>
            <w:tcBorders>
              <w:top w:val="dashSmallGap" w:sz="4" w:space="0" w:color="auto"/>
              <w:left w:val="nil"/>
              <w:bottom w:val="dashSmallGap" w:sz="4" w:space="0" w:color="auto"/>
              <w:right w:val="nil"/>
            </w:tcBorders>
            <w:shd w:val="clear" w:color="auto" w:fill="FFFFFF"/>
            <w:vAlign w:val="center"/>
            <w:hideMark/>
          </w:tcPr>
          <w:p w14:paraId="76A345E1" w14:textId="77777777" w:rsidR="0026591A" w:rsidRPr="00250EA5" w:rsidRDefault="0026591A" w:rsidP="00711D49">
            <w:pPr>
              <w:ind w:left="0"/>
              <w:jc w:val="right"/>
              <w:rPr>
                <w:rFonts w:cs="Calibri"/>
                <w:b/>
                <w:bCs/>
                <w:sz w:val="16"/>
                <w:szCs w:val="16"/>
              </w:rPr>
            </w:pPr>
            <w:r w:rsidRPr="00250EA5">
              <w:rPr>
                <w:rFonts w:cs="Calibri"/>
                <w:b/>
                <w:bCs/>
                <w:sz w:val="16"/>
                <w:szCs w:val="16"/>
              </w:rPr>
              <w:t>0,58</w:t>
            </w:r>
          </w:p>
        </w:tc>
        <w:tc>
          <w:tcPr>
            <w:tcW w:w="708" w:type="dxa"/>
            <w:tcBorders>
              <w:top w:val="dashSmallGap" w:sz="4" w:space="0" w:color="auto"/>
              <w:left w:val="nil"/>
              <w:bottom w:val="dashSmallGap" w:sz="4" w:space="0" w:color="auto"/>
              <w:right w:val="nil"/>
            </w:tcBorders>
            <w:shd w:val="clear" w:color="auto" w:fill="FFFFFF"/>
            <w:vAlign w:val="center"/>
            <w:hideMark/>
          </w:tcPr>
          <w:p w14:paraId="70BCB216" w14:textId="77777777" w:rsidR="0026591A" w:rsidRPr="00250EA5" w:rsidRDefault="0026591A" w:rsidP="00711D49">
            <w:pPr>
              <w:ind w:left="0"/>
              <w:jc w:val="right"/>
              <w:rPr>
                <w:rFonts w:cs="Calibri"/>
                <w:b/>
                <w:bCs/>
                <w:sz w:val="16"/>
                <w:szCs w:val="16"/>
              </w:rPr>
            </w:pPr>
            <w:r w:rsidRPr="00250EA5">
              <w:rPr>
                <w:rFonts w:cs="Calibri"/>
                <w:b/>
                <w:bCs/>
                <w:sz w:val="16"/>
                <w:szCs w:val="16"/>
              </w:rPr>
              <w:t>276,34</w:t>
            </w:r>
          </w:p>
        </w:tc>
        <w:tc>
          <w:tcPr>
            <w:tcW w:w="567" w:type="dxa"/>
            <w:tcBorders>
              <w:top w:val="dashSmallGap" w:sz="4" w:space="0" w:color="auto"/>
              <w:left w:val="nil"/>
              <w:bottom w:val="dashSmallGap" w:sz="4" w:space="0" w:color="auto"/>
              <w:right w:val="nil"/>
            </w:tcBorders>
            <w:shd w:val="clear" w:color="auto" w:fill="FFFFFF"/>
            <w:vAlign w:val="center"/>
            <w:hideMark/>
          </w:tcPr>
          <w:p w14:paraId="1208DED2" w14:textId="77777777" w:rsidR="0026591A" w:rsidRPr="00250EA5" w:rsidRDefault="0026591A" w:rsidP="00711D49">
            <w:pPr>
              <w:ind w:left="0"/>
              <w:jc w:val="right"/>
              <w:rPr>
                <w:rFonts w:cs="Calibri"/>
                <w:b/>
                <w:bCs/>
                <w:sz w:val="16"/>
                <w:szCs w:val="16"/>
              </w:rPr>
            </w:pPr>
            <w:r w:rsidRPr="00250EA5">
              <w:rPr>
                <w:rFonts w:cs="Calibri"/>
                <w:b/>
                <w:bCs/>
                <w:sz w:val="16"/>
                <w:szCs w:val="16"/>
              </w:rPr>
              <w:t>11,66</w:t>
            </w:r>
          </w:p>
        </w:tc>
        <w:tc>
          <w:tcPr>
            <w:tcW w:w="709" w:type="dxa"/>
            <w:tcBorders>
              <w:top w:val="dashSmallGap" w:sz="4" w:space="0" w:color="auto"/>
              <w:left w:val="nil"/>
              <w:bottom w:val="dashSmallGap" w:sz="4" w:space="0" w:color="auto"/>
              <w:right w:val="nil"/>
            </w:tcBorders>
            <w:shd w:val="clear" w:color="auto" w:fill="FFFFFF"/>
            <w:vAlign w:val="center"/>
            <w:hideMark/>
          </w:tcPr>
          <w:p w14:paraId="7958D642" w14:textId="77777777" w:rsidR="0026591A" w:rsidRPr="00250EA5" w:rsidRDefault="0026591A" w:rsidP="00711D49">
            <w:pPr>
              <w:ind w:left="0"/>
              <w:jc w:val="right"/>
              <w:rPr>
                <w:rFonts w:cs="Calibri"/>
                <w:b/>
                <w:bCs/>
                <w:sz w:val="16"/>
                <w:szCs w:val="16"/>
              </w:rPr>
            </w:pPr>
            <w:r w:rsidRPr="00250EA5">
              <w:rPr>
                <w:rFonts w:cs="Calibri"/>
                <w:b/>
                <w:bCs/>
                <w:sz w:val="16"/>
                <w:szCs w:val="16"/>
              </w:rPr>
              <w:t>110,71</w:t>
            </w:r>
          </w:p>
        </w:tc>
        <w:tc>
          <w:tcPr>
            <w:tcW w:w="709" w:type="dxa"/>
            <w:tcBorders>
              <w:top w:val="dashSmallGap" w:sz="4" w:space="0" w:color="auto"/>
              <w:left w:val="nil"/>
              <w:bottom w:val="dashSmallGap" w:sz="4" w:space="0" w:color="auto"/>
              <w:right w:val="nil"/>
            </w:tcBorders>
            <w:shd w:val="clear" w:color="auto" w:fill="FFFFFF"/>
            <w:vAlign w:val="center"/>
            <w:hideMark/>
          </w:tcPr>
          <w:p w14:paraId="6020961D" w14:textId="77777777" w:rsidR="0026591A" w:rsidRPr="00250EA5" w:rsidRDefault="0026591A" w:rsidP="00711D49">
            <w:pPr>
              <w:ind w:left="0"/>
              <w:jc w:val="right"/>
              <w:rPr>
                <w:rFonts w:cs="Calibri"/>
                <w:b/>
                <w:bCs/>
                <w:sz w:val="16"/>
                <w:szCs w:val="16"/>
              </w:rPr>
            </w:pPr>
            <w:r w:rsidRPr="00250EA5">
              <w:rPr>
                <w:rFonts w:cs="Calibri"/>
                <w:b/>
                <w:bCs/>
                <w:sz w:val="16"/>
                <w:szCs w:val="16"/>
              </w:rPr>
              <w:t>30,05</w:t>
            </w:r>
          </w:p>
        </w:tc>
        <w:tc>
          <w:tcPr>
            <w:tcW w:w="709" w:type="dxa"/>
            <w:tcBorders>
              <w:top w:val="dashSmallGap" w:sz="4" w:space="0" w:color="auto"/>
              <w:left w:val="nil"/>
              <w:bottom w:val="dashSmallGap" w:sz="4" w:space="0" w:color="auto"/>
              <w:right w:val="nil"/>
            </w:tcBorders>
            <w:shd w:val="clear" w:color="auto" w:fill="FFFFFF"/>
            <w:vAlign w:val="center"/>
            <w:hideMark/>
          </w:tcPr>
          <w:p w14:paraId="5D2BC55A" w14:textId="77777777" w:rsidR="0026591A" w:rsidRPr="00250EA5" w:rsidRDefault="0026591A" w:rsidP="00711D49">
            <w:pPr>
              <w:ind w:left="0"/>
              <w:jc w:val="right"/>
              <w:rPr>
                <w:rFonts w:cs="Calibri"/>
                <w:b/>
                <w:bCs/>
                <w:sz w:val="16"/>
                <w:szCs w:val="16"/>
              </w:rPr>
            </w:pPr>
            <w:r w:rsidRPr="00250EA5">
              <w:rPr>
                <w:rFonts w:cs="Calibri"/>
                <w:b/>
                <w:bCs/>
                <w:sz w:val="16"/>
                <w:szCs w:val="16"/>
              </w:rPr>
              <w:t>7,92</w:t>
            </w:r>
          </w:p>
        </w:tc>
        <w:tc>
          <w:tcPr>
            <w:tcW w:w="708" w:type="dxa"/>
            <w:tcBorders>
              <w:top w:val="dashSmallGap" w:sz="4" w:space="0" w:color="auto"/>
              <w:left w:val="nil"/>
              <w:bottom w:val="dashSmallGap" w:sz="4" w:space="0" w:color="auto"/>
              <w:right w:val="nil"/>
            </w:tcBorders>
            <w:shd w:val="clear" w:color="auto" w:fill="FFFFFF"/>
            <w:vAlign w:val="center"/>
            <w:hideMark/>
          </w:tcPr>
          <w:p w14:paraId="733F0055" w14:textId="77777777" w:rsidR="0026591A" w:rsidRPr="00250EA5" w:rsidRDefault="0026591A" w:rsidP="00711D49">
            <w:pPr>
              <w:ind w:left="0"/>
              <w:jc w:val="right"/>
              <w:rPr>
                <w:rFonts w:cs="Calibri"/>
                <w:b/>
                <w:bCs/>
                <w:sz w:val="16"/>
                <w:szCs w:val="16"/>
              </w:rPr>
            </w:pPr>
            <w:r w:rsidRPr="00250EA5">
              <w:rPr>
                <w:rFonts w:cs="Calibri"/>
                <w:b/>
                <w:bCs/>
                <w:sz w:val="16"/>
                <w:szCs w:val="16"/>
              </w:rPr>
              <w:t>237,57</w:t>
            </w:r>
          </w:p>
        </w:tc>
        <w:tc>
          <w:tcPr>
            <w:tcW w:w="708" w:type="dxa"/>
            <w:tcBorders>
              <w:top w:val="dashSmallGap" w:sz="4" w:space="0" w:color="auto"/>
              <w:left w:val="nil"/>
              <w:bottom w:val="dashSmallGap" w:sz="4" w:space="0" w:color="auto"/>
              <w:right w:val="nil"/>
            </w:tcBorders>
            <w:shd w:val="clear" w:color="auto" w:fill="FFFFFF"/>
            <w:vAlign w:val="center"/>
            <w:hideMark/>
          </w:tcPr>
          <w:p w14:paraId="52FCB9A2" w14:textId="77777777" w:rsidR="0026591A" w:rsidRPr="00250EA5" w:rsidRDefault="0026591A" w:rsidP="00711D49">
            <w:pPr>
              <w:ind w:left="0"/>
              <w:jc w:val="right"/>
              <w:rPr>
                <w:rFonts w:cs="Calibri"/>
                <w:b/>
                <w:bCs/>
                <w:sz w:val="16"/>
                <w:szCs w:val="16"/>
              </w:rPr>
            </w:pPr>
            <w:r w:rsidRPr="00250EA5">
              <w:rPr>
                <w:rFonts w:cs="Calibri"/>
                <w:b/>
                <w:bCs/>
                <w:sz w:val="16"/>
                <w:szCs w:val="16"/>
              </w:rPr>
              <w:t>397,91</w:t>
            </w:r>
          </w:p>
        </w:tc>
      </w:tr>
    </w:tbl>
    <w:p w14:paraId="13B45594" w14:textId="77777777" w:rsidR="0026591A" w:rsidRPr="00250EA5" w:rsidRDefault="0026591A" w:rsidP="0026591A">
      <w:pPr>
        <w:ind w:left="0"/>
      </w:pPr>
      <w:r w:rsidRPr="00250EA5">
        <w:t>Struktura půdního fondu (%), ke dni 18.6.2025</w:t>
      </w:r>
    </w:p>
    <w:tbl>
      <w:tblPr>
        <w:tblW w:w="8385" w:type="dxa"/>
        <w:tblBorders>
          <w:top w:val="dashSmallGap" w:sz="4" w:space="0" w:color="auto"/>
          <w:bottom w:val="dashSmallGap" w:sz="4" w:space="0" w:color="auto"/>
          <w:insideH w:val="dashSmallGap" w:sz="4" w:space="0" w:color="auto"/>
        </w:tblBorders>
        <w:tblLayout w:type="fixed"/>
        <w:tblCellMar>
          <w:left w:w="70" w:type="dxa"/>
          <w:right w:w="70" w:type="dxa"/>
        </w:tblCellMar>
        <w:tblLook w:val="04A0" w:firstRow="1" w:lastRow="0" w:firstColumn="1" w:lastColumn="0" w:noHBand="0" w:noVBand="1"/>
      </w:tblPr>
      <w:tblGrid>
        <w:gridCol w:w="1558"/>
        <w:gridCol w:w="708"/>
        <w:gridCol w:w="652"/>
        <w:gridCol w:w="572"/>
        <w:gridCol w:w="619"/>
        <w:gridCol w:w="623"/>
        <w:gridCol w:w="542"/>
        <w:gridCol w:w="619"/>
        <w:gridCol w:w="623"/>
        <w:gridCol w:w="623"/>
        <w:gridCol w:w="623"/>
        <w:gridCol w:w="623"/>
      </w:tblGrid>
      <w:tr w:rsidR="0026591A" w:rsidRPr="00250EA5" w14:paraId="075047DD" w14:textId="77777777" w:rsidTr="00711D49">
        <w:trPr>
          <w:trHeight w:val="300"/>
        </w:trPr>
        <w:tc>
          <w:tcPr>
            <w:tcW w:w="1558" w:type="dxa"/>
            <w:vMerge w:val="restart"/>
            <w:tcBorders>
              <w:top w:val="dashSmallGap" w:sz="4" w:space="0" w:color="auto"/>
              <w:left w:val="nil"/>
              <w:bottom w:val="dashSmallGap" w:sz="4" w:space="0" w:color="auto"/>
              <w:right w:val="nil"/>
            </w:tcBorders>
            <w:vAlign w:val="center"/>
            <w:hideMark/>
          </w:tcPr>
          <w:p w14:paraId="0843BD13" w14:textId="77777777" w:rsidR="0026591A" w:rsidRPr="00250EA5" w:rsidRDefault="0026591A" w:rsidP="00711D49">
            <w:pPr>
              <w:ind w:left="0"/>
              <w:rPr>
                <w:rFonts w:cs="Calibri"/>
                <w:b/>
                <w:sz w:val="16"/>
                <w:szCs w:val="16"/>
              </w:rPr>
            </w:pPr>
            <w:r w:rsidRPr="00250EA5">
              <w:rPr>
                <w:rFonts w:cs="Calibri"/>
                <w:b/>
                <w:sz w:val="16"/>
                <w:szCs w:val="16"/>
              </w:rPr>
              <w:t xml:space="preserve">k.ú.                                                                                                                                                                                                                                                                                                                                                                                                                                                                                                                                                                                                                                                                                                                                                                                                                                                                                                                                                                                                                                             </w:t>
            </w:r>
          </w:p>
        </w:tc>
        <w:tc>
          <w:tcPr>
            <w:tcW w:w="708" w:type="dxa"/>
            <w:vMerge w:val="restart"/>
            <w:tcBorders>
              <w:top w:val="dashSmallGap" w:sz="4" w:space="0" w:color="auto"/>
              <w:left w:val="nil"/>
              <w:bottom w:val="dashSmallGap" w:sz="4" w:space="0" w:color="auto"/>
              <w:right w:val="nil"/>
            </w:tcBorders>
            <w:vAlign w:val="center"/>
            <w:hideMark/>
          </w:tcPr>
          <w:p w14:paraId="29B93F1F" w14:textId="77777777" w:rsidR="0026591A" w:rsidRPr="00250EA5" w:rsidRDefault="0026591A" w:rsidP="00711D49">
            <w:pPr>
              <w:ind w:left="0"/>
              <w:jc w:val="right"/>
              <w:rPr>
                <w:rFonts w:cs="Calibri"/>
                <w:b/>
                <w:sz w:val="16"/>
                <w:szCs w:val="16"/>
              </w:rPr>
            </w:pPr>
            <w:r w:rsidRPr="00250EA5">
              <w:rPr>
                <w:rFonts w:cs="Calibri"/>
                <w:b/>
                <w:sz w:val="16"/>
                <w:szCs w:val="16"/>
              </w:rPr>
              <w:t>výměra k.ú.</w:t>
            </w:r>
          </w:p>
        </w:tc>
        <w:tc>
          <w:tcPr>
            <w:tcW w:w="2466" w:type="dxa"/>
            <w:gridSpan w:val="4"/>
            <w:tcBorders>
              <w:top w:val="dashSmallGap" w:sz="4" w:space="0" w:color="auto"/>
              <w:left w:val="nil"/>
              <w:bottom w:val="dashSmallGap" w:sz="4" w:space="0" w:color="auto"/>
              <w:right w:val="nil"/>
            </w:tcBorders>
            <w:vAlign w:val="center"/>
            <w:hideMark/>
          </w:tcPr>
          <w:p w14:paraId="42B74B19" w14:textId="77777777" w:rsidR="0026591A" w:rsidRPr="00250EA5" w:rsidRDefault="0026591A" w:rsidP="00711D49">
            <w:pPr>
              <w:ind w:left="0"/>
              <w:rPr>
                <w:rFonts w:cs="Calibri"/>
                <w:b/>
                <w:sz w:val="16"/>
                <w:szCs w:val="16"/>
              </w:rPr>
            </w:pPr>
            <w:r w:rsidRPr="00250EA5">
              <w:rPr>
                <w:rFonts w:cs="Calibri"/>
                <w:b/>
                <w:sz w:val="16"/>
                <w:szCs w:val="16"/>
              </w:rPr>
              <w:t>zemědělská půda dle kultury</w:t>
            </w:r>
          </w:p>
        </w:tc>
        <w:tc>
          <w:tcPr>
            <w:tcW w:w="3030" w:type="dxa"/>
            <w:gridSpan w:val="5"/>
            <w:tcBorders>
              <w:top w:val="dashSmallGap" w:sz="4" w:space="0" w:color="auto"/>
              <w:left w:val="nil"/>
              <w:bottom w:val="dashSmallGap" w:sz="4" w:space="0" w:color="auto"/>
              <w:right w:val="nil"/>
            </w:tcBorders>
            <w:vAlign w:val="center"/>
            <w:hideMark/>
          </w:tcPr>
          <w:p w14:paraId="0CC8D8D3" w14:textId="77777777" w:rsidR="0026591A" w:rsidRPr="00250EA5" w:rsidRDefault="0026591A" w:rsidP="00711D49">
            <w:pPr>
              <w:ind w:left="0"/>
              <w:rPr>
                <w:rFonts w:cs="Calibri"/>
                <w:b/>
                <w:sz w:val="16"/>
                <w:szCs w:val="16"/>
              </w:rPr>
            </w:pPr>
            <w:r w:rsidRPr="00250EA5">
              <w:rPr>
                <w:rFonts w:cs="Calibri"/>
                <w:b/>
                <w:sz w:val="16"/>
                <w:szCs w:val="16"/>
              </w:rPr>
              <w:t>zemědělská půda dle třídy ochrany</w:t>
            </w:r>
          </w:p>
        </w:tc>
        <w:tc>
          <w:tcPr>
            <w:tcW w:w="623" w:type="dxa"/>
            <w:vMerge w:val="restart"/>
            <w:tcBorders>
              <w:top w:val="dashSmallGap" w:sz="4" w:space="0" w:color="auto"/>
              <w:left w:val="nil"/>
              <w:bottom w:val="dashSmallGap" w:sz="4" w:space="0" w:color="auto"/>
              <w:right w:val="nil"/>
            </w:tcBorders>
            <w:textDirection w:val="btLr"/>
            <w:vAlign w:val="center"/>
            <w:hideMark/>
          </w:tcPr>
          <w:p w14:paraId="1032C8DC" w14:textId="77777777" w:rsidR="0026591A" w:rsidRPr="00250EA5" w:rsidRDefault="0026591A" w:rsidP="00711D49">
            <w:pPr>
              <w:ind w:left="0"/>
              <w:jc w:val="right"/>
              <w:rPr>
                <w:rFonts w:cs="Calibri"/>
                <w:b/>
                <w:bCs/>
                <w:sz w:val="16"/>
                <w:szCs w:val="16"/>
              </w:rPr>
            </w:pPr>
            <w:r w:rsidRPr="00250EA5">
              <w:rPr>
                <w:rFonts w:cs="Calibri"/>
                <w:b/>
                <w:bCs/>
                <w:sz w:val="16"/>
                <w:szCs w:val="16"/>
              </w:rPr>
              <w:t>ZPF celkem</w:t>
            </w:r>
          </w:p>
        </w:tc>
      </w:tr>
      <w:tr w:rsidR="0026591A" w:rsidRPr="00250EA5" w14:paraId="08DECFDC" w14:textId="77777777" w:rsidTr="00711D49">
        <w:trPr>
          <w:trHeight w:val="615"/>
        </w:trPr>
        <w:tc>
          <w:tcPr>
            <w:tcW w:w="1558" w:type="dxa"/>
            <w:vMerge/>
            <w:tcBorders>
              <w:top w:val="dashSmallGap" w:sz="4" w:space="0" w:color="auto"/>
              <w:left w:val="nil"/>
              <w:bottom w:val="dashSmallGap" w:sz="4" w:space="0" w:color="auto"/>
              <w:right w:val="nil"/>
            </w:tcBorders>
            <w:vAlign w:val="center"/>
            <w:hideMark/>
          </w:tcPr>
          <w:p w14:paraId="2DE195A5" w14:textId="77777777" w:rsidR="0026591A" w:rsidRPr="00250EA5" w:rsidRDefault="0026591A" w:rsidP="00711D49">
            <w:pPr>
              <w:ind w:left="0"/>
              <w:jc w:val="left"/>
              <w:rPr>
                <w:rFonts w:cs="Calibri"/>
                <w:b/>
                <w:sz w:val="16"/>
                <w:szCs w:val="16"/>
              </w:rPr>
            </w:pPr>
          </w:p>
        </w:tc>
        <w:tc>
          <w:tcPr>
            <w:tcW w:w="708" w:type="dxa"/>
            <w:vMerge/>
            <w:tcBorders>
              <w:top w:val="dashSmallGap" w:sz="4" w:space="0" w:color="auto"/>
              <w:left w:val="nil"/>
              <w:bottom w:val="dashSmallGap" w:sz="4" w:space="0" w:color="auto"/>
              <w:right w:val="nil"/>
            </w:tcBorders>
            <w:vAlign w:val="center"/>
            <w:hideMark/>
          </w:tcPr>
          <w:p w14:paraId="4236A2CC" w14:textId="77777777" w:rsidR="0026591A" w:rsidRPr="00250EA5" w:rsidRDefault="0026591A" w:rsidP="00711D49">
            <w:pPr>
              <w:ind w:left="0"/>
              <w:jc w:val="left"/>
              <w:rPr>
                <w:rFonts w:cs="Calibri"/>
                <w:b/>
                <w:sz w:val="16"/>
                <w:szCs w:val="16"/>
              </w:rPr>
            </w:pPr>
          </w:p>
        </w:tc>
        <w:tc>
          <w:tcPr>
            <w:tcW w:w="652" w:type="dxa"/>
            <w:tcBorders>
              <w:top w:val="dashSmallGap" w:sz="4" w:space="0" w:color="auto"/>
              <w:left w:val="nil"/>
              <w:bottom w:val="dashSmallGap" w:sz="4" w:space="0" w:color="auto"/>
              <w:right w:val="nil"/>
            </w:tcBorders>
            <w:textDirection w:val="btLr"/>
            <w:vAlign w:val="center"/>
            <w:hideMark/>
          </w:tcPr>
          <w:p w14:paraId="45104D5E" w14:textId="77777777" w:rsidR="0026591A" w:rsidRPr="00250EA5" w:rsidRDefault="0026591A" w:rsidP="00711D49">
            <w:pPr>
              <w:ind w:left="0"/>
              <w:jc w:val="right"/>
              <w:rPr>
                <w:rFonts w:cs="Calibri"/>
                <w:b/>
                <w:sz w:val="16"/>
                <w:szCs w:val="16"/>
              </w:rPr>
            </w:pPr>
            <w:r w:rsidRPr="00250EA5">
              <w:rPr>
                <w:rFonts w:cs="Calibri"/>
                <w:b/>
                <w:sz w:val="16"/>
                <w:szCs w:val="16"/>
              </w:rPr>
              <w:t>orná půda</w:t>
            </w:r>
          </w:p>
        </w:tc>
        <w:tc>
          <w:tcPr>
            <w:tcW w:w="572" w:type="dxa"/>
            <w:tcBorders>
              <w:top w:val="dashSmallGap" w:sz="4" w:space="0" w:color="auto"/>
              <w:left w:val="nil"/>
              <w:bottom w:val="dashSmallGap" w:sz="4" w:space="0" w:color="auto"/>
              <w:right w:val="nil"/>
            </w:tcBorders>
            <w:textDirection w:val="btLr"/>
            <w:vAlign w:val="center"/>
            <w:hideMark/>
          </w:tcPr>
          <w:p w14:paraId="1D74E026" w14:textId="77777777" w:rsidR="0026591A" w:rsidRPr="00250EA5" w:rsidRDefault="0026591A" w:rsidP="00711D49">
            <w:pPr>
              <w:ind w:left="0"/>
              <w:jc w:val="right"/>
              <w:rPr>
                <w:rFonts w:cs="Calibri"/>
                <w:b/>
                <w:sz w:val="16"/>
                <w:szCs w:val="16"/>
              </w:rPr>
            </w:pPr>
            <w:r w:rsidRPr="00250EA5">
              <w:rPr>
                <w:rFonts w:cs="Calibri"/>
                <w:b/>
                <w:sz w:val="16"/>
                <w:szCs w:val="16"/>
              </w:rPr>
              <w:t>zahrada</w:t>
            </w:r>
          </w:p>
        </w:tc>
        <w:tc>
          <w:tcPr>
            <w:tcW w:w="619" w:type="dxa"/>
            <w:tcBorders>
              <w:top w:val="dashSmallGap" w:sz="4" w:space="0" w:color="auto"/>
              <w:left w:val="nil"/>
              <w:bottom w:val="dashSmallGap" w:sz="4" w:space="0" w:color="auto"/>
              <w:right w:val="nil"/>
            </w:tcBorders>
            <w:textDirection w:val="btLr"/>
            <w:vAlign w:val="center"/>
            <w:hideMark/>
          </w:tcPr>
          <w:p w14:paraId="27C7D2D8" w14:textId="77777777" w:rsidR="0026591A" w:rsidRPr="00250EA5" w:rsidRDefault="0026591A" w:rsidP="00711D49">
            <w:pPr>
              <w:ind w:left="0"/>
              <w:jc w:val="right"/>
              <w:rPr>
                <w:rFonts w:cs="Calibri"/>
                <w:b/>
                <w:sz w:val="16"/>
                <w:szCs w:val="16"/>
              </w:rPr>
            </w:pPr>
            <w:r w:rsidRPr="00250EA5">
              <w:rPr>
                <w:rFonts w:cs="Calibri"/>
                <w:b/>
                <w:sz w:val="16"/>
                <w:szCs w:val="16"/>
              </w:rPr>
              <w:t>ovocný sady</w:t>
            </w:r>
          </w:p>
        </w:tc>
        <w:tc>
          <w:tcPr>
            <w:tcW w:w="623" w:type="dxa"/>
            <w:tcBorders>
              <w:top w:val="dashSmallGap" w:sz="4" w:space="0" w:color="auto"/>
              <w:left w:val="nil"/>
              <w:bottom w:val="dashSmallGap" w:sz="4" w:space="0" w:color="auto"/>
              <w:right w:val="nil"/>
            </w:tcBorders>
            <w:textDirection w:val="btLr"/>
            <w:vAlign w:val="center"/>
            <w:hideMark/>
          </w:tcPr>
          <w:p w14:paraId="37F0756C" w14:textId="77777777" w:rsidR="0026591A" w:rsidRPr="00250EA5" w:rsidRDefault="0026591A" w:rsidP="00711D49">
            <w:pPr>
              <w:ind w:left="0"/>
              <w:jc w:val="right"/>
              <w:rPr>
                <w:rFonts w:cs="Calibri"/>
                <w:b/>
                <w:sz w:val="16"/>
                <w:szCs w:val="16"/>
              </w:rPr>
            </w:pPr>
            <w:r w:rsidRPr="00250EA5">
              <w:rPr>
                <w:rFonts w:cs="Calibri"/>
                <w:b/>
                <w:sz w:val="16"/>
                <w:szCs w:val="16"/>
              </w:rPr>
              <w:t>trvalý travní porost</w:t>
            </w:r>
          </w:p>
        </w:tc>
        <w:tc>
          <w:tcPr>
            <w:tcW w:w="542" w:type="dxa"/>
            <w:tcBorders>
              <w:top w:val="dashSmallGap" w:sz="4" w:space="0" w:color="auto"/>
              <w:left w:val="nil"/>
              <w:bottom w:val="dashSmallGap" w:sz="4" w:space="0" w:color="auto"/>
              <w:right w:val="nil"/>
            </w:tcBorders>
            <w:textDirection w:val="btLr"/>
            <w:vAlign w:val="center"/>
            <w:hideMark/>
          </w:tcPr>
          <w:p w14:paraId="1ED5789E" w14:textId="77777777" w:rsidR="0026591A" w:rsidRPr="00250EA5" w:rsidRDefault="0026591A" w:rsidP="00711D49">
            <w:pPr>
              <w:ind w:left="0"/>
              <w:jc w:val="right"/>
              <w:rPr>
                <w:rFonts w:cs="Calibri"/>
                <w:b/>
                <w:sz w:val="16"/>
                <w:szCs w:val="16"/>
              </w:rPr>
            </w:pPr>
            <w:r w:rsidRPr="00250EA5">
              <w:rPr>
                <w:rFonts w:cs="Calibri"/>
                <w:b/>
                <w:sz w:val="16"/>
                <w:szCs w:val="16"/>
              </w:rPr>
              <w:t>I. třída</w:t>
            </w:r>
          </w:p>
        </w:tc>
        <w:tc>
          <w:tcPr>
            <w:tcW w:w="619" w:type="dxa"/>
            <w:tcBorders>
              <w:top w:val="dashSmallGap" w:sz="4" w:space="0" w:color="auto"/>
              <w:left w:val="nil"/>
              <w:bottom w:val="dashSmallGap" w:sz="4" w:space="0" w:color="auto"/>
              <w:right w:val="nil"/>
            </w:tcBorders>
            <w:textDirection w:val="btLr"/>
            <w:vAlign w:val="center"/>
            <w:hideMark/>
          </w:tcPr>
          <w:p w14:paraId="7E810AB4" w14:textId="77777777" w:rsidR="0026591A" w:rsidRPr="00250EA5" w:rsidRDefault="0026591A" w:rsidP="00711D49">
            <w:pPr>
              <w:ind w:left="0"/>
              <w:jc w:val="right"/>
              <w:rPr>
                <w:rFonts w:cs="Calibri"/>
                <w:b/>
                <w:sz w:val="16"/>
                <w:szCs w:val="16"/>
              </w:rPr>
            </w:pPr>
            <w:r w:rsidRPr="00250EA5">
              <w:rPr>
                <w:rFonts w:cs="Calibri"/>
                <w:b/>
                <w:sz w:val="16"/>
                <w:szCs w:val="16"/>
              </w:rPr>
              <w:t>II. třída</w:t>
            </w:r>
          </w:p>
        </w:tc>
        <w:tc>
          <w:tcPr>
            <w:tcW w:w="623" w:type="dxa"/>
            <w:tcBorders>
              <w:top w:val="dashSmallGap" w:sz="4" w:space="0" w:color="auto"/>
              <w:left w:val="nil"/>
              <w:bottom w:val="dashSmallGap" w:sz="4" w:space="0" w:color="auto"/>
              <w:right w:val="nil"/>
            </w:tcBorders>
            <w:textDirection w:val="btLr"/>
            <w:vAlign w:val="center"/>
            <w:hideMark/>
          </w:tcPr>
          <w:p w14:paraId="37849C45" w14:textId="77777777" w:rsidR="0026591A" w:rsidRPr="00250EA5" w:rsidRDefault="0026591A" w:rsidP="00711D49">
            <w:pPr>
              <w:ind w:left="0"/>
              <w:jc w:val="right"/>
              <w:rPr>
                <w:rFonts w:cs="Calibri"/>
                <w:b/>
                <w:sz w:val="16"/>
                <w:szCs w:val="16"/>
              </w:rPr>
            </w:pPr>
            <w:r w:rsidRPr="00250EA5">
              <w:rPr>
                <w:rFonts w:cs="Calibri"/>
                <w:b/>
                <w:sz w:val="16"/>
                <w:szCs w:val="16"/>
              </w:rPr>
              <w:t>III. třída</w:t>
            </w:r>
          </w:p>
        </w:tc>
        <w:tc>
          <w:tcPr>
            <w:tcW w:w="623" w:type="dxa"/>
            <w:tcBorders>
              <w:top w:val="dashSmallGap" w:sz="4" w:space="0" w:color="auto"/>
              <w:left w:val="nil"/>
              <w:bottom w:val="dashSmallGap" w:sz="4" w:space="0" w:color="auto"/>
              <w:right w:val="nil"/>
            </w:tcBorders>
            <w:textDirection w:val="btLr"/>
            <w:vAlign w:val="center"/>
            <w:hideMark/>
          </w:tcPr>
          <w:p w14:paraId="756BC6B9" w14:textId="77777777" w:rsidR="0026591A" w:rsidRPr="00250EA5" w:rsidRDefault="0026591A" w:rsidP="00711D49">
            <w:pPr>
              <w:ind w:left="0"/>
              <w:jc w:val="right"/>
              <w:rPr>
                <w:rFonts w:cs="Calibri"/>
                <w:b/>
                <w:sz w:val="16"/>
                <w:szCs w:val="16"/>
              </w:rPr>
            </w:pPr>
            <w:r w:rsidRPr="00250EA5">
              <w:rPr>
                <w:rFonts w:cs="Calibri"/>
                <w:b/>
                <w:sz w:val="16"/>
                <w:szCs w:val="16"/>
              </w:rPr>
              <w:t>IV. třída</w:t>
            </w:r>
          </w:p>
        </w:tc>
        <w:tc>
          <w:tcPr>
            <w:tcW w:w="623" w:type="dxa"/>
            <w:tcBorders>
              <w:top w:val="dashSmallGap" w:sz="4" w:space="0" w:color="auto"/>
              <w:left w:val="nil"/>
              <w:bottom w:val="dashSmallGap" w:sz="4" w:space="0" w:color="auto"/>
              <w:right w:val="nil"/>
            </w:tcBorders>
            <w:textDirection w:val="btLr"/>
            <w:vAlign w:val="center"/>
            <w:hideMark/>
          </w:tcPr>
          <w:p w14:paraId="42B3A83C" w14:textId="77777777" w:rsidR="0026591A" w:rsidRPr="00250EA5" w:rsidRDefault="0026591A" w:rsidP="00711D49">
            <w:pPr>
              <w:ind w:left="0"/>
              <w:jc w:val="right"/>
              <w:rPr>
                <w:rFonts w:cs="Calibri"/>
                <w:b/>
                <w:sz w:val="16"/>
                <w:szCs w:val="16"/>
              </w:rPr>
            </w:pPr>
            <w:r w:rsidRPr="00250EA5">
              <w:rPr>
                <w:rFonts w:cs="Calibri"/>
                <w:b/>
                <w:sz w:val="16"/>
                <w:szCs w:val="16"/>
              </w:rPr>
              <w:t>V. třída</w:t>
            </w:r>
          </w:p>
        </w:tc>
        <w:tc>
          <w:tcPr>
            <w:tcW w:w="623" w:type="dxa"/>
            <w:vMerge/>
            <w:tcBorders>
              <w:top w:val="dashSmallGap" w:sz="4" w:space="0" w:color="auto"/>
              <w:left w:val="nil"/>
              <w:bottom w:val="dashSmallGap" w:sz="4" w:space="0" w:color="auto"/>
              <w:right w:val="nil"/>
            </w:tcBorders>
            <w:vAlign w:val="center"/>
            <w:hideMark/>
          </w:tcPr>
          <w:p w14:paraId="0149D78C" w14:textId="77777777" w:rsidR="0026591A" w:rsidRPr="00250EA5" w:rsidRDefault="0026591A" w:rsidP="00711D49">
            <w:pPr>
              <w:ind w:left="0"/>
              <w:jc w:val="left"/>
              <w:rPr>
                <w:rFonts w:cs="Calibri"/>
                <w:b/>
                <w:bCs/>
                <w:sz w:val="16"/>
                <w:szCs w:val="16"/>
              </w:rPr>
            </w:pPr>
          </w:p>
        </w:tc>
      </w:tr>
      <w:tr w:rsidR="0026591A" w:rsidRPr="00250EA5" w14:paraId="5D637668" w14:textId="77777777" w:rsidTr="00711D49">
        <w:trPr>
          <w:trHeight w:val="300"/>
        </w:trPr>
        <w:tc>
          <w:tcPr>
            <w:tcW w:w="1558" w:type="dxa"/>
            <w:tcBorders>
              <w:top w:val="dashSmallGap" w:sz="4" w:space="0" w:color="auto"/>
              <w:left w:val="nil"/>
              <w:bottom w:val="dashSmallGap" w:sz="4" w:space="0" w:color="auto"/>
              <w:right w:val="nil"/>
            </w:tcBorders>
            <w:vAlign w:val="center"/>
            <w:hideMark/>
          </w:tcPr>
          <w:p w14:paraId="66D8CEA9" w14:textId="77777777" w:rsidR="0026591A" w:rsidRPr="00250EA5" w:rsidRDefault="0026591A" w:rsidP="00711D49">
            <w:pPr>
              <w:ind w:left="0"/>
              <w:rPr>
                <w:rFonts w:cs="Calibri"/>
                <w:sz w:val="16"/>
                <w:szCs w:val="16"/>
              </w:rPr>
            </w:pPr>
            <w:r>
              <w:rPr>
                <w:rFonts w:cs="Calibri"/>
                <w:sz w:val="16"/>
                <w:szCs w:val="16"/>
              </w:rPr>
              <w:t>Hlubočky</w:t>
            </w:r>
          </w:p>
        </w:tc>
        <w:tc>
          <w:tcPr>
            <w:tcW w:w="708" w:type="dxa"/>
            <w:tcBorders>
              <w:top w:val="dashSmallGap" w:sz="4" w:space="0" w:color="auto"/>
              <w:left w:val="nil"/>
              <w:bottom w:val="dashSmallGap" w:sz="4" w:space="0" w:color="auto"/>
              <w:right w:val="nil"/>
            </w:tcBorders>
            <w:vAlign w:val="center"/>
            <w:hideMark/>
          </w:tcPr>
          <w:p w14:paraId="267D2763" w14:textId="77777777" w:rsidR="0026591A" w:rsidRPr="00250EA5" w:rsidRDefault="0026591A" w:rsidP="00711D49">
            <w:pPr>
              <w:ind w:left="0"/>
              <w:jc w:val="right"/>
              <w:rPr>
                <w:rFonts w:cs="Calibri"/>
                <w:sz w:val="16"/>
                <w:szCs w:val="16"/>
              </w:rPr>
            </w:pPr>
            <w:r w:rsidRPr="00250EA5">
              <w:rPr>
                <w:rFonts w:cs="Calibri"/>
                <w:sz w:val="16"/>
                <w:szCs w:val="16"/>
              </w:rPr>
              <w:t>100,00%</w:t>
            </w:r>
          </w:p>
        </w:tc>
        <w:tc>
          <w:tcPr>
            <w:tcW w:w="652" w:type="dxa"/>
            <w:tcBorders>
              <w:top w:val="dashSmallGap" w:sz="4" w:space="0" w:color="auto"/>
              <w:left w:val="nil"/>
              <w:bottom w:val="dashSmallGap" w:sz="4" w:space="0" w:color="auto"/>
              <w:right w:val="nil"/>
            </w:tcBorders>
            <w:vAlign w:val="center"/>
            <w:hideMark/>
          </w:tcPr>
          <w:p w14:paraId="2A5CD808" w14:textId="77777777" w:rsidR="0026591A" w:rsidRPr="00250EA5" w:rsidRDefault="0026591A" w:rsidP="00711D49">
            <w:pPr>
              <w:ind w:left="0"/>
              <w:jc w:val="right"/>
              <w:rPr>
                <w:rFonts w:cs="Calibri"/>
                <w:sz w:val="16"/>
                <w:szCs w:val="16"/>
              </w:rPr>
            </w:pPr>
            <w:r w:rsidRPr="00250EA5">
              <w:rPr>
                <w:rFonts w:cs="Calibri"/>
                <w:sz w:val="16"/>
                <w:szCs w:val="16"/>
              </w:rPr>
              <w:t>0,15%</w:t>
            </w:r>
          </w:p>
        </w:tc>
        <w:tc>
          <w:tcPr>
            <w:tcW w:w="572" w:type="dxa"/>
            <w:tcBorders>
              <w:top w:val="dashSmallGap" w:sz="4" w:space="0" w:color="auto"/>
              <w:left w:val="nil"/>
              <w:bottom w:val="dashSmallGap" w:sz="4" w:space="0" w:color="auto"/>
              <w:right w:val="nil"/>
            </w:tcBorders>
            <w:vAlign w:val="center"/>
            <w:hideMark/>
          </w:tcPr>
          <w:p w14:paraId="46D8874B" w14:textId="77777777" w:rsidR="0026591A" w:rsidRPr="00250EA5" w:rsidRDefault="0026591A" w:rsidP="00711D49">
            <w:pPr>
              <w:ind w:left="0"/>
              <w:jc w:val="right"/>
              <w:rPr>
                <w:rFonts w:cs="Calibri"/>
                <w:sz w:val="16"/>
                <w:szCs w:val="16"/>
              </w:rPr>
            </w:pPr>
            <w:r w:rsidRPr="00250EA5">
              <w:rPr>
                <w:rFonts w:cs="Calibri"/>
                <w:sz w:val="16"/>
                <w:szCs w:val="16"/>
              </w:rPr>
              <w:t>6,25%</w:t>
            </w:r>
          </w:p>
        </w:tc>
        <w:tc>
          <w:tcPr>
            <w:tcW w:w="619" w:type="dxa"/>
            <w:tcBorders>
              <w:top w:val="dashSmallGap" w:sz="4" w:space="0" w:color="auto"/>
              <w:left w:val="nil"/>
              <w:bottom w:val="dashSmallGap" w:sz="4" w:space="0" w:color="auto"/>
              <w:right w:val="nil"/>
            </w:tcBorders>
            <w:vAlign w:val="center"/>
            <w:hideMark/>
          </w:tcPr>
          <w:p w14:paraId="7BCB20A8" w14:textId="77777777" w:rsidR="0026591A" w:rsidRPr="00250EA5" w:rsidRDefault="0026591A" w:rsidP="00711D49">
            <w:pPr>
              <w:ind w:left="0"/>
              <w:jc w:val="right"/>
              <w:rPr>
                <w:rFonts w:cs="Calibri"/>
                <w:sz w:val="16"/>
                <w:szCs w:val="16"/>
              </w:rPr>
            </w:pPr>
            <w:r w:rsidRPr="00250EA5">
              <w:rPr>
                <w:rFonts w:cs="Calibri"/>
                <w:sz w:val="16"/>
                <w:szCs w:val="16"/>
              </w:rPr>
              <w:t>0,00%</w:t>
            </w:r>
          </w:p>
        </w:tc>
        <w:tc>
          <w:tcPr>
            <w:tcW w:w="623" w:type="dxa"/>
            <w:tcBorders>
              <w:top w:val="dashSmallGap" w:sz="4" w:space="0" w:color="auto"/>
              <w:left w:val="nil"/>
              <w:bottom w:val="dashSmallGap" w:sz="4" w:space="0" w:color="auto"/>
              <w:right w:val="nil"/>
            </w:tcBorders>
            <w:vAlign w:val="center"/>
            <w:hideMark/>
          </w:tcPr>
          <w:p w14:paraId="3AB0DA1F" w14:textId="77777777" w:rsidR="0026591A" w:rsidRPr="00250EA5" w:rsidRDefault="0026591A" w:rsidP="00711D49">
            <w:pPr>
              <w:ind w:left="0"/>
              <w:jc w:val="right"/>
              <w:rPr>
                <w:rFonts w:cs="Calibri"/>
                <w:sz w:val="16"/>
                <w:szCs w:val="16"/>
              </w:rPr>
            </w:pPr>
            <w:r w:rsidRPr="00250EA5">
              <w:rPr>
                <w:rFonts w:cs="Calibri"/>
                <w:sz w:val="16"/>
                <w:szCs w:val="16"/>
              </w:rPr>
              <w:t>29,82%</w:t>
            </w:r>
          </w:p>
        </w:tc>
        <w:tc>
          <w:tcPr>
            <w:tcW w:w="542" w:type="dxa"/>
            <w:tcBorders>
              <w:top w:val="dashSmallGap" w:sz="4" w:space="0" w:color="auto"/>
              <w:left w:val="nil"/>
              <w:bottom w:val="dashSmallGap" w:sz="4" w:space="0" w:color="auto"/>
              <w:right w:val="nil"/>
            </w:tcBorders>
            <w:vAlign w:val="center"/>
            <w:hideMark/>
          </w:tcPr>
          <w:p w14:paraId="2DACB24D" w14:textId="77777777" w:rsidR="0026591A" w:rsidRPr="00250EA5" w:rsidRDefault="0026591A" w:rsidP="00711D49">
            <w:pPr>
              <w:ind w:left="0"/>
              <w:jc w:val="right"/>
              <w:rPr>
                <w:rFonts w:cs="Calibri"/>
                <w:sz w:val="16"/>
                <w:szCs w:val="16"/>
              </w:rPr>
            </w:pPr>
            <w:r w:rsidRPr="00250EA5">
              <w:rPr>
                <w:rFonts w:cs="Calibri"/>
                <w:sz w:val="16"/>
                <w:szCs w:val="16"/>
              </w:rPr>
              <w:t>1,95%</w:t>
            </w:r>
          </w:p>
        </w:tc>
        <w:tc>
          <w:tcPr>
            <w:tcW w:w="619" w:type="dxa"/>
            <w:tcBorders>
              <w:top w:val="dashSmallGap" w:sz="4" w:space="0" w:color="auto"/>
              <w:left w:val="nil"/>
              <w:bottom w:val="dashSmallGap" w:sz="4" w:space="0" w:color="auto"/>
              <w:right w:val="nil"/>
            </w:tcBorders>
            <w:vAlign w:val="center"/>
            <w:hideMark/>
          </w:tcPr>
          <w:p w14:paraId="5541020C" w14:textId="77777777" w:rsidR="0026591A" w:rsidRPr="00250EA5" w:rsidRDefault="0026591A" w:rsidP="00711D49">
            <w:pPr>
              <w:ind w:left="0"/>
              <w:jc w:val="right"/>
              <w:rPr>
                <w:rFonts w:cs="Calibri"/>
                <w:sz w:val="16"/>
                <w:szCs w:val="16"/>
              </w:rPr>
            </w:pPr>
            <w:r w:rsidRPr="00250EA5">
              <w:rPr>
                <w:rFonts w:cs="Calibri"/>
                <w:sz w:val="16"/>
                <w:szCs w:val="16"/>
              </w:rPr>
              <w:t>5,79%</w:t>
            </w:r>
          </w:p>
        </w:tc>
        <w:tc>
          <w:tcPr>
            <w:tcW w:w="623" w:type="dxa"/>
            <w:tcBorders>
              <w:top w:val="dashSmallGap" w:sz="4" w:space="0" w:color="auto"/>
              <w:left w:val="nil"/>
              <w:bottom w:val="dashSmallGap" w:sz="4" w:space="0" w:color="auto"/>
              <w:right w:val="nil"/>
            </w:tcBorders>
            <w:vAlign w:val="center"/>
            <w:hideMark/>
          </w:tcPr>
          <w:p w14:paraId="39F86A8A" w14:textId="77777777" w:rsidR="0026591A" w:rsidRPr="00250EA5" w:rsidRDefault="0026591A" w:rsidP="00711D49">
            <w:pPr>
              <w:ind w:left="0"/>
              <w:jc w:val="right"/>
              <w:rPr>
                <w:rFonts w:cs="Calibri"/>
                <w:sz w:val="16"/>
                <w:szCs w:val="16"/>
              </w:rPr>
            </w:pPr>
            <w:r w:rsidRPr="00250EA5">
              <w:rPr>
                <w:rFonts w:cs="Calibri"/>
                <w:sz w:val="16"/>
                <w:szCs w:val="16"/>
              </w:rPr>
              <w:t>0,25%</w:t>
            </w:r>
          </w:p>
        </w:tc>
        <w:tc>
          <w:tcPr>
            <w:tcW w:w="623" w:type="dxa"/>
            <w:tcBorders>
              <w:top w:val="dashSmallGap" w:sz="4" w:space="0" w:color="auto"/>
              <w:left w:val="nil"/>
              <w:bottom w:val="dashSmallGap" w:sz="4" w:space="0" w:color="auto"/>
              <w:right w:val="nil"/>
            </w:tcBorders>
            <w:vAlign w:val="center"/>
            <w:hideMark/>
          </w:tcPr>
          <w:p w14:paraId="0A1C045B" w14:textId="77777777" w:rsidR="0026591A" w:rsidRPr="00250EA5" w:rsidRDefault="0026591A" w:rsidP="00711D49">
            <w:pPr>
              <w:ind w:left="0"/>
              <w:jc w:val="right"/>
              <w:rPr>
                <w:rFonts w:cs="Calibri"/>
                <w:sz w:val="16"/>
                <w:szCs w:val="16"/>
              </w:rPr>
            </w:pPr>
            <w:r w:rsidRPr="00250EA5">
              <w:rPr>
                <w:rFonts w:cs="Calibri"/>
                <w:sz w:val="16"/>
                <w:szCs w:val="16"/>
              </w:rPr>
              <w:t>0,05%</w:t>
            </w:r>
          </w:p>
        </w:tc>
        <w:tc>
          <w:tcPr>
            <w:tcW w:w="623" w:type="dxa"/>
            <w:tcBorders>
              <w:top w:val="dashSmallGap" w:sz="4" w:space="0" w:color="auto"/>
              <w:left w:val="nil"/>
              <w:bottom w:val="dashSmallGap" w:sz="4" w:space="0" w:color="auto"/>
              <w:right w:val="nil"/>
            </w:tcBorders>
            <w:vAlign w:val="center"/>
            <w:hideMark/>
          </w:tcPr>
          <w:p w14:paraId="6FDFD0D3" w14:textId="77777777" w:rsidR="0026591A" w:rsidRPr="00250EA5" w:rsidRDefault="0026591A" w:rsidP="00711D49">
            <w:pPr>
              <w:ind w:left="0"/>
              <w:jc w:val="right"/>
              <w:rPr>
                <w:rFonts w:cs="Calibri"/>
                <w:sz w:val="16"/>
                <w:szCs w:val="16"/>
              </w:rPr>
            </w:pPr>
            <w:r w:rsidRPr="00250EA5">
              <w:rPr>
                <w:rFonts w:cs="Calibri"/>
                <w:sz w:val="16"/>
                <w:szCs w:val="16"/>
              </w:rPr>
              <w:t>28,19%</w:t>
            </w:r>
          </w:p>
        </w:tc>
        <w:tc>
          <w:tcPr>
            <w:tcW w:w="623" w:type="dxa"/>
            <w:tcBorders>
              <w:top w:val="dashSmallGap" w:sz="4" w:space="0" w:color="auto"/>
              <w:left w:val="nil"/>
              <w:bottom w:val="dashSmallGap" w:sz="4" w:space="0" w:color="auto"/>
              <w:right w:val="nil"/>
            </w:tcBorders>
            <w:vAlign w:val="center"/>
            <w:hideMark/>
          </w:tcPr>
          <w:p w14:paraId="785B3093" w14:textId="77777777" w:rsidR="0026591A" w:rsidRPr="00250EA5" w:rsidRDefault="0026591A" w:rsidP="00711D49">
            <w:pPr>
              <w:ind w:left="0"/>
              <w:jc w:val="right"/>
              <w:rPr>
                <w:rFonts w:cs="Calibri"/>
                <w:b/>
                <w:bCs/>
                <w:sz w:val="16"/>
                <w:szCs w:val="16"/>
              </w:rPr>
            </w:pPr>
            <w:r w:rsidRPr="00250EA5">
              <w:rPr>
                <w:rFonts w:cs="Calibri"/>
                <w:b/>
                <w:bCs/>
                <w:sz w:val="16"/>
                <w:szCs w:val="16"/>
              </w:rPr>
              <w:t>36,23%</w:t>
            </w:r>
          </w:p>
        </w:tc>
      </w:tr>
      <w:tr w:rsidR="0026591A" w:rsidRPr="00250EA5" w14:paraId="388DB2BD" w14:textId="77777777" w:rsidTr="00711D49">
        <w:trPr>
          <w:trHeight w:val="300"/>
        </w:trPr>
        <w:tc>
          <w:tcPr>
            <w:tcW w:w="1558" w:type="dxa"/>
            <w:tcBorders>
              <w:top w:val="dashSmallGap" w:sz="4" w:space="0" w:color="auto"/>
              <w:left w:val="nil"/>
              <w:bottom w:val="dashSmallGap" w:sz="4" w:space="0" w:color="auto"/>
              <w:right w:val="nil"/>
            </w:tcBorders>
            <w:vAlign w:val="center"/>
            <w:hideMark/>
          </w:tcPr>
          <w:p w14:paraId="4BC24920" w14:textId="77777777" w:rsidR="0026591A" w:rsidRPr="00250EA5" w:rsidRDefault="0026591A" w:rsidP="00711D49">
            <w:pPr>
              <w:ind w:left="0"/>
              <w:rPr>
                <w:rFonts w:cs="Calibri"/>
                <w:sz w:val="16"/>
                <w:szCs w:val="16"/>
              </w:rPr>
            </w:pPr>
            <w:r>
              <w:rPr>
                <w:rFonts w:cs="Calibri"/>
                <w:sz w:val="16"/>
                <w:szCs w:val="16"/>
              </w:rPr>
              <w:t>Hrubá Voda</w:t>
            </w:r>
          </w:p>
        </w:tc>
        <w:tc>
          <w:tcPr>
            <w:tcW w:w="708" w:type="dxa"/>
            <w:tcBorders>
              <w:top w:val="dashSmallGap" w:sz="4" w:space="0" w:color="auto"/>
              <w:left w:val="nil"/>
              <w:bottom w:val="dashSmallGap" w:sz="4" w:space="0" w:color="auto"/>
              <w:right w:val="nil"/>
            </w:tcBorders>
            <w:vAlign w:val="center"/>
            <w:hideMark/>
          </w:tcPr>
          <w:p w14:paraId="777C2631" w14:textId="77777777" w:rsidR="0026591A" w:rsidRPr="00250EA5" w:rsidRDefault="0026591A" w:rsidP="00711D49">
            <w:pPr>
              <w:ind w:left="0"/>
              <w:jc w:val="right"/>
              <w:rPr>
                <w:rFonts w:cs="Calibri"/>
                <w:sz w:val="16"/>
                <w:szCs w:val="16"/>
              </w:rPr>
            </w:pPr>
            <w:r w:rsidRPr="00250EA5">
              <w:rPr>
                <w:rFonts w:cs="Calibri"/>
                <w:sz w:val="16"/>
                <w:szCs w:val="16"/>
              </w:rPr>
              <w:t>100,00%</w:t>
            </w:r>
          </w:p>
        </w:tc>
        <w:tc>
          <w:tcPr>
            <w:tcW w:w="652" w:type="dxa"/>
            <w:tcBorders>
              <w:top w:val="dashSmallGap" w:sz="4" w:space="0" w:color="auto"/>
              <w:left w:val="nil"/>
              <w:bottom w:val="dashSmallGap" w:sz="4" w:space="0" w:color="auto"/>
              <w:right w:val="nil"/>
            </w:tcBorders>
            <w:vAlign w:val="center"/>
            <w:hideMark/>
          </w:tcPr>
          <w:p w14:paraId="70D21045" w14:textId="77777777" w:rsidR="0026591A" w:rsidRPr="00250EA5" w:rsidRDefault="0026591A" w:rsidP="00711D49">
            <w:pPr>
              <w:ind w:left="0"/>
              <w:jc w:val="right"/>
              <w:rPr>
                <w:rFonts w:cs="Calibri"/>
                <w:sz w:val="16"/>
                <w:szCs w:val="16"/>
              </w:rPr>
            </w:pPr>
            <w:r w:rsidRPr="00250EA5">
              <w:rPr>
                <w:rFonts w:cs="Calibri"/>
                <w:sz w:val="16"/>
                <w:szCs w:val="16"/>
              </w:rPr>
              <w:t>0,24%</w:t>
            </w:r>
          </w:p>
        </w:tc>
        <w:tc>
          <w:tcPr>
            <w:tcW w:w="572" w:type="dxa"/>
            <w:tcBorders>
              <w:top w:val="dashSmallGap" w:sz="4" w:space="0" w:color="auto"/>
              <w:left w:val="nil"/>
              <w:bottom w:val="dashSmallGap" w:sz="4" w:space="0" w:color="auto"/>
              <w:right w:val="nil"/>
            </w:tcBorders>
            <w:vAlign w:val="center"/>
            <w:hideMark/>
          </w:tcPr>
          <w:p w14:paraId="45C72B9D" w14:textId="77777777" w:rsidR="0026591A" w:rsidRPr="00250EA5" w:rsidRDefault="0026591A" w:rsidP="00711D49">
            <w:pPr>
              <w:ind w:left="0"/>
              <w:jc w:val="right"/>
              <w:rPr>
                <w:rFonts w:cs="Calibri"/>
                <w:sz w:val="16"/>
                <w:szCs w:val="16"/>
              </w:rPr>
            </w:pPr>
            <w:r w:rsidRPr="00250EA5">
              <w:rPr>
                <w:rFonts w:cs="Calibri"/>
                <w:sz w:val="16"/>
                <w:szCs w:val="16"/>
              </w:rPr>
              <w:t>0,84%</w:t>
            </w:r>
          </w:p>
        </w:tc>
        <w:tc>
          <w:tcPr>
            <w:tcW w:w="619" w:type="dxa"/>
            <w:tcBorders>
              <w:top w:val="dashSmallGap" w:sz="4" w:space="0" w:color="auto"/>
              <w:left w:val="nil"/>
              <w:bottom w:val="dashSmallGap" w:sz="4" w:space="0" w:color="auto"/>
              <w:right w:val="nil"/>
            </w:tcBorders>
            <w:vAlign w:val="center"/>
            <w:hideMark/>
          </w:tcPr>
          <w:p w14:paraId="04E10C51" w14:textId="77777777" w:rsidR="0026591A" w:rsidRPr="00250EA5" w:rsidRDefault="0026591A" w:rsidP="00711D49">
            <w:pPr>
              <w:ind w:left="0"/>
              <w:jc w:val="right"/>
              <w:rPr>
                <w:rFonts w:cs="Calibri"/>
                <w:sz w:val="16"/>
                <w:szCs w:val="16"/>
              </w:rPr>
            </w:pPr>
            <w:r w:rsidRPr="00250EA5">
              <w:rPr>
                <w:rFonts w:cs="Calibri"/>
                <w:sz w:val="16"/>
                <w:szCs w:val="16"/>
              </w:rPr>
              <w:t>0,00%</w:t>
            </w:r>
          </w:p>
        </w:tc>
        <w:tc>
          <w:tcPr>
            <w:tcW w:w="623" w:type="dxa"/>
            <w:tcBorders>
              <w:top w:val="dashSmallGap" w:sz="4" w:space="0" w:color="auto"/>
              <w:left w:val="nil"/>
              <w:bottom w:val="dashSmallGap" w:sz="4" w:space="0" w:color="auto"/>
              <w:right w:val="nil"/>
            </w:tcBorders>
            <w:vAlign w:val="center"/>
            <w:hideMark/>
          </w:tcPr>
          <w:p w14:paraId="48A23094" w14:textId="77777777" w:rsidR="0026591A" w:rsidRPr="00250EA5" w:rsidRDefault="0026591A" w:rsidP="00711D49">
            <w:pPr>
              <w:ind w:left="0"/>
              <w:jc w:val="right"/>
              <w:rPr>
                <w:rFonts w:cs="Calibri"/>
                <w:sz w:val="16"/>
                <w:szCs w:val="16"/>
              </w:rPr>
            </w:pPr>
            <w:r w:rsidRPr="00250EA5">
              <w:rPr>
                <w:rFonts w:cs="Calibri"/>
                <w:sz w:val="16"/>
                <w:szCs w:val="16"/>
              </w:rPr>
              <w:t>3,10%</w:t>
            </w:r>
          </w:p>
        </w:tc>
        <w:tc>
          <w:tcPr>
            <w:tcW w:w="542" w:type="dxa"/>
            <w:tcBorders>
              <w:top w:val="dashSmallGap" w:sz="4" w:space="0" w:color="auto"/>
              <w:left w:val="nil"/>
              <w:bottom w:val="dashSmallGap" w:sz="4" w:space="0" w:color="auto"/>
              <w:right w:val="nil"/>
            </w:tcBorders>
            <w:vAlign w:val="center"/>
            <w:hideMark/>
          </w:tcPr>
          <w:p w14:paraId="112E7D9A" w14:textId="77777777" w:rsidR="0026591A" w:rsidRPr="00250EA5" w:rsidRDefault="0026591A" w:rsidP="00711D49">
            <w:pPr>
              <w:ind w:left="0"/>
              <w:jc w:val="right"/>
              <w:rPr>
                <w:rFonts w:cs="Calibri"/>
                <w:sz w:val="16"/>
                <w:szCs w:val="16"/>
              </w:rPr>
            </w:pPr>
            <w:r w:rsidRPr="00250EA5">
              <w:rPr>
                <w:rFonts w:cs="Calibri"/>
                <w:sz w:val="16"/>
                <w:szCs w:val="16"/>
              </w:rPr>
              <w:t>0,00%</w:t>
            </w:r>
          </w:p>
        </w:tc>
        <w:tc>
          <w:tcPr>
            <w:tcW w:w="619" w:type="dxa"/>
            <w:tcBorders>
              <w:top w:val="dashSmallGap" w:sz="4" w:space="0" w:color="auto"/>
              <w:left w:val="nil"/>
              <w:bottom w:val="dashSmallGap" w:sz="4" w:space="0" w:color="auto"/>
              <w:right w:val="nil"/>
            </w:tcBorders>
            <w:vAlign w:val="center"/>
            <w:hideMark/>
          </w:tcPr>
          <w:p w14:paraId="3F953CA2" w14:textId="77777777" w:rsidR="0026591A" w:rsidRPr="00250EA5" w:rsidRDefault="0026591A" w:rsidP="00711D49">
            <w:pPr>
              <w:ind w:left="0"/>
              <w:jc w:val="right"/>
              <w:rPr>
                <w:rFonts w:cs="Calibri"/>
                <w:sz w:val="16"/>
                <w:szCs w:val="16"/>
              </w:rPr>
            </w:pPr>
            <w:r w:rsidRPr="00250EA5">
              <w:rPr>
                <w:rFonts w:cs="Calibri"/>
                <w:sz w:val="16"/>
                <w:szCs w:val="16"/>
              </w:rPr>
              <w:t>1,86%</w:t>
            </w:r>
          </w:p>
        </w:tc>
        <w:tc>
          <w:tcPr>
            <w:tcW w:w="623" w:type="dxa"/>
            <w:tcBorders>
              <w:top w:val="dashSmallGap" w:sz="4" w:space="0" w:color="auto"/>
              <w:left w:val="nil"/>
              <w:bottom w:val="dashSmallGap" w:sz="4" w:space="0" w:color="auto"/>
              <w:right w:val="nil"/>
            </w:tcBorders>
            <w:vAlign w:val="center"/>
            <w:hideMark/>
          </w:tcPr>
          <w:p w14:paraId="5B43FBD3" w14:textId="77777777" w:rsidR="0026591A" w:rsidRPr="00250EA5" w:rsidRDefault="0026591A" w:rsidP="00711D49">
            <w:pPr>
              <w:ind w:left="0"/>
              <w:jc w:val="right"/>
              <w:rPr>
                <w:rFonts w:cs="Calibri"/>
                <w:sz w:val="16"/>
                <w:szCs w:val="16"/>
              </w:rPr>
            </w:pPr>
            <w:r w:rsidRPr="00250EA5">
              <w:rPr>
                <w:rFonts w:cs="Calibri"/>
                <w:sz w:val="16"/>
                <w:szCs w:val="16"/>
              </w:rPr>
              <w:t>0,08%</w:t>
            </w:r>
          </w:p>
        </w:tc>
        <w:tc>
          <w:tcPr>
            <w:tcW w:w="623" w:type="dxa"/>
            <w:tcBorders>
              <w:top w:val="dashSmallGap" w:sz="4" w:space="0" w:color="auto"/>
              <w:left w:val="nil"/>
              <w:bottom w:val="dashSmallGap" w:sz="4" w:space="0" w:color="auto"/>
              <w:right w:val="nil"/>
            </w:tcBorders>
            <w:vAlign w:val="center"/>
            <w:hideMark/>
          </w:tcPr>
          <w:p w14:paraId="5A20B9D9" w14:textId="77777777" w:rsidR="0026591A" w:rsidRPr="00250EA5" w:rsidRDefault="0026591A" w:rsidP="00711D49">
            <w:pPr>
              <w:ind w:left="0"/>
              <w:jc w:val="right"/>
              <w:rPr>
                <w:rFonts w:cs="Calibri"/>
                <w:sz w:val="16"/>
                <w:szCs w:val="16"/>
              </w:rPr>
            </w:pPr>
            <w:r w:rsidRPr="00250EA5">
              <w:rPr>
                <w:rFonts w:cs="Calibri"/>
                <w:sz w:val="16"/>
                <w:szCs w:val="16"/>
              </w:rPr>
              <w:t>0,48%</w:t>
            </w:r>
          </w:p>
        </w:tc>
        <w:tc>
          <w:tcPr>
            <w:tcW w:w="623" w:type="dxa"/>
            <w:tcBorders>
              <w:top w:val="dashSmallGap" w:sz="4" w:space="0" w:color="auto"/>
              <w:left w:val="nil"/>
              <w:bottom w:val="dashSmallGap" w:sz="4" w:space="0" w:color="auto"/>
              <w:right w:val="nil"/>
            </w:tcBorders>
            <w:vAlign w:val="center"/>
            <w:hideMark/>
          </w:tcPr>
          <w:p w14:paraId="34869EC3" w14:textId="77777777" w:rsidR="0026591A" w:rsidRPr="00250EA5" w:rsidRDefault="0026591A" w:rsidP="00711D49">
            <w:pPr>
              <w:ind w:left="0"/>
              <w:jc w:val="right"/>
              <w:rPr>
                <w:rFonts w:cs="Calibri"/>
                <w:sz w:val="16"/>
                <w:szCs w:val="16"/>
              </w:rPr>
            </w:pPr>
            <w:r w:rsidRPr="00250EA5">
              <w:rPr>
                <w:rFonts w:cs="Calibri"/>
                <w:sz w:val="16"/>
                <w:szCs w:val="16"/>
              </w:rPr>
              <w:t>1,75%</w:t>
            </w:r>
          </w:p>
        </w:tc>
        <w:tc>
          <w:tcPr>
            <w:tcW w:w="623" w:type="dxa"/>
            <w:tcBorders>
              <w:top w:val="dashSmallGap" w:sz="4" w:space="0" w:color="auto"/>
              <w:left w:val="nil"/>
              <w:bottom w:val="dashSmallGap" w:sz="4" w:space="0" w:color="auto"/>
              <w:right w:val="nil"/>
            </w:tcBorders>
            <w:vAlign w:val="center"/>
            <w:hideMark/>
          </w:tcPr>
          <w:p w14:paraId="2B856C04" w14:textId="77777777" w:rsidR="0026591A" w:rsidRPr="00250EA5" w:rsidRDefault="0026591A" w:rsidP="00711D49">
            <w:pPr>
              <w:ind w:left="0"/>
              <w:jc w:val="right"/>
              <w:rPr>
                <w:rFonts w:cs="Calibri"/>
                <w:b/>
                <w:bCs/>
                <w:sz w:val="16"/>
                <w:szCs w:val="16"/>
              </w:rPr>
            </w:pPr>
            <w:r w:rsidRPr="00250EA5">
              <w:rPr>
                <w:rFonts w:cs="Calibri"/>
                <w:b/>
                <w:bCs/>
                <w:sz w:val="16"/>
                <w:szCs w:val="16"/>
              </w:rPr>
              <w:t>4,17%</w:t>
            </w:r>
          </w:p>
        </w:tc>
      </w:tr>
      <w:tr w:rsidR="0026591A" w:rsidRPr="00250EA5" w14:paraId="5D80F6C1" w14:textId="77777777" w:rsidTr="00711D49">
        <w:trPr>
          <w:trHeight w:val="300"/>
        </w:trPr>
        <w:tc>
          <w:tcPr>
            <w:tcW w:w="1558" w:type="dxa"/>
            <w:tcBorders>
              <w:top w:val="dashSmallGap" w:sz="4" w:space="0" w:color="auto"/>
              <w:left w:val="nil"/>
              <w:bottom w:val="dashSmallGap" w:sz="4" w:space="0" w:color="auto"/>
              <w:right w:val="nil"/>
            </w:tcBorders>
            <w:vAlign w:val="center"/>
            <w:hideMark/>
          </w:tcPr>
          <w:p w14:paraId="2F0EDBF8" w14:textId="77777777" w:rsidR="0026591A" w:rsidRPr="00250EA5" w:rsidRDefault="0026591A" w:rsidP="00711D49">
            <w:pPr>
              <w:ind w:left="0"/>
              <w:rPr>
                <w:rFonts w:cs="Calibri"/>
                <w:sz w:val="16"/>
                <w:szCs w:val="16"/>
              </w:rPr>
            </w:pPr>
            <w:r>
              <w:rPr>
                <w:rFonts w:cs="Calibri"/>
                <w:sz w:val="16"/>
                <w:szCs w:val="16"/>
              </w:rPr>
              <w:t>Posluchov</w:t>
            </w:r>
          </w:p>
        </w:tc>
        <w:tc>
          <w:tcPr>
            <w:tcW w:w="708" w:type="dxa"/>
            <w:tcBorders>
              <w:top w:val="dashSmallGap" w:sz="4" w:space="0" w:color="auto"/>
              <w:left w:val="nil"/>
              <w:bottom w:val="dashSmallGap" w:sz="4" w:space="0" w:color="auto"/>
              <w:right w:val="nil"/>
            </w:tcBorders>
            <w:vAlign w:val="center"/>
            <w:hideMark/>
          </w:tcPr>
          <w:p w14:paraId="681994BB" w14:textId="77777777" w:rsidR="0026591A" w:rsidRPr="00250EA5" w:rsidRDefault="0026591A" w:rsidP="00711D49">
            <w:pPr>
              <w:ind w:left="0"/>
              <w:jc w:val="right"/>
              <w:rPr>
                <w:rFonts w:cs="Calibri"/>
                <w:sz w:val="16"/>
                <w:szCs w:val="16"/>
              </w:rPr>
            </w:pPr>
            <w:r w:rsidRPr="00250EA5">
              <w:rPr>
                <w:rFonts w:cs="Calibri"/>
                <w:sz w:val="16"/>
                <w:szCs w:val="16"/>
              </w:rPr>
              <w:t>100,00%</w:t>
            </w:r>
          </w:p>
        </w:tc>
        <w:tc>
          <w:tcPr>
            <w:tcW w:w="652" w:type="dxa"/>
            <w:tcBorders>
              <w:top w:val="dashSmallGap" w:sz="4" w:space="0" w:color="auto"/>
              <w:left w:val="nil"/>
              <w:bottom w:val="dashSmallGap" w:sz="4" w:space="0" w:color="auto"/>
              <w:right w:val="nil"/>
            </w:tcBorders>
            <w:vAlign w:val="center"/>
            <w:hideMark/>
          </w:tcPr>
          <w:p w14:paraId="386BA965" w14:textId="77777777" w:rsidR="0026591A" w:rsidRPr="00250EA5" w:rsidRDefault="0026591A" w:rsidP="00711D49">
            <w:pPr>
              <w:ind w:left="0"/>
              <w:jc w:val="right"/>
              <w:rPr>
                <w:rFonts w:cs="Calibri"/>
                <w:sz w:val="16"/>
                <w:szCs w:val="16"/>
              </w:rPr>
            </w:pPr>
            <w:r w:rsidRPr="00250EA5">
              <w:rPr>
                <w:rFonts w:cs="Calibri"/>
                <w:sz w:val="16"/>
                <w:szCs w:val="16"/>
              </w:rPr>
              <w:t>37,29%</w:t>
            </w:r>
          </w:p>
        </w:tc>
        <w:tc>
          <w:tcPr>
            <w:tcW w:w="572" w:type="dxa"/>
            <w:tcBorders>
              <w:top w:val="dashSmallGap" w:sz="4" w:space="0" w:color="auto"/>
              <w:left w:val="nil"/>
              <w:bottom w:val="dashSmallGap" w:sz="4" w:space="0" w:color="auto"/>
              <w:right w:val="nil"/>
            </w:tcBorders>
            <w:vAlign w:val="center"/>
            <w:hideMark/>
          </w:tcPr>
          <w:p w14:paraId="154E4AE8" w14:textId="77777777" w:rsidR="0026591A" w:rsidRPr="00250EA5" w:rsidRDefault="0026591A" w:rsidP="00711D49">
            <w:pPr>
              <w:ind w:left="0"/>
              <w:jc w:val="right"/>
              <w:rPr>
                <w:rFonts w:cs="Calibri"/>
                <w:sz w:val="16"/>
                <w:szCs w:val="16"/>
              </w:rPr>
            </w:pPr>
            <w:r w:rsidRPr="00250EA5">
              <w:rPr>
                <w:rFonts w:cs="Calibri"/>
                <w:sz w:val="16"/>
                <w:szCs w:val="16"/>
              </w:rPr>
              <w:t>2,56%</w:t>
            </w:r>
          </w:p>
        </w:tc>
        <w:tc>
          <w:tcPr>
            <w:tcW w:w="619" w:type="dxa"/>
            <w:tcBorders>
              <w:top w:val="dashSmallGap" w:sz="4" w:space="0" w:color="auto"/>
              <w:left w:val="nil"/>
              <w:bottom w:val="dashSmallGap" w:sz="4" w:space="0" w:color="auto"/>
              <w:right w:val="nil"/>
            </w:tcBorders>
            <w:vAlign w:val="center"/>
            <w:hideMark/>
          </w:tcPr>
          <w:p w14:paraId="779C5722" w14:textId="77777777" w:rsidR="0026591A" w:rsidRPr="00250EA5" w:rsidRDefault="0026591A" w:rsidP="00711D49">
            <w:pPr>
              <w:ind w:left="0"/>
              <w:jc w:val="right"/>
              <w:rPr>
                <w:rFonts w:cs="Calibri"/>
                <w:sz w:val="16"/>
                <w:szCs w:val="16"/>
              </w:rPr>
            </w:pPr>
            <w:r w:rsidRPr="00250EA5">
              <w:rPr>
                <w:rFonts w:cs="Calibri"/>
                <w:sz w:val="16"/>
                <w:szCs w:val="16"/>
              </w:rPr>
              <w:t>0,35%</w:t>
            </w:r>
          </w:p>
        </w:tc>
        <w:tc>
          <w:tcPr>
            <w:tcW w:w="623" w:type="dxa"/>
            <w:tcBorders>
              <w:top w:val="dashSmallGap" w:sz="4" w:space="0" w:color="auto"/>
              <w:left w:val="nil"/>
              <w:bottom w:val="dashSmallGap" w:sz="4" w:space="0" w:color="auto"/>
              <w:right w:val="nil"/>
            </w:tcBorders>
            <w:vAlign w:val="center"/>
            <w:hideMark/>
          </w:tcPr>
          <w:p w14:paraId="43C79DAD" w14:textId="77777777" w:rsidR="0026591A" w:rsidRPr="00250EA5" w:rsidRDefault="0026591A" w:rsidP="00711D49">
            <w:pPr>
              <w:ind w:left="0"/>
              <w:jc w:val="right"/>
              <w:rPr>
                <w:rFonts w:cs="Calibri"/>
                <w:sz w:val="16"/>
                <w:szCs w:val="16"/>
              </w:rPr>
            </w:pPr>
            <w:r w:rsidRPr="00250EA5">
              <w:rPr>
                <w:rFonts w:cs="Calibri"/>
                <w:sz w:val="16"/>
                <w:szCs w:val="16"/>
              </w:rPr>
              <w:t>29,36%</w:t>
            </w:r>
          </w:p>
        </w:tc>
        <w:tc>
          <w:tcPr>
            <w:tcW w:w="542" w:type="dxa"/>
            <w:tcBorders>
              <w:top w:val="dashSmallGap" w:sz="4" w:space="0" w:color="auto"/>
              <w:left w:val="nil"/>
              <w:bottom w:val="dashSmallGap" w:sz="4" w:space="0" w:color="auto"/>
              <w:right w:val="nil"/>
            </w:tcBorders>
            <w:vAlign w:val="center"/>
            <w:hideMark/>
          </w:tcPr>
          <w:p w14:paraId="5BF8C618" w14:textId="77777777" w:rsidR="0026591A" w:rsidRPr="00250EA5" w:rsidRDefault="0026591A" w:rsidP="00711D49">
            <w:pPr>
              <w:ind w:left="0"/>
              <w:jc w:val="right"/>
              <w:rPr>
                <w:rFonts w:cs="Calibri"/>
                <w:sz w:val="16"/>
                <w:szCs w:val="16"/>
              </w:rPr>
            </w:pPr>
            <w:r w:rsidRPr="00250EA5">
              <w:rPr>
                <w:rFonts w:cs="Calibri"/>
                <w:sz w:val="16"/>
                <w:szCs w:val="16"/>
              </w:rPr>
              <w:t>0,00%</w:t>
            </w:r>
          </w:p>
        </w:tc>
        <w:tc>
          <w:tcPr>
            <w:tcW w:w="619" w:type="dxa"/>
            <w:tcBorders>
              <w:top w:val="dashSmallGap" w:sz="4" w:space="0" w:color="auto"/>
              <w:left w:val="nil"/>
              <w:bottom w:val="dashSmallGap" w:sz="4" w:space="0" w:color="auto"/>
              <w:right w:val="nil"/>
            </w:tcBorders>
            <w:vAlign w:val="center"/>
            <w:hideMark/>
          </w:tcPr>
          <w:p w14:paraId="71D47529" w14:textId="77777777" w:rsidR="0026591A" w:rsidRPr="00250EA5" w:rsidRDefault="0026591A" w:rsidP="00711D49">
            <w:pPr>
              <w:ind w:left="0"/>
              <w:jc w:val="right"/>
              <w:rPr>
                <w:rFonts w:cs="Calibri"/>
                <w:sz w:val="16"/>
                <w:szCs w:val="16"/>
              </w:rPr>
            </w:pPr>
            <w:r w:rsidRPr="00250EA5">
              <w:rPr>
                <w:rFonts w:cs="Calibri"/>
                <w:sz w:val="16"/>
                <w:szCs w:val="16"/>
              </w:rPr>
              <w:t>28,17%</w:t>
            </w:r>
          </w:p>
        </w:tc>
        <w:tc>
          <w:tcPr>
            <w:tcW w:w="623" w:type="dxa"/>
            <w:tcBorders>
              <w:top w:val="dashSmallGap" w:sz="4" w:space="0" w:color="auto"/>
              <w:left w:val="nil"/>
              <w:bottom w:val="dashSmallGap" w:sz="4" w:space="0" w:color="auto"/>
              <w:right w:val="nil"/>
            </w:tcBorders>
            <w:vAlign w:val="center"/>
            <w:hideMark/>
          </w:tcPr>
          <w:p w14:paraId="7E9F9C0E" w14:textId="77777777" w:rsidR="0026591A" w:rsidRPr="00250EA5" w:rsidRDefault="0026591A" w:rsidP="00711D49">
            <w:pPr>
              <w:ind w:left="0"/>
              <w:jc w:val="right"/>
              <w:rPr>
                <w:rFonts w:cs="Calibri"/>
                <w:sz w:val="16"/>
                <w:szCs w:val="16"/>
              </w:rPr>
            </w:pPr>
            <w:r w:rsidRPr="00250EA5">
              <w:rPr>
                <w:rFonts w:cs="Calibri"/>
                <w:sz w:val="16"/>
                <w:szCs w:val="16"/>
              </w:rPr>
              <w:t>16,55%</w:t>
            </w:r>
          </w:p>
        </w:tc>
        <w:tc>
          <w:tcPr>
            <w:tcW w:w="623" w:type="dxa"/>
            <w:tcBorders>
              <w:top w:val="dashSmallGap" w:sz="4" w:space="0" w:color="auto"/>
              <w:left w:val="nil"/>
              <w:bottom w:val="dashSmallGap" w:sz="4" w:space="0" w:color="auto"/>
              <w:right w:val="nil"/>
            </w:tcBorders>
            <w:vAlign w:val="center"/>
            <w:hideMark/>
          </w:tcPr>
          <w:p w14:paraId="4C32B028" w14:textId="77777777" w:rsidR="0026591A" w:rsidRPr="00250EA5" w:rsidRDefault="0026591A" w:rsidP="00711D49">
            <w:pPr>
              <w:ind w:left="0"/>
              <w:jc w:val="right"/>
              <w:rPr>
                <w:rFonts w:cs="Calibri"/>
                <w:sz w:val="16"/>
                <w:szCs w:val="16"/>
              </w:rPr>
            </w:pPr>
            <w:r w:rsidRPr="00250EA5">
              <w:rPr>
                <w:rFonts w:cs="Calibri"/>
                <w:sz w:val="16"/>
                <w:szCs w:val="16"/>
              </w:rPr>
              <w:t>0,00%</w:t>
            </w:r>
          </w:p>
        </w:tc>
        <w:tc>
          <w:tcPr>
            <w:tcW w:w="623" w:type="dxa"/>
            <w:tcBorders>
              <w:top w:val="dashSmallGap" w:sz="4" w:space="0" w:color="auto"/>
              <w:left w:val="nil"/>
              <w:bottom w:val="dashSmallGap" w:sz="4" w:space="0" w:color="auto"/>
              <w:right w:val="nil"/>
            </w:tcBorders>
            <w:vAlign w:val="center"/>
            <w:hideMark/>
          </w:tcPr>
          <w:p w14:paraId="4F9CDE19" w14:textId="77777777" w:rsidR="0026591A" w:rsidRPr="00250EA5" w:rsidRDefault="0026591A" w:rsidP="00711D49">
            <w:pPr>
              <w:ind w:left="0"/>
              <w:jc w:val="right"/>
              <w:rPr>
                <w:rFonts w:cs="Calibri"/>
                <w:sz w:val="16"/>
                <w:szCs w:val="16"/>
              </w:rPr>
            </w:pPr>
            <w:r w:rsidRPr="00250EA5">
              <w:rPr>
                <w:rFonts w:cs="Calibri"/>
                <w:sz w:val="16"/>
                <w:szCs w:val="16"/>
              </w:rPr>
              <w:t>24,85%</w:t>
            </w:r>
          </w:p>
        </w:tc>
        <w:tc>
          <w:tcPr>
            <w:tcW w:w="623" w:type="dxa"/>
            <w:tcBorders>
              <w:top w:val="dashSmallGap" w:sz="4" w:space="0" w:color="auto"/>
              <w:left w:val="nil"/>
              <w:bottom w:val="dashSmallGap" w:sz="4" w:space="0" w:color="auto"/>
              <w:right w:val="nil"/>
            </w:tcBorders>
            <w:vAlign w:val="center"/>
            <w:hideMark/>
          </w:tcPr>
          <w:p w14:paraId="500150AE" w14:textId="77777777" w:rsidR="0026591A" w:rsidRPr="00250EA5" w:rsidRDefault="0026591A" w:rsidP="00711D49">
            <w:pPr>
              <w:ind w:left="0"/>
              <w:jc w:val="right"/>
              <w:rPr>
                <w:rFonts w:cs="Calibri"/>
                <w:b/>
                <w:bCs/>
                <w:sz w:val="16"/>
                <w:szCs w:val="16"/>
              </w:rPr>
            </w:pPr>
            <w:r w:rsidRPr="00250EA5">
              <w:rPr>
                <w:rFonts w:cs="Calibri"/>
                <w:b/>
                <w:bCs/>
                <w:sz w:val="16"/>
                <w:szCs w:val="16"/>
              </w:rPr>
              <w:t>69,57%</w:t>
            </w:r>
          </w:p>
        </w:tc>
      </w:tr>
    </w:tbl>
    <w:p w14:paraId="37873842" w14:textId="77777777" w:rsidR="0026591A" w:rsidRPr="00A1328A" w:rsidRDefault="0026591A" w:rsidP="008A41F9">
      <w:pPr>
        <w:pStyle w:val="Nadpis4"/>
      </w:pPr>
      <w:r w:rsidRPr="00A1328A">
        <w:t>Údaje o uskutečněných investicích do půdy za účelem zlepšení půdní úrodnosti a o jejich předpokládaném porušení</w:t>
      </w:r>
    </w:p>
    <w:p w14:paraId="081103D3" w14:textId="77777777" w:rsidR="0026591A" w:rsidRPr="00A1328A" w:rsidRDefault="0026591A" w:rsidP="00E0465E">
      <w:r w:rsidRPr="00A1328A">
        <w:t>V rámci řešeného území nebyly uskutečněny investice do půdy za účelem zlepšení půdní úrodnosti.</w:t>
      </w:r>
    </w:p>
    <w:p w14:paraId="0FCC7652" w14:textId="77777777" w:rsidR="0026591A" w:rsidRPr="00A1328A" w:rsidRDefault="0026591A" w:rsidP="008A41F9">
      <w:pPr>
        <w:pStyle w:val="Nadpis4"/>
      </w:pPr>
      <w:r w:rsidRPr="00A1328A">
        <w:t>Údaje o uspořádání zemědělského půdního fondu a pozemkových úpravách</w:t>
      </w:r>
    </w:p>
    <w:p w14:paraId="0BF8418B" w14:textId="77777777" w:rsidR="0026591A" w:rsidRPr="005C3063" w:rsidRDefault="0026591A" w:rsidP="00E0465E">
      <w:r w:rsidRPr="00B26A27">
        <w:t>V rámci řešeného území nebyly uskutečněny pozemkové úpravy.</w:t>
      </w:r>
    </w:p>
    <w:p w14:paraId="1FB67A96" w14:textId="77777777" w:rsidR="0026591A" w:rsidRPr="00A00DC0" w:rsidRDefault="0026591A" w:rsidP="008A41F9">
      <w:pPr>
        <w:pStyle w:val="Nadpis4"/>
      </w:pPr>
      <w:r w:rsidRPr="00A00DC0">
        <w:t xml:space="preserve">Údaje o areálech a objektech staveb zemědělské prvovýroby </w:t>
      </w:r>
    </w:p>
    <w:p w14:paraId="549D37A7" w14:textId="77777777" w:rsidR="0026591A" w:rsidRPr="00A00DC0" w:rsidRDefault="0026591A" w:rsidP="00E0465E">
      <w:r w:rsidRPr="00A00DC0">
        <w:t>Zemědělská prvovýroba v území je zaměřena na výrobu rostlinnou i živočišnou. Nejvýznamnější lokalitou zemědělské prvovýroby živočišné je areál drůbežárny v Posluchově, provozovaný společností CHOV DRŮBEŽE VAVŘÍK, s.r.o.. V k.ú. Hlubočky se nachází areál chovu koní, který je v navrhovaném řešení vymezen jako plocha pro rekreaci.</w:t>
      </w:r>
    </w:p>
    <w:p w14:paraId="2E6CDE95" w14:textId="77777777" w:rsidR="0026591A" w:rsidRPr="00A00DC0" w:rsidRDefault="0026591A" w:rsidP="00060D18">
      <w:r w:rsidRPr="00A00DC0">
        <w:t>Navrhované řešení respektuje využití ploch, bude zde nutné realizovat opatření vyplývající ze zákona č. 76/2002 Sb., o integrované prevenci a omezování znečistění prostředí. Pro zmírnění negativních důsledku na okolní prostředí je navrženo posílení prvků krajinné zeleně kolem zemědělských areálů.</w:t>
      </w:r>
    </w:p>
    <w:p w14:paraId="5529ED74" w14:textId="77777777" w:rsidR="0026591A" w:rsidRPr="00B609FA" w:rsidRDefault="0026591A" w:rsidP="008A41F9">
      <w:pPr>
        <w:pStyle w:val="Nadpis4"/>
      </w:pPr>
      <w:r w:rsidRPr="00B609FA">
        <w:lastRenderedPageBreak/>
        <w:t>Opatření k zajištění ekologické stability</w:t>
      </w:r>
    </w:p>
    <w:p w14:paraId="44874FF6" w14:textId="77777777" w:rsidR="0026591A" w:rsidRPr="00060D18" w:rsidRDefault="0026591A" w:rsidP="00060D18">
      <w:r w:rsidRPr="00060D18">
        <w:t>V řešeném území je navržena kompletní revize a doplnění územního systému ekologické stability včetně systému interakčních prvků pro zajištění ochrany krajinné struktury a zemědělské půdy před vodní a větrnou erozí.</w:t>
      </w:r>
    </w:p>
    <w:p w14:paraId="16135B86" w14:textId="77777777" w:rsidR="0026591A" w:rsidRPr="00B609FA" w:rsidRDefault="0026591A" w:rsidP="008A41F9">
      <w:pPr>
        <w:pStyle w:val="Nadpis4"/>
      </w:pPr>
      <w:r w:rsidRPr="00B609FA">
        <w:t>Síť zemědělských účelových komunikací</w:t>
      </w:r>
    </w:p>
    <w:p w14:paraId="7FAADE45" w14:textId="77777777" w:rsidR="0026591A" w:rsidRPr="00060D18" w:rsidRDefault="0026591A" w:rsidP="00060D18">
      <w:r w:rsidRPr="00060D18">
        <w:t>V řešeném území je stabilizovaná síť zemědělských účelových komunikací. Je navrženo rozšíření, které má za cíl zvýšit průchodnost krajiny. Při realizaci záměrů je nutno zachovat stávající účelové komunikace zajišťující přístup k pozemkům a průchodnost krajiny.</w:t>
      </w:r>
    </w:p>
    <w:p w14:paraId="35A18A7D" w14:textId="5A661D41" w:rsidR="00891CED" w:rsidRDefault="00060D18" w:rsidP="00060D18">
      <w:pPr>
        <w:pStyle w:val="Nadpis3"/>
      </w:pPr>
      <w:bookmarkStart w:id="176" w:name="_Toc232612675"/>
      <w:r w:rsidRPr="00D57B9D">
        <w:t>Celkové vyhodnocení záboru ZPF včetně zdůvodnění</w:t>
      </w:r>
      <w:bookmarkEnd w:id="176"/>
    </w:p>
    <w:p w14:paraId="794570DA" w14:textId="6D47B6D9" w:rsidR="00891CED" w:rsidRDefault="00060D18" w:rsidP="008A41F9">
      <w:pPr>
        <w:pStyle w:val="Nadpis4"/>
      </w:pPr>
      <w:r w:rsidRPr="00D57B9D">
        <w:t>Zdůvodnění řešení požadovaného záboru ZPF – zásady plošné ochrany ZPF</w:t>
      </w:r>
    </w:p>
    <w:p w14:paraId="4A0D7FD2" w14:textId="77777777" w:rsidR="00060D18" w:rsidRPr="00D57B9D" w:rsidRDefault="00060D18" w:rsidP="00060D18">
      <w:pPr>
        <w:ind w:hanging="425"/>
      </w:pPr>
      <w:r w:rsidRPr="00D57B9D">
        <w:t>.1</w:t>
      </w:r>
      <w:r w:rsidRPr="00D57B9D">
        <w:tab/>
        <w:t xml:space="preserve">Vyhodnocení záboru ZPF bylo provedeno v souladu s ustanoveními zákona č. 334/1992 Sb. o ochraně zemědělského půdního fondu a vyhlášky č. 271/2019 Sb. o stanovení postupů k zajištění ochrany zemědělského půdního fondu (dále jen „Vyhláška“). Vyhodnocení záboru je provedeno v souladu s požadavky §3 odst. 2 Vyhlášky. </w:t>
      </w:r>
    </w:p>
    <w:p w14:paraId="6ADE62B8" w14:textId="77777777" w:rsidR="00060D18" w:rsidRPr="00D57B9D" w:rsidRDefault="00060D18" w:rsidP="00060D18">
      <w:r w:rsidRPr="00D57B9D">
        <w:t>Zásady plošné ochrany ZPF stanoví § 4 zákona č. 334/1992 Sb. v platném znění:</w:t>
      </w:r>
    </w:p>
    <w:p w14:paraId="707E1525" w14:textId="77777777" w:rsidR="00060D18" w:rsidRPr="00D57B9D" w:rsidRDefault="00060D18" w:rsidP="00060D18">
      <w:r w:rsidRPr="00D57B9D">
        <w:t>(1)</w:t>
      </w:r>
      <w:r w:rsidRPr="00D57B9D">
        <w:tab/>
        <w:t xml:space="preserve">Pro nezemědělské účely je nutno použít především nezemědělskou půdu, nezastavěné a nedostatečně využité pozemky v zastavěném území, nebo na nezastavěných plochách stavebních pozemků mimo toto území, stavební proluky a plochy získané zbořením přežilých budov a zařízení. Musí-li v nezbytném případě dojít k odnětí zemědělské půdy ze ZPF, je nutno především : </w:t>
      </w:r>
    </w:p>
    <w:p w14:paraId="2FFE175E" w14:textId="77777777" w:rsidR="00060D18" w:rsidRPr="00D57B9D" w:rsidRDefault="00060D18" w:rsidP="00060D18">
      <w:r w:rsidRPr="00D57B9D">
        <w:t>a) odnímat zemědělskou půdu přednostně na zastavitelných plochách;</w:t>
      </w:r>
    </w:p>
    <w:p w14:paraId="41D32C6B" w14:textId="77777777" w:rsidR="00060D18" w:rsidRPr="00D57B9D" w:rsidRDefault="00060D18" w:rsidP="00060D18">
      <w:r w:rsidRPr="00D57B9D">
        <w:t>b) odnímat přednostně zemědělskou půdu méně kvalitní, kritériem kvality půdy jsou třídy ochrany;</w:t>
      </w:r>
    </w:p>
    <w:p w14:paraId="5D5BD258" w14:textId="77777777" w:rsidR="00060D18" w:rsidRPr="00D57B9D" w:rsidRDefault="00060D18" w:rsidP="00060D18">
      <w:r w:rsidRPr="00D57B9D">
        <w:t>c) co nejméně narušovat organizaci zemědělského půdního fondu, hydrologické a odtokové poměry v území a síť zemědělských účelových komunikací;</w:t>
      </w:r>
    </w:p>
    <w:p w14:paraId="26A17321" w14:textId="77777777" w:rsidR="00060D18" w:rsidRPr="00D57B9D" w:rsidRDefault="00060D18" w:rsidP="00060D18">
      <w:r w:rsidRPr="00D57B9D">
        <w:t>d) odnímat co nejnutnější plochu zemědělského půdního fondu a po ukončení nezemědělské činnosti upřednostňovat zemědělské využití pozemků;</w:t>
      </w:r>
    </w:p>
    <w:p w14:paraId="1ACA87D1" w14:textId="77777777" w:rsidR="00060D18" w:rsidRPr="00D57B9D" w:rsidRDefault="00060D18" w:rsidP="00060D18">
      <w:r w:rsidRPr="00D57B9D">
        <w:t>e) při umisťování směrových a liniových staveb co nejméně zatěžovat obhospodařování zemědělského půdního fondu;</w:t>
      </w:r>
    </w:p>
    <w:p w14:paraId="66C913B2" w14:textId="77777777" w:rsidR="00060D18" w:rsidRPr="00D57B9D" w:rsidRDefault="00060D18" w:rsidP="00060D18">
      <w:r w:rsidRPr="00D57B9D">
        <w:t>f) po ukončení povolení nezemědělské činnosti neprodleně provést takovou terénní úpravu, aby dotčená půdy mohla být rekultivována a byla způsobilá k plnění dalších funkcí v krajině podle plánu rekultivace.</w:t>
      </w:r>
    </w:p>
    <w:p w14:paraId="29204016" w14:textId="5547606F" w:rsidR="00060D18" w:rsidRDefault="00060D18" w:rsidP="00060D18">
      <w:pPr>
        <w:rPr>
          <w:b/>
          <w:bCs/>
        </w:rPr>
      </w:pPr>
    </w:p>
    <w:p w14:paraId="2EC1ABEF" w14:textId="741A1EE5" w:rsidR="00060D18" w:rsidRPr="00D57B9D" w:rsidRDefault="00060D18" w:rsidP="00060D18">
      <w:pPr>
        <w:rPr>
          <w:b/>
          <w:bCs/>
        </w:rPr>
      </w:pPr>
      <w:r w:rsidRPr="00D57B9D">
        <w:rPr>
          <w:b/>
          <w:bCs/>
        </w:rPr>
        <w:t>a) odnímat zemědělskou půdu přednostně na zastavitelných plochách</w:t>
      </w:r>
    </w:p>
    <w:p w14:paraId="56EDCE88" w14:textId="77777777" w:rsidR="00060D18" w:rsidRPr="00A00DC0" w:rsidRDefault="00060D18" w:rsidP="00060D18">
      <w:pPr>
        <w:rPr>
          <w:b/>
          <w:bCs/>
        </w:rPr>
      </w:pPr>
      <w:r w:rsidRPr="00D57B9D">
        <w:rPr>
          <w:b/>
          <w:bCs/>
        </w:rPr>
        <w:t xml:space="preserve">b) odnímat přednostně zemědělskou půdu méně kvalitní, kritériem kvality půdy jsou </w:t>
      </w:r>
      <w:r w:rsidRPr="00A00DC0">
        <w:rPr>
          <w:b/>
          <w:bCs/>
        </w:rPr>
        <w:t>třídy ochrany</w:t>
      </w:r>
    </w:p>
    <w:p w14:paraId="6C21483E" w14:textId="77777777" w:rsidR="00060D18" w:rsidRPr="00A00DC0" w:rsidRDefault="00060D18" w:rsidP="00060D18">
      <w:r w:rsidRPr="00A00DC0">
        <w:rPr>
          <w:rFonts w:cs="Calibri"/>
          <w:szCs w:val="18"/>
        </w:rPr>
        <w:t xml:space="preserve">Možnosti záboru nezemědělské půdy vychází ze struktury půdního fondu v řešeném území. </w:t>
      </w:r>
      <w:r w:rsidRPr="00A00DC0">
        <w:t xml:space="preserve">Zábory ZPF byly vymezovány na základě výše uvedených požadavků zákona č. 334/1992 Sb, v platném znění. </w:t>
      </w:r>
    </w:p>
    <w:p w14:paraId="6DB5C749" w14:textId="0585A2EC" w:rsidR="00060D18" w:rsidRPr="00A00DC0" w:rsidRDefault="00060D18" w:rsidP="00060D18">
      <w:pPr>
        <w:rPr>
          <w:rFonts w:cs="Calibri"/>
          <w:szCs w:val="18"/>
        </w:rPr>
      </w:pPr>
      <w:r w:rsidRPr="00A00DC0">
        <w:rPr>
          <w:rFonts w:cs="Calibri"/>
          <w:szCs w:val="18"/>
        </w:rPr>
        <w:t>Přednostně jsou zábory ZPF vymezovány na půdách V. třídy ochrany ZPF (73% záborů ZPF). Na půdách I.</w:t>
      </w:r>
      <w:r w:rsidR="001A6579">
        <w:rPr>
          <w:rFonts w:cs="Calibri"/>
          <w:szCs w:val="18"/>
        </w:rPr>
        <w:t> </w:t>
      </w:r>
      <w:r w:rsidRPr="00A00DC0">
        <w:rPr>
          <w:rFonts w:cs="Calibri"/>
          <w:szCs w:val="18"/>
        </w:rPr>
        <w:t>třídy ochrany je vymezeno 7% záboru ZPF, jedná se o plochy převzaté z původního územního plánu, pro</w:t>
      </w:r>
      <w:r w:rsidR="001A6579">
        <w:rPr>
          <w:rFonts w:cs="Calibri"/>
          <w:szCs w:val="18"/>
        </w:rPr>
        <w:t> </w:t>
      </w:r>
      <w:r w:rsidRPr="00A00DC0">
        <w:rPr>
          <w:rFonts w:cs="Calibri"/>
          <w:szCs w:val="18"/>
        </w:rPr>
        <w:t xml:space="preserve">realizaci technické infrastruktury a výstavbu biotopu. Na půdách II. třídy ochrany je vymezeno 17% záborů ZPF, na půdách III. třídy ochrany jsou vymezena 3% záborů ZPF a na půdách V. třídy ochrany je vymezeno 73% záborů ZPF. </w:t>
      </w:r>
    </w:p>
    <w:p w14:paraId="4F5BAE55" w14:textId="77777777" w:rsidR="00060D18" w:rsidRPr="00A00DC0" w:rsidRDefault="00060D18" w:rsidP="00060D18">
      <w:pPr>
        <w:rPr>
          <w:rFonts w:cs="Calibri"/>
          <w:szCs w:val="18"/>
        </w:rPr>
      </w:pPr>
      <w:r w:rsidRPr="00A00DC0">
        <w:rPr>
          <w:rFonts w:cs="Calibri"/>
          <w:szCs w:val="18"/>
        </w:rPr>
        <w:t xml:space="preserve">Rozvoj obce je navržen tak, aby maximálně využíval vnitřních rezerv v zastavěném území obce a nové zastavitelné plochy vždy navazovaly na zastavěné území obce a maximálně využívaly stávající veřejnou infrastrukturu. </w:t>
      </w:r>
    </w:p>
    <w:p w14:paraId="116B7209" w14:textId="42F38336" w:rsidR="00060D18" w:rsidRPr="00A00DC0" w:rsidRDefault="00060D18" w:rsidP="00060D18">
      <w:r w:rsidRPr="00A00DC0">
        <w:t xml:space="preserve">Územní plán navrhuje zábor ZPF celkem </w:t>
      </w:r>
      <w:r w:rsidR="001A6579">
        <w:rPr>
          <w:b/>
          <w:bCs/>
        </w:rPr>
        <w:t>21,25</w:t>
      </w:r>
      <w:r w:rsidRPr="00A00DC0">
        <w:rPr>
          <w:b/>
          <w:bCs/>
        </w:rPr>
        <w:t xml:space="preserve"> ha</w:t>
      </w:r>
      <w:r w:rsidRPr="00A00DC0">
        <w:t xml:space="preserve">, z toho </w:t>
      </w:r>
      <w:r w:rsidRPr="00A00DC0">
        <w:rPr>
          <w:b/>
          <w:bCs/>
        </w:rPr>
        <w:t>19,</w:t>
      </w:r>
      <w:r w:rsidR="001A6579">
        <w:rPr>
          <w:b/>
          <w:bCs/>
        </w:rPr>
        <w:t>96</w:t>
      </w:r>
      <w:r w:rsidRPr="00A00DC0">
        <w:rPr>
          <w:b/>
          <w:bCs/>
        </w:rPr>
        <w:t xml:space="preserve"> ha</w:t>
      </w:r>
      <w:r w:rsidRPr="00A00DC0">
        <w:t xml:space="preserve"> jsou zábory pro zastavitelné plochy a</w:t>
      </w:r>
      <w:r w:rsidR="001A6579">
        <w:t> p</w:t>
      </w:r>
      <w:r w:rsidRPr="00A00DC0">
        <w:t xml:space="preserve">lochy transformační, </w:t>
      </w:r>
      <w:r w:rsidRPr="00A00DC0">
        <w:rPr>
          <w:b/>
          <w:bCs/>
        </w:rPr>
        <w:t>1,28 ha</w:t>
      </w:r>
      <w:r w:rsidRPr="00A00DC0">
        <w:t xml:space="preserve"> jsou zábory pro koridory technické infrastruktury.</w:t>
      </w:r>
    </w:p>
    <w:p w14:paraId="62027518" w14:textId="77777777" w:rsidR="00060D18" w:rsidRPr="005C3063" w:rsidRDefault="00060D18" w:rsidP="00060D18">
      <w:pPr>
        <w:rPr>
          <w:highlight w:val="yellow"/>
        </w:rPr>
      </w:pPr>
    </w:p>
    <w:p w14:paraId="135311E8" w14:textId="79AE72C3" w:rsidR="00060D18" w:rsidRPr="00D57B9D" w:rsidRDefault="00060D18" w:rsidP="00060D18">
      <w:pPr>
        <w:rPr>
          <w:b/>
          <w:bCs/>
        </w:rPr>
      </w:pPr>
      <w:r w:rsidRPr="00D57B9D">
        <w:rPr>
          <w:b/>
          <w:bCs/>
        </w:rPr>
        <w:t>c) co nejméně narušovat organizaci zemědělského půdního fondu, hydrologické a odtokové poměry v</w:t>
      </w:r>
      <w:r w:rsidR="001A6579">
        <w:rPr>
          <w:b/>
          <w:bCs/>
        </w:rPr>
        <w:t> </w:t>
      </w:r>
      <w:r w:rsidRPr="00D57B9D">
        <w:rPr>
          <w:b/>
          <w:bCs/>
        </w:rPr>
        <w:t>území a síť zemědělských účelových komunikací</w:t>
      </w:r>
    </w:p>
    <w:p w14:paraId="74E2B23E" w14:textId="77777777" w:rsidR="00060D18" w:rsidRPr="00D57B9D" w:rsidRDefault="00060D18" w:rsidP="00060D18"/>
    <w:p w14:paraId="37DCE0DF" w14:textId="77777777" w:rsidR="00060D18" w:rsidRPr="00A00DC0" w:rsidRDefault="00060D18" w:rsidP="00060D18">
      <w:r w:rsidRPr="00D57B9D">
        <w:t xml:space="preserve">Pozemky zemědělského půdního fondu byly stabilizovány jako plochy smíšené nezastavěného území všeobecné (MU) s využitím pro zemědělskou činnost a ochranu ZPF. Řešením územního plánu nedojde k nevhodnému narušení stávajícího uspořádání zemědělského půdního fondu. Žádná z návrhových ploch není situovaná tak, aby měla za následek vznik zbytkových ploch ZPF, jejichž obhospodařování by bylo </w:t>
      </w:r>
      <w:r w:rsidRPr="00D57B9D">
        <w:lastRenderedPageBreak/>
        <w:t xml:space="preserve">znemožněno, nebo </w:t>
      </w:r>
      <w:r w:rsidRPr="00A00DC0">
        <w:t>by nově vzniklé plochy ZPF nebyly dopravně přístupné pro zemědělskou mechanizaci. Řešení územního plánu navrhuje trasování systému ÚSES. Skladebné části ÚSES jsou řešeny na plochách, které nejsou v konfliktu s plochami určenými k zástavbě a nezasahují do zastavěné části obce.</w:t>
      </w:r>
    </w:p>
    <w:p w14:paraId="2FAB97AA" w14:textId="77777777" w:rsidR="00060D18" w:rsidRPr="00A00DC0" w:rsidRDefault="00060D18" w:rsidP="00060D18"/>
    <w:p w14:paraId="64E627A0" w14:textId="77777777" w:rsidR="00060D18" w:rsidRPr="00A00DC0" w:rsidRDefault="00060D18" w:rsidP="00060D18">
      <w:pPr>
        <w:rPr>
          <w:b/>
          <w:bCs/>
        </w:rPr>
      </w:pPr>
      <w:r w:rsidRPr="00A00DC0">
        <w:rPr>
          <w:b/>
          <w:bCs/>
        </w:rPr>
        <w:t>d) odnímat co nejnutnější plochu zemědělského půdního fondu a po ukončení nezemědělské činnosti upřednostňovat zemědělské využití pozemků</w:t>
      </w:r>
    </w:p>
    <w:p w14:paraId="3088A02C" w14:textId="77777777" w:rsidR="00060D18" w:rsidRPr="00A00DC0" w:rsidRDefault="00060D18" w:rsidP="00060D18">
      <w:r w:rsidRPr="00A00DC0">
        <w:t>Zábory půdního fondu jsou navrženy s ohledem na zajištění rozvojových potřeb města. V rámci realizace protipovodňových opatření v koridorech technické infrastruktury bude nevyužitá půda využívána pro zemědělské účely.</w:t>
      </w:r>
    </w:p>
    <w:p w14:paraId="047589BC" w14:textId="77777777" w:rsidR="00060D18" w:rsidRPr="00A00DC0" w:rsidRDefault="00060D18" w:rsidP="00060D18"/>
    <w:p w14:paraId="2C31AB4B" w14:textId="77777777" w:rsidR="00060D18" w:rsidRPr="00A00DC0" w:rsidRDefault="00060D18" w:rsidP="00060D18">
      <w:pPr>
        <w:rPr>
          <w:b/>
          <w:bCs/>
        </w:rPr>
      </w:pPr>
      <w:r w:rsidRPr="00A00DC0">
        <w:rPr>
          <w:b/>
          <w:bCs/>
        </w:rPr>
        <w:t>e) při umisťování směrových a liniových staveb co nejméně zatěžovat obhospodařování zemědělského půdního fondu</w:t>
      </w:r>
    </w:p>
    <w:p w14:paraId="771D16D2" w14:textId="77777777" w:rsidR="00060D18" w:rsidRPr="00A00DC0" w:rsidRDefault="00060D18" w:rsidP="00060D18">
      <w:pPr>
        <w:rPr>
          <w:rFonts w:asciiTheme="minorHAnsi" w:hAnsiTheme="minorHAnsi" w:cstheme="minorHAnsi"/>
          <w:szCs w:val="18"/>
        </w:rPr>
      </w:pPr>
      <w:r w:rsidRPr="00A00DC0">
        <w:rPr>
          <w:rFonts w:asciiTheme="minorHAnsi" w:hAnsiTheme="minorHAnsi" w:cstheme="minorHAnsi"/>
          <w:szCs w:val="18"/>
        </w:rPr>
        <w:t xml:space="preserve">Územní plán nevymezuje koridory pro dopravní infrastrukturu. Vymezuje plochy pro koridory technické infrastruktury, které slouží k realizaci protipovodňových opatření. Předpokládaný zábor ZPF je stanoven odborným odhadem. Vlastní rozsah záboru bude záviset na konkrétních parametrech stavby. </w:t>
      </w:r>
    </w:p>
    <w:p w14:paraId="3201651C" w14:textId="1E36832E" w:rsidR="00060D18" w:rsidRPr="00D57B9D" w:rsidRDefault="00060D18" w:rsidP="00060D18">
      <w:pPr>
        <w:rPr>
          <w:rFonts w:asciiTheme="minorHAnsi" w:hAnsiTheme="minorHAnsi" w:cstheme="minorHAnsi"/>
          <w:szCs w:val="18"/>
        </w:rPr>
      </w:pPr>
      <w:r w:rsidRPr="00A00DC0">
        <w:rPr>
          <w:rFonts w:asciiTheme="minorHAnsi" w:hAnsiTheme="minorHAnsi" w:cstheme="minorHAnsi"/>
          <w:szCs w:val="18"/>
        </w:rPr>
        <w:t>Opatření technické infrastruktury jsou řešen</w:t>
      </w:r>
      <w:r>
        <w:rPr>
          <w:rFonts w:asciiTheme="minorHAnsi" w:hAnsiTheme="minorHAnsi" w:cstheme="minorHAnsi"/>
          <w:szCs w:val="18"/>
        </w:rPr>
        <w:t>a</w:t>
      </w:r>
      <w:r w:rsidRPr="00A00DC0">
        <w:rPr>
          <w:rFonts w:asciiTheme="minorHAnsi" w:hAnsiTheme="minorHAnsi" w:cstheme="minorHAnsi"/>
          <w:szCs w:val="18"/>
        </w:rPr>
        <w:t xml:space="preserve"> formou koridoru nad plochou mj. i z důvodu minimalizace záboru ZPF, kdy koridor má větší </w:t>
      </w:r>
      <w:r w:rsidR="001A6579" w:rsidRPr="00A00DC0">
        <w:rPr>
          <w:rFonts w:asciiTheme="minorHAnsi" w:hAnsiTheme="minorHAnsi" w:cstheme="minorHAnsi"/>
          <w:szCs w:val="18"/>
        </w:rPr>
        <w:t>výměru</w:t>
      </w:r>
      <w:r w:rsidRPr="00A00DC0">
        <w:rPr>
          <w:rFonts w:asciiTheme="minorHAnsi" w:hAnsiTheme="minorHAnsi" w:cstheme="minorHAnsi"/>
          <w:szCs w:val="18"/>
        </w:rPr>
        <w:t xml:space="preserve"> než výsledně umístěná stavba. Územního plánu tedy nevymezuje zbytečně rozsáhlé</w:t>
      </w:r>
      <w:r w:rsidRPr="00D57B9D">
        <w:rPr>
          <w:rFonts w:asciiTheme="minorHAnsi" w:hAnsiTheme="minorHAnsi" w:cstheme="minorHAnsi"/>
          <w:szCs w:val="18"/>
        </w:rPr>
        <w:t xml:space="preserve"> zábory půdního fondu pro nezemědělské využití (např. formou ploch s rozdílným způsobem využití) u opatření technické infrastruktury, kde není známo podrobné řešení a plošný zábor by musel být značně rozsáhlejší než výsledná potřeba.</w:t>
      </w:r>
    </w:p>
    <w:p w14:paraId="7A90AF85" w14:textId="77777777" w:rsidR="00060D18" w:rsidRPr="00D57B9D" w:rsidRDefault="00060D18" w:rsidP="00060D18">
      <w:pPr>
        <w:rPr>
          <w:rFonts w:asciiTheme="minorHAnsi" w:hAnsiTheme="minorHAnsi" w:cstheme="minorHAnsi"/>
          <w:szCs w:val="18"/>
        </w:rPr>
      </w:pPr>
    </w:p>
    <w:p w14:paraId="1BAA850B" w14:textId="77777777" w:rsidR="00060D18" w:rsidRPr="00D57B9D" w:rsidRDefault="00060D18" w:rsidP="00060D18">
      <w:pPr>
        <w:rPr>
          <w:b/>
          <w:bCs/>
        </w:rPr>
      </w:pPr>
      <w:r w:rsidRPr="00D57B9D">
        <w:rPr>
          <w:b/>
          <w:bCs/>
        </w:rPr>
        <w:t>f) po ukončení povolení nezemědělské činnosti neprodleně provést takovou terénní úpravu, aby dotčená půdy mohla být rekultivována a byla způsobilá k plnění dalších funkcí v krajině podle plánu rekultivace</w:t>
      </w:r>
    </w:p>
    <w:p w14:paraId="6A819FE6" w14:textId="77777777" w:rsidR="00060D18" w:rsidRPr="00D57B9D" w:rsidRDefault="00060D18" w:rsidP="00060D18">
      <w:r w:rsidRPr="00D57B9D">
        <w:rPr>
          <w:rFonts w:asciiTheme="minorHAnsi" w:hAnsiTheme="minorHAnsi" w:cstheme="minorHAnsi"/>
          <w:szCs w:val="18"/>
        </w:rPr>
        <w:t>Týká se ploch dočasného záboru ZPF, tj. koridorů technické infrastruktury. Podmínky záboru ZPF, a tedy i provedení zpětné zemědělské rekultivace, mohou být řešeny až ve fázi přípravy konkrétního záměru, s přihlédnutím k obecným zásadám plošné ochrany ZPF.</w:t>
      </w:r>
    </w:p>
    <w:p w14:paraId="202EF9FD" w14:textId="085BFEEE" w:rsidR="00060D18" w:rsidRDefault="00060D18" w:rsidP="00060D18">
      <w:pPr>
        <w:pStyle w:val="Nadpis3"/>
      </w:pPr>
      <w:bookmarkStart w:id="177" w:name="_Toc232612676"/>
      <w:r w:rsidRPr="00D57B9D">
        <w:t xml:space="preserve">Zdůvodnění řešení požadovaného záboru ZPF dle navrhovaného </w:t>
      </w:r>
      <w:r w:rsidRPr="00067AAF">
        <w:t>způsobu využití</w:t>
      </w:r>
      <w:bookmarkEnd w:id="177"/>
    </w:p>
    <w:p w14:paraId="653D82CF" w14:textId="624CE7BB" w:rsidR="00060D18" w:rsidRPr="00067AAF" w:rsidRDefault="00060D18" w:rsidP="00060D18">
      <w:r>
        <w:t>N</w:t>
      </w:r>
      <w:r w:rsidRPr="00067AAF">
        <w:t xml:space="preserve">ový územní plán Hlubočky definuje minimální možné rozvoje v rámci jednotlivých místních </w:t>
      </w:r>
      <w:r w:rsidR="00AE7FA9" w:rsidRPr="00067AAF">
        <w:t>částí,</w:t>
      </w:r>
      <w:r w:rsidRPr="00067AAF">
        <w:t xml:space="preserve"> a naopak koncentruje hlavní rozvojový potenciál k historickému jádru Hluboček, kde již byl rozvoj lokalizován v minulém územním plánu.</w:t>
      </w:r>
    </w:p>
    <w:p w14:paraId="66AD0922" w14:textId="77777777" w:rsidR="00060D18" w:rsidRPr="007027F2" w:rsidRDefault="00060D18" w:rsidP="00060D18">
      <w:r w:rsidRPr="00067AAF">
        <w:t xml:space="preserve">Při řešení koncepce rozvoje bylo přednostně využito proluk v zástavbě, které byly </w:t>
      </w:r>
      <w:r w:rsidRPr="007027F2">
        <w:t>zahrnuty do zastavěného území, z důvodu minimalizace nových záborů v krajině a dotčení pozemků ZPF.</w:t>
      </w:r>
    </w:p>
    <w:p w14:paraId="4CB9B365" w14:textId="2E581715" w:rsidR="00060D18" w:rsidRPr="007027F2" w:rsidRDefault="00060D18" w:rsidP="00060D18">
      <w:r w:rsidRPr="007027F2">
        <w:t>Největší podíl zastavitelných ploch je vymezen v k.ú. Hlubočky s ohledem na jeho rozvojový potenciál a koncentraci služeb a vybavení. Z celkové plochy 22,50 ha zastavitelných a transformačních ploch se cca 34% nachází ve vlastnictví obce. To umožňuje městu vytvářet dostatečnou rezervu pro rozvoj a koncentrovat ho do území se zajištěnou veřejnou infrastrukturou.</w:t>
      </w:r>
    </w:p>
    <w:p w14:paraId="1E8E4AB8" w14:textId="0B241A03" w:rsidR="00060D18" w:rsidRDefault="00060D18" w:rsidP="00060D18">
      <w:r w:rsidRPr="007027F2">
        <w:t>Plochy smíšené obytné jsou vymezovány v návaznosti na zastavěné území a již probíhající rozvoj jednotlivých lokalit a v plochách stávajících rekreačních zahrad, kde je již viditelná postupná konverze na trvalé bydlení. Plochy technické infrastruktury jsou převzaty z předchozího ÚP.</w:t>
      </w:r>
    </w:p>
    <w:p w14:paraId="64FEBE7D" w14:textId="75637EE1" w:rsidR="00060D18" w:rsidRDefault="00060D18" w:rsidP="008A41F9">
      <w:pPr>
        <w:pStyle w:val="Nadpis4"/>
      </w:pPr>
      <w:r w:rsidRPr="00067AAF">
        <w:t>Zastavitelné plochy a plochy transformační</w:t>
      </w:r>
    </w:p>
    <w:p w14:paraId="615564BF" w14:textId="52F8A96C" w:rsidR="005B4528" w:rsidRPr="00067AAF" w:rsidRDefault="005B4528" w:rsidP="005B4528">
      <w:r w:rsidRPr="00067AAF">
        <w:t xml:space="preserve">Územní plán navrhuje zábor ZPF celkem </w:t>
      </w:r>
      <w:r w:rsidRPr="00067AAF">
        <w:rPr>
          <w:b/>
        </w:rPr>
        <w:t>13,9</w:t>
      </w:r>
      <w:r w:rsidR="001A6579">
        <w:rPr>
          <w:b/>
        </w:rPr>
        <w:t>92</w:t>
      </w:r>
      <w:r w:rsidRPr="00067AAF">
        <w:rPr>
          <w:b/>
        </w:rPr>
        <w:t xml:space="preserve"> ha </w:t>
      </w:r>
      <w:r w:rsidRPr="00067AAF">
        <w:rPr>
          <w:bCs/>
        </w:rPr>
        <w:t>pro zastavitelné plochy</w:t>
      </w:r>
      <w:r w:rsidRPr="00067AAF">
        <w:t>.</w:t>
      </w:r>
    </w:p>
    <w:p w14:paraId="38740845" w14:textId="77777777" w:rsidR="005B4528" w:rsidRPr="00067AAF" w:rsidRDefault="005B4528" w:rsidP="005B4528">
      <w:r w:rsidRPr="00067AAF">
        <w:t xml:space="preserve">Navrhovaným řešením nejsou dotčeny sítě účelových komunikací sloužících k obhospodařování zemědělských a lesních pozemků a sítě polních cest. </w:t>
      </w:r>
    </w:p>
    <w:p w14:paraId="5A173E6F" w14:textId="77777777" w:rsidR="005B4528" w:rsidRPr="00067AAF" w:rsidRDefault="005B4528" w:rsidP="005B4528">
      <w:r w:rsidRPr="00067AAF">
        <w:t xml:space="preserve">Při vyhodnocování optimální lokalizace zastavitelných ploch byla zohledňována zejména kvalita ZPF (třída ochrany ZPF) a minimalizace nových záborů ZPF. </w:t>
      </w:r>
    </w:p>
    <w:p w14:paraId="7CC69076" w14:textId="77777777" w:rsidR="005B4528" w:rsidRPr="00067AAF" w:rsidRDefault="005B4528" w:rsidP="005B4528">
      <w:r w:rsidRPr="00067AAF">
        <w:rPr>
          <w:b/>
          <w:bCs/>
          <w:u w:val="single"/>
        </w:rPr>
        <w:t>Důvody vymezení zastavitelných ploch a ploch přestavby jsou uvedeny v urbanistické koncepci.</w:t>
      </w:r>
    </w:p>
    <w:p w14:paraId="0132C0A3" w14:textId="64B84C6B" w:rsidR="005B4528" w:rsidRPr="00067AAF" w:rsidRDefault="005B4528" w:rsidP="005B4528">
      <w:r w:rsidRPr="00067AAF">
        <w:t xml:space="preserve">Územní plán vymezuje v rámci zastavěného území celkem </w:t>
      </w:r>
      <w:r>
        <w:rPr>
          <w:b/>
          <w:bCs/>
        </w:rPr>
        <w:t>5,</w:t>
      </w:r>
      <w:r w:rsidR="005732FF">
        <w:rPr>
          <w:b/>
          <w:bCs/>
        </w:rPr>
        <w:t>971</w:t>
      </w:r>
      <w:r w:rsidRPr="00067AAF">
        <w:rPr>
          <w:b/>
          <w:bCs/>
        </w:rPr>
        <w:t xml:space="preserve"> ha</w:t>
      </w:r>
      <w:r w:rsidRPr="00067AAF">
        <w:t xml:space="preserve"> záboru ZPF v transformačních plochách. Zábor je s ohledem na rozsah správního území marginální a je realizován převážně na půdách V. třídy ochrany ZPF. </w:t>
      </w:r>
    </w:p>
    <w:p w14:paraId="1314E94F" w14:textId="5DC803F8" w:rsidR="001A6579" w:rsidRDefault="001A6579">
      <w:pPr>
        <w:spacing w:before="0" w:after="0"/>
        <w:ind w:left="0"/>
        <w:jc w:val="left"/>
      </w:pPr>
      <w:r>
        <w:br w:type="page"/>
      </w:r>
    </w:p>
    <w:p w14:paraId="2447491A" w14:textId="77777777" w:rsidR="005B4528" w:rsidRDefault="005B4528" w:rsidP="005B4528">
      <w:r w:rsidRPr="00067AAF">
        <w:lastRenderedPageBreak/>
        <w:t>Níže jsou uvedeny celkové bilance záborů ZPF v členění podle ploch s rozdílným způsobem využití.</w:t>
      </w:r>
    </w:p>
    <w:p w14:paraId="00042A87" w14:textId="77777777" w:rsidR="005B4528" w:rsidRDefault="005B4528" w:rsidP="001A6579">
      <w:pPr>
        <w:rPr>
          <w:u w:val="single"/>
        </w:rPr>
      </w:pPr>
      <w:r>
        <w:rPr>
          <w:u w:val="single"/>
        </w:rPr>
        <w:t>Plochy smíšené obytné</w:t>
      </w:r>
    </w:p>
    <w:p w14:paraId="46338A2C" w14:textId="77777777" w:rsidR="005B4528" w:rsidRDefault="005B4528" w:rsidP="005B4528">
      <w:pPr>
        <w:ind w:hanging="425"/>
      </w:pPr>
      <w:r>
        <w:t>.1.1</w:t>
      </w:r>
      <w:r>
        <w:tab/>
        <w:t>plochy transformační</w:t>
      </w:r>
    </w:p>
    <w:p w14:paraId="7292F765" w14:textId="77777777" w:rsidR="005B4528" w:rsidRDefault="005B4528" w:rsidP="005B4528">
      <w:r>
        <w:t xml:space="preserve">Plochy transformační smíšené obytné jsou vymezeny v rámci zastavěného území tak, aby bylo maximálně efektivně využito pro rozvoj zástavby uvnitř města a ostatních sídel. </w:t>
      </w:r>
    </w:p>
    <w:p w14:paraId="5E104482" w14:textId="77777777" w:rsidR="005B4528" w:rsidRDefault="005B4528" w:rsidP="005B4528">
      <w:r>
        <w:t>Zábory ZPF jsou převážně na půdách V. třídy ochrany, tedy s nízkým stupněm ochrany. Pro zábor ZPF jsou tyto půdy nejvýhodnější.</w:t>
      </w:r>
    </w:p>
    <w:p w14:paraId="54D611BF" w14:textId="3E68049F" w:rsidR="005B4528" w:rsidRDefault="005B4528" w:rsidP="005B4528">
      <w:r>
        <w:t xml:space="preserve">Celkem je pro plochy transformační pro bydlení (plochy smíšené obytné všeobecné (SU) a plochy smíšené obytné venkovské – SV) vymezen zábor ZPF </w:t>
      </w:r>
      <w:r>
        <w:rPr>
          <w:b/>
          <w:bCs/>
        </w:rPr>
        <w:t>4,</w:t>
      </w:r>
      <w:r w:rsidR="00543E89">
        <w:rPr>
          <w:b/>
          <w:bCs/>
        </w:rPr>
        <w:t>798</w:t>
      </w:r>
      <w:r>
        <w:rPr>
          <w:b/>
          <w:bCs/>
        </w:rPr>
        <w:t xml:space="preserve"> ha</w:t>
      </w:r>
      <w:r>
        <w:t xml:space="preserve">. </w:t>
      </w:r>
    </w:p>
    <w:p w14:paraId="42ABF215" w14:textId="77777777" w:rsidR="005B4528" w:rsidRPr="005B4528" w:rsidRDefault="005B4528" w:rsidP="005B4528"/>
    <w:tbl>
      <w:tblPr>
        <w:tblW w:w="7784" w:type="dxa"/>
        <w:tblInd w:w="709" w:type="dxa"/>
        <w:tblBorders>
          <w:top w:val="dashSmallGap" w:sz="4" w:space="0" w:color="auto"/>
          <w:bottom w:val="dashSmallGap" w:sz="4" w:space="0" w:color="auto"/>
          <w:insideH w:val="dashSmallGap" w:sz="4" w:space="0" w:color="auto"/>
        </w:tblBorders>
        <w:tblCellMar>
          <w:left w:w="70" w:type="dxa"/>
          <w:right w:w="70" w:type="dxa"/>
        </w:tblCellMar>
        <w:tblLook w:val="04A0" w:firstRow="1" w:lastRow="0" w:firstColumn="1" w:lastColumn="0" w:noHBand="0" w:noVBand="1"/>
      </w:tblPr>
      <w:tblGrid>
        <w:gridCol w:w="1843"/>
        <w:gridCol w:w="1300"/>
        <w:gridCol w:w="3236"/>
        <w:gridCol w:w="1405"/>
      </w:tblGrid>
      <w:tr w:rsidR="005B4528" w:rsidRPr="00B754C6" w14:paraId="6A24A8D5" w14:textId="77777777" w:rsidTr="005B4528">
        <w:trPr>
          <w:trHeight w:val="300"/>
          <w:tblHeader/>
        </w:trPr>
        <w:tc>
          <w:tcPr>
            <w:tcW w:w="1843" w:type="dxa"/>
            <w:tcBorders>
              <w:top w:val="dashSmallGap" w:sz="4" w:space="0" w:color="auto"/>
              <w:left w:val="nil"/>
              <w:bottom w:val="dashSmallGap" w:sz="4" w:space="0" w:color="auto"/>
              <w:right w:val="nil"/>
            </w:tcBorders>
            <w:vAlign w:val="center"/>
            <w:hideMark/>
          </w:tcPr>
          <w:p w14:paraId="3373BD28" w14:textId="77777777" w:rsidR="005B4528" w:rsidRPr="00B754C6" w:rsidRDefault="005B4528" w:rsidP="00B53C19">
            <w:pPr>
              <w:spacing w:before="0" w:after="0" w:line="257" w:lineRule="auto"/>
              <w:ind w:left="-66"/>
              <w:contextualSpacing/>
              <w:jc w:val="left"/>
              <w:rPr>
                <w:rFonts w:cs="Calibri"/>
                <w:b/>
                <w:bCs/>
                <w:sz w:val="16"/>
                <w:szCs w:val="16"/>
                <w:lang w:eastAsia="en-US"/>
              </w:rPr>
            </w:pPr>
            <w:r w:rsidRPr="00B754C6">
              <w:rPr>
                <w:rFonts w:cs="Calibri"/>
                <w:b/>
                <w:bCs/>
                <w:sz w:val="16"/>
                <w:szCs w:val="16"/>
                <w:lang w:eastAsia="en-US"/>
              </w:rPr>
              <w:t>Označení plochy</w:t>
            </w:r>
          </w:p>
        </w:tc>
        <w:tc>
          <w:tcPr>
            <w:tcW w:w="1300" w:type="dxa"/>
            <w:tcBorders>
              <w:top w:val="dashSmallGap" w:sz="4" w:space="0" w:color="auto"/>
              <w:left w:val="nil"/>
              <w:bottom w:val="dashSmallGap" w:sz="4" w:space="0" w:color="auto"/>
              <w:right w:val="nil"/>
            </w:tcBorders>
            <w:vAlign w:val="center"/>
            <w:hideMark/>
          </w:tcPr>
          <w:p w14:paraId="7A2C692A" w14:textId="77777777" w:rsidR="005B4528" w:rsidRPr="00B754C6" w:rsidRDefault="005B4528" w:rsidP="00B53C19">
            <w:pPr>
              <w:spacing w:before="0" w:after="0" w:line="257" w:lineRule="auto"/>
              <w:contextualSpacing/>
              <w:jc w:val="center"/>
              <w:rPr>
                <w:rFonts w:cs="Calibri"/>
                <w:b/>
                <w:bCs/>
                <w:sz w:val="16"/>
                <w:szCs w:val="16"/>
                <w:lang w:eastAsia="en-US"/>
              </w:rPr>
            </w:pPr>
            <w:r w:rsidRPr="00B754C6">
              <w:rPr>
                <w:rFonts w:cs="Calibri"/>
                <w:b/>
                <w:bCs/>
                <w:sz w:val="16"/>
                <w:szCs w:val="16"/>
                <w:lang w:eastAsia="en-US"/>
              </w:rPr>
              <w:t>využití</w:t>
            </w:r>
          </w:p>
        </w:tc>
        <w:tc>
          <w:tcPr>
            <w:tcW w:w="3236" w:type="dxa"/>
            <w:tcBorders>
              <w:top w:val="dashSmallGap" w:sz="4" w:space="0" w:color="auto"/>
              <w:left w:val="nil"/>
              <w:bottom w:val="dashSmallGap" w:sz="4" w:space="0" w:color="auto"/>
              <w:right w:val="nil"/>
            </w:tcBorders>
            <w:vAlign w:val="center"/>
            <w:hideMark/>
          </w:tcPr>
          <w:p w14:paraId="14CB74F5" w14:textId="77777777" w:rsidR="005B4528" w:rsidRPr="00B754C6" w:rsidRDefault="005B4528" w:rsidP="00B53C19">
            <w:pPr>
              <w:spacing w:before="0" w:after="0" w:line="257" w:lineRule="auto"/>
              <w:contextualSpacing/>
              <w:jc w:val="center"/>
              <w:rPr>
                <w:rFonts w:cs="Calibri"/>
                <w:b/>
                <w:bCs/>
                <w:sz w:val="16"/>
                <w:szCs w:val="16"/>
                <w:lang w:eastAsia="en-US"/>
              </w:rPr>
            </w:pPr>
            <w:r w:rsidRPr="00B754C6">
              <w:rPr>
                <w:rFonts w:cs="Calibri"/>
                <w:b/>
                <w:bCs/>
                <w:sz w:val="16"/>
                <w:szCs w:val="16"/>
                <w:lang w:eastAsia="en-US"/>
              </w:rPr>
              <w:t>(ha)</w:t>
            </w:r>
          </w:p>
        </w:tc>
        <w:tc>
          <w:tcPr>
            <w:tcW w:w="1405" w:type="dxa"/>
            <w:tcBorders>
              <w:top w:val="dashSmallGap" w:sz="4" w:space="0" w:color="auto"/>
              <w:left w:val="nil"/>
              <w:bottom w:val="dashSmallGap" w:sz="4" w:space="0" w:color="auto"/>
              <w:right w:val="nil"/>
            </w:tcBorders>
            <w:noWrap/>
            <w:vAlign w:val="center"/>
            <w:hideMark/>
          </w:tcPr>
          <w:p w14:paraId="5C52A8DA" w14:textId="77777777" w:rsidR="005B4528" w:rsidRPr="00B754C6" w:rsidRDefault="005B4528" w:rsidP="00B53C19">
            <w:pPr>
              <w:spacing w:before="0" w:after="0" w:line="257" w:lineRule="auto"/>
              <w:ind w:left="0"/>
              <w:contextualSpacing/>
              <w:jc w:val="left"/>
              <w:rPr>
                <w:rFonts w:cs="Calibri"/>
                <w:b/>
                <w:bCs/>
                <w:sz w:val="16"/>
                <w:szCs w:val="16"/>
                <w:lang w:eastAsia="en-US"/>
              </w:rPr>
            </w:pPr>
            <w:r w:rsidRPr="00B754C6">
              <w:rPr>
                <w:rFonts w:cs="Calibri"/>
                <w:b/>
                <w:bCs/>
                <w:sz w:val="16"/>
                <w:szCs w:val="16"/>
                <w:lang w:eastAsia="en-US"/>
              </w:rPr>
              <w:t>třída ochrany ZPF</w:t>
            </w:r>
          </w:p>
        </w:tc>
      </w:tr>
      <w:tr w:rsidR="005B4528" w:rsidRPr="00B754C6" w14:paraId="0A1618A1" w14:textId="77777777" w:rsidTr="005B4528">
        <w:trPr>
          <w:trHeight w:val="225"/>
        </w:trPr>
        <w:tc>
          <w:tcPr>
            <w:tcW w:w="1843" w:type="dxa"/>
            <w:tcBorders>
              <w:top w:val="dashSmallGap" w:sz="4" w:space="0" w:color="auto"/>
              <w:left w:val="nil"/>
              <w:bottom w:val="nil"/>
              <w:right w:val="nil"/>
            </w:tcBorders>
            <w:noWrap/>
            <w:vAlign w:val="center"/>
            <w:hideMark/>
          </w:tcPr>
          <w:p w14:paraId="1B6DD3F7" w14:textId="77777777" w:rsidR="005B4528" w:rsidRPr="00B754C6" w:rsidRDefault="005B4528" w:rsidP="00B53C19">
            <w:pPr>
              <w:spacing w:before="0" w:after="0" w:line="257" w:lineRule="auto"/>
              <w:ind w:left="-66"/>
              <w:contextualSpacing/>
              <w:jc w:val="left"/>
              <w:rPr>
                <w:rFonts w:cs="Calibri"/>
                <w:b/>
                <w:bCs/>
                <w:sz w:val="16"/>
                <w:szCs w:val="16"/>
                <w:lang w:eastAsia="en-US"/>
              </w:rPr>
            </w:pPr>
            <w:r w:rsidRPr="00B754C6">
              <w:rPr>
                <w:rFonts w:cs="Calibri"/>
                <w:b/>
                <w:bCs/>
                <w:sz w:val="16"/>
                <w:szCs w:val="16"/>
                <w:lang w:eastAsia="en-US"/>
              </w:rPr>
              <w:t>T.02-1</w:t>
            </w:r>
          </w:p>
        </w:tc>
        <w:tc>
          <w:tcPr>
            <w:tcW w:w="1300" w:type="dxa"/>
            <w:tcBorders>
              <w:top w:val="dashSmallGap" w:sz="4" w:space="0" w:color="auto"/>
              <w:left w:val="nil"/>
              <w:bottom w:val="nil"/>
              <w:right w:val="nil"/>
            </w:tcBorders>
            <w:noWrap/>
            <w:vAlign w:val="bottom"/>
            <w:hideMark/>
          </w:tcPr>
          <w:p w14:paraId="5F696360" w14:textId="77777777" w:rsidR="005B4528" w:rsidRPr="00B754C6" w:rsidRDefault="005B4528" w:rsidP="00B53C19">
            <w:pPr>
              <w:spacing w:before="0" w:after="0" w:line="257" w:lineRule="auto"/>
              <w:contextualSpacing/>
              <w:jc w:val="center"/>
              <w:rPr>
                <w:rFonts w:cs="Calibri"/>
                <w:b/>
                <w:bCs/>
                <w:sz w:val="16"/>
                <w:szCs w:val="16"/>
                <w:lang w:eastAsia="en-US"/>
              </w:rPr>
            </w:pPr>
            <w:r w:rsidRPr="00B754C6">
              <w:rPr>
                <w:rFonts w:cs="Calibri"/>
                <w:b/>
                <w:bCs/>
                <w:sz w:val="16"/>
                <w:szCs w:val="16"/>
                <w:lang w:eastAsia="en-US"/>
              </w:rPr>
              <w:t>SV</w:t>
            </w:r>
          </w:p>
        </w:tc>
        <w:tc>
          <w:tcPr>
            <w:tcW w:w="3236" w:type="dxa"/>
            <w:tcBorders>
              <w:top w:val="dashSmallGap" w:sz="4" w:space="0" w:color="auto"/>
              <w:left w:val="nil"/>
              <w:bottom w:val="nil"/>
              <w:right w:val="nil"/>
            </w:tcBorders>
            <w:noWrap/>
            <w:vAlign w:val="center"/>
            <w:hideMark/>
          </w:tcPr>
          <w:p w14:paraId="69164000" w14:textId="77777777" w:rsidR="005B4528" w:rsidRPr="00B754C6" w:rsidRDefault="005B4528" w:rsidP="00B53C19">
            <w:pPr>
              <w:spacing w:before="0" w:after="0" w:line="257" w:lineRule="auto"/>
              <w:contextualSpacing/>
              <w:jc w:val="center"/>
              <w:rPr>
                <w:rFonts w:cs="Calibri"/>
                <w:b/>
                <w:bCs/>
                <w:sz w:val="16"/>
                <w:szCs w:val="16"/>
                <w:lang w:eastAsia="en-US"/>
              </w:rPr>
            </w:pPr>
            <w:r w:rsidRPr="00B754C6">
              <w:rPr>
                <w:rFonts w:cs="Calibri"/>
                <w:b/>
                <w:bCs/>
                <w:sz w:val="16"/>
                <w:szCs w:val="16"/>
                <w:lang w:eastAsia="en-US"/>
              </w:rPr>
              <w:t>0,126</w:t>
            </w:r>
          </w:p>
        </w:tc>
        <w:tc>
          <w:tcPr>
            <w:tcW w:w="1405" w:type="dxa"/>
            <w:tcBorders>
              <w:top w:val="dashSmallGap" w:sz="4" w:space="0" w:color="auto"/>
              <w:left w:val="nil"/>
              <w:bottom w:val="nil"/>
              <w:right w:val="nil"/>
            </w:tcBorders>
            <w:noWrap/>
            <w:vAlign w:val="center"/>
            <w:hideMark/>
          </w:tcPr>
          <w:p w14:paraId="15A22FF2" w14:textId="77777777" w:rsidR="005B4528" w:rsidRPr="00B754C6" w:rsidRDefault="005B4528" w:rsidP="00B53C19">
            <w:pPr>
              <w:spacing w:before="0" w:after="0" w:line="257" w:lineRule="auto"/>
              <w:contextualSpacing/>
              <w:jc w:val="center"/>
              <w:rPr>
                <w:rFonts w:cs="Calibri"/>
                <w:b/>
                <w:bCs/>
                <w:sz w:val="16"/>
                <w:szCs w:val="16"/>
                <w:lang w:eastAsia="en-US"/>
              </w:rPr>
            </w:pPr>
            <w:r w:rsidRPr="00B754C6">
              <w:rPr>
                <w:rFonts w:cs="Calibri"/>
                <w:b/>
                <w:bCs/>
                <w:sz w:val="16"/>
                <w:szCs w:val="16"/>
                <w:lang w:eastAsia="en-US"/>
              </w:rPr>
              <w:t>V.</w:t>
            </w:r>
          </w:p>
        </w:tc>
      </w:tr>
      <w:tr w:rsidR="005B4528" w:rsidRPr="00B754C6" w14:paraId="7FC8C93A" w14:textId="77777777" w:rsidTr="005B4528">
        <w:trPr>
          <w:trHeight w:val="225"/>
        </w:trPr>
        <w:tc>
          <w:tcPr>
            <w:tcW w:w="7783" w:type="dxa"/>
            <w:gridSpan w:val="4"/>
            <w:tcBorders>
              <w:top w:val="nil"/>
              <w:left w:val="nil"/>
              <w:bottom w:val="dashSmallGap" w:sz="4" w:space="0" w:color="auto"/>
              <w:right w:val="nil"/>
            </w:tcBorders>
            <w:noWrap/>
            <w:vAlign w:val="center"/>
          </w:tcPr>
          <w:p w14:paraId="0CBB976E" w14:textId="77777777" w:rsidR="005B4528" w:rsidRPr="00175B3A" w:rsidRDefault="005B4528" w:rsidP="00B53C19">
            <w:pPr>
              <w:spacing w:before="0" w:after="0" w:line="257" w:lineRule="auto"/>
              <w:ind w:left="-66"/>
              <w:contextualSpacing/>
              <w:jc w:val="left"/>
              <w:rPr>
                <w:rFonts w:cs="Calibri"/>
                <w:b/>
                <w:bCs/>
                <w:i/>
                <w:iCs/>
                <w:sz w:val="16"/>
                <w:szCs w:val="16"/>
                <w:lang w:eastAsia="en-US"/>
              </w:rPr>
            </w:pPr>
            <w:bookmarkStart w:id="178" w:name="_Hlk201238496"/>
            <w:r w:rsidRPr="00175B3A">
              <w:rPr>
                <w:rFonts w:cs="Calibri"/>
                <w:b/>
                <w:bCs/>
                <w:i/>
                <w:iCs/>
                <w:sz w:val="16"/>
                <w:szCs w:val="16"/>
                <w:lang w:eastAsia="en-US"/>
              </w:rPr>
              <w:t xml:space="preserve">zdůvodnění vymezení: </w:t>
            </w:r>
          </w:p>
          <w:p w14:paraId="13AD209E" w14:textId="77777777" w:rsidR="005B4528" w:rsidRPr="00B754C6" w:rsidRDefault="005B4528">
            <w:pPr>
              <w:pStyle w:val="Odstavecseseznamem"/>
              <w:numPr>
                <w:ilvl w:val="0"/>
                <w:numId w:val="35"/>
              </w:numPr>
              <w:spacing w:before="0" w:after="0" w:line="257" w:lineRule="auto"/>
              <w:ind w:left="218" w:hanging="142"/>
              <w:jc w:val="left"/>
              <w:rPr>
                <w:rFonts w:cs="Calibri"/>
                <w:i/>
                <w:iCs/>
                <w:sz w:val="16"/>
                <w:szCs w:val="16"/>
              </w:rPr>
            </w:pPr>
            <w:r w:rsidRPr="00B754C6">
              <w:rPr>
                <w:rFonts w:cs="Calibri"/>
                <w:i/>
                <w:iCs/>
                <w:sz w:val="16"/>
                <w:szCs w:val="16"/>
              </w:rPr>
              <w:t>plocha je součástí zastavěného území obce,</w:t>
            </w:r>
          </w:p>
          <w:p w14:paraId="73C91613" w14:textId="77777777" w:rsidR="005B4528" w:rsidRPr="00B754C6" w:rsidRDefault="005B4528">
            <w:pPr>
              <w:pStyle w:val="Odstavecseseznamem"/>
              <w:numPr>
                <w:ilvl w:val="0"/>
                <w:numId w:val="35"/>
              </w:numPr>
              <w:spacing w:before="0" w:after="0" w:line="257" w:lineRule="auto"/>
              <w:ind w:left="218" w:hanging="142"/>
              <w:jc w:val="left"/>
              <w:rPr>
                <w:rFonts w:cs="Calibri"/>
                <w:i/>
                <w:iCs/>
                <w:sz w:val="16"/>
                <w:szCs w:val="16"/>
              </w:rPr>
            </w:pPr>
            <w:r w:rsidRPr="00B754C6">
              <w:rPr>
                <w:rFonts w:cs="Calibri"/>
                <w:i/>
                <w:iCs/>
                <w:sz w:val="16"/>
                <w:szCs w:val="16"/>
              </w:rPr>
              <w:t>plocha je stabilizována pro bydlení předchozím ÚP Hlubočky,</w:t>
            </w:r>
          </w:p>
          <w:p w14:paraId="0460DE74" w14:textId="77777777" w:rsidR="005B4528" w:rsidRPr="00B754C6" w:rsidRDefault="005B4528">
            <w:pPr>
              <w:pStyle w:val="Odstavecseseznamem"/>
              <w:numPr>
                <w:ilvl w:val="0"/>
                <w:numId w:val="35"/>
              </w:numPr>
              <w:spacing w:before="0" w:after="0" w:line="257" w:lineRule="auto"/>
              <w:ind w:left="218" w:hanging="142"/>
              <w:jc w:val="left"/>
              <w:rPr>
                <w:rFonts w:cs="Calibri"/>
                <w:i/>
                <w:iCs/>
                <w:sz w:val="16"/>
                <w:szCs w:val="16"/>
              </w:rPr>
            </w:pPr>
            <w:r w:rsidRPr="00B754C6">
              <w:rPr>
                <w:rFonts w:cs="Calibri"/>
                <w:i/>
                <w:iCs/>
                <w:sz w:val="16"/>
                <w:szCs w:val="16"/>
              </w:rPr>
              <w:t>změna využití plochy je stanovena z důvodu koordinace řešení urbanistické koncepce US.02-1 společně s plochou Z.02-1,</w:t>
            </w:r>
          </w:p>
          <w:p w14:paraId="1342ABE2" w14:textId="77777777" w:rsidR="005B4528" w:rsidRPr="00B754C6" w:rsidRDefault="005B4528">
            <w:pPr>
              <w:pStyle w:val="Odstavecseseznamem"/>
              <w:numPr>
                <w:ilvl w:val="0"/>
                <w:numId w:val="35"/>
              </w:numPr>
              <w:spacing w:before="0" w:after="0" w:line="257" w:lineRule="auto"/>
              <w:ind w:left="218" w:hanging="142"/>
              <w:jc w:val="left"/>
              <w:rPr>
                <w:rFonts w:cs="Calibri"/>
                <w:i/>
                <w:iCs/>
                <w:sz w:val="16"/>
                <w:szCs w:val="16"/>
              </w:rPr>
            </w:pPr>
            <w:r w:rsidRPr="00B754C6">
              <w:rPr>
                <w:rFonts w:cs="Calibri"/>
                <w:i/>
                <w:iCs/>
                <w:sz w:val="16"/>
                <w:szCs w:val="16"/>
              </w:rPr>
              <w:t>plocha tvoří zábor pouze velmi málo produkčních půd (V. třída ochrany ZPF).</w:t>
            </w:r>
          </w:p>
        </w:tc>
        <w:bookmarkEnd w:id="178"/>
      </w:tr>
      <w:tr w:rsidR="005B4528" w:rsidRPr="00B754C6" w14:paraId="33246A71" w14:textId="77777777" w:rsidTr="005B4528">
        <w:trPr>
          <w:trHeight w:val="225"/>
        </w:trPr>
        <w:tc>
          <w:tcPr>
            <w:tcW w:w="1843" w:type="dxa"/>
            <w:tcBorders>
              <w:top w:val="dashSmallGap" w:sz="4" w:space="0" w:color="auto"/>
              <w:left w:val="nil"/>
              <w:bottom w:val="nil"/>
              <w:right w:val="nil"/>
            </w:tcBorders>
            <w:noWrap/>
            <w:vAlign w:val="center"/>
            <w:hideMark/>
          </w:tcPr>
          <w:p w14:paraId="54DCA4E3" w14:textId="77777777" w:rsidR="005B4528" w:rsidRPr="00B754C6" w:rsidRDefault="005B4528" w:rsidP="00B53C19">
            <w:pPr>
              <w:spacing w:before="0" w:after="0" w:line="257" w:lineRule="auto"/>
              <w:ind w:left="0"/>
              <w:contextualSpacing/>
              <w:jc w:val="left"/>
              <w:rPr>
                <w:rFonts w:cs="Calibri"/>
                <w:b/>
                <w:bCs/>
                <w:sz w:val="16"/>
                <w:szCs w:val="16"/>
                <w:lang w:eastAsia="en-US"/>
              </w:rPr>
            </w:pPr>
            <w:r w:rsidRPr="00B754C6">
              <w:rPr>
                <w:rFonts w:cs="Calibri"/>
                <w:b/>
                <w:bCs/>
                <w:sz w:val="16"/>
                <w:szCs w:val="16"/>
                <w:lang w:eastAsia="en-US"/>
              </w:rPr>
              <w:t>T.02-2</w:t>
            </w:r>
          </w:p>
        </w:tc>
        <w:tc>
          <w:tcPr>
            <w:tcW w:w="1300" w:type="dxa"/>
            <w:tcBorders>
              <w:top w:val="dashSmallGap" w:sz="4" w:space="0" w:color="auto"/>
              <w:left w:val="nil"/>
              <w:bottom w:val="nil"/>
              <w:right w:val="nil"/>
            </w:tcBorders>
            <w:noWrap/>
            <w:vAlign w:val="center"/>
            <w:hideMark/>
          </w:tcPr>
          <w:p w14:paraId="2FAE8B2E" w14:textId="77777777" w:rsidR="005B4528" w:rsidRPr="00B754C6" w:rsidRDefault="005B4528" w:rsidP="00B53C19">
            <w:pPr>
              <w:spacing w:before="0" w:after="0" w:line="257" w:lineRule="auto"/>
              <w:contextualSpacing/>
              <w:jc w:val="center"/>
              <w:rPr>
                <w:rFonts w:cs="Calibri"/>
                <w:b/>
                <w:bCs/>
                <w:sz w:val="16"/>
                <w:szCs w:val="16"/>
                <w:lang w:eastAsia="en-US"/>
              </w:rPr>
            </w:pPr>
            <w:r w:rsidRPr="00B754C6">
              <w:rPr>
                <w:rFonts w:cs="Calibri"/>
                <w:b/>
                <w:bCs/>
                <w:sz w:val="16"/>
                <w:szCs w:val="16"/>
                <w:lang w:eastAsia="en-US"/>
              </w:rPr>
              <w:t>SV</w:t>
            </w:r>
          </w:p>
        </w:tc>
        <w:tc>
          <w:tcPr>
            <w:tcW w:w="3236" w:type="dxa"/>
            <w:tcBorders>
              <w:top w:val="dashSmallGap" w:sz="4" w:space="0" w:color="auto"/>
              <w:left w:val="nil"/>
              <w:bottom w:val="nil"/>
              <w:right w:val="nil"/>
            </w:tcBorders>
            <w:noWrap/>
            <w:vAlign w:val="center"/>
            <w:hideMark/>
          </w:tcPr>
          <w:p w14:paraId="561E4112" w14:textId="77777777" w:rsidR="005B4528" w:rsidRPr="00B754C6" w:rsidRDefault="005B4528" w:rsidP="00B53C19">
            <w:pPr>
              <w:spacing w:before="0" w:after="0" w:line="257" w:lineRule="auto"/>
              <w:contextualSpacing/>
              <w:jc w:val="center"/>
              <w:rPr>
                <w:rFonts w:cs="Calibri"/>
                <w:b/>
                <w:bCs/>
                <w:sz w:val="16"/>
                <w:szCs w:val="16"/>
                <w:lang w:eastAsia="en-US"/>
              </w:rPr>
            </w:pPr>
            <w:r w:rsidRPr="00B754C6">
              <w:rPr>
                <w:rFonts w:cs="Calibri"/>
                <w:b/>
                <w:bCs/>
                <w:sz w:val="16"/>
                <w:szCs w:val="16"/>
                <w:lang w:eastAsia="en-US"/>
              </w:rPr>
              <w:t>0,151</w:t>
            </w:r>
          </w:p>
        </w:tc>
        <w:tc>
          <w:tcPr>
            <w:tcW w:w="1405" w:type="dxa"/>
            <w:tcBorders>
              <w:top w:val="dashSmallGap" w:sz="4" w:space="0" w:color="auto"/>
              <w:left w:val="nil"/>
              <w:bottom w:val="nil"/>
              <w:right w:val="nil"/>
            </w:tcBorders>
            <w:noWrap/>
            <w:vAlign w:val="center"/>
            <w:hideMark/>
          </w:tcPr>
          <w:p w14:paraId="61B335D0" w14:textId="77777777" w:rsidR="005B4528" w:rsidRPr="00B754C6" w:rsidRDefault="005B4528" w:rsidP="00B53C19">
            <w:pPr>
              <w:spacing w:before="0" w:after="0" w:line="257" w:lineRule="auto"/>
              <w:contextualSpacing/>
              <w:jc w:val="center"/>
              <w:rPr>
                <w:rFonts w:cs="Calibri"/>
                <w:b/>
                <w:bCs/>
                <w:sz w:val="16"/>
                <w:szCs w:val="16"/>
                <w:lang w:eastAsia="en-US"/>
              </w:rPr>
            </w:pPr>
            <w:r w:rsidRPr="00B754C6">
              <w:rPr>
                <w:rFonts w:cs="Calibri"/>
                <w:b/>
                <w:bCs/>
                <w:sz w:val="16"/>
                <w:szCs w:val="16"/>
                <w:lang w:eastAsia="en-US"/>
              </w:rPr>
              <w:t>V.</w:t>
            </w:r>
          </w:p>
        </w:tc>
      </w:tr>
      <w:tr w:rsidR="005B4528" w:rsidRPr="00B754C6" w14:paraId="0EC96ED1" w14:textId="77777777" w:rsidTr="005B4528">
        <w:trPr>
          <w:trHeight w:val="225"/>
        </w:trPr>
        <w:tc>
          <w:tcPr>
            <w:tcW w:w="7783" w:type="dxa"/>
            <w:gridSpan w:val="4"/>
            <w:tcBorders>
              <w:top w:val="nil"/>
              <w:left w:val="nil"/>
              <w:bottom w:val="dashSmallGap" w:sz="4" w:space="0" w:color="auto"/>
              <w:right w:val="nil"/>
            </w:tcBorders>
            <w:noWrap/>
            <w:vAlign w:val="center"/>
          </w:tcPr>
          <w:p w14:paraId="171450E3" w14:textId="77777777" w:rsidR="005B4528" w:rsidRPr="00175B3A" w:rsidRDefault="005B4528" w:rsidP="00B53C19">
            <w:pPr>
              <w:spacing w:before="0" w:after="0" w:line="257" w:lineRule="auto"/>
              <w:ind w:left="0"/>
              <w:contextualSpacing/>
              <w:jc w:val="left"/>
              <w:rPr>
                <w:rFonts w:cs="Calibri"/>
                <w:b/>
                <w:bCs/>
                <w:i/>
                <w:iCs/>
                <w:sz w:val="16"/>
                <w:szCs w:val="16"/>
                <w:lang w:eastAsia="en-US"/>
              </w:rPr>
            </w:pPr>
            <w:r w:rsidRPr="00175B3A">
              <w:rPr>
                <w:rFonts w:cs="Calibri"/>
                <w:b/>
                <w:bCs/>
                <w:i/>
                <w:iCs/>
                <w:sz w:val="16"/>
                <w:szCs w:val="16"/>
                <w:lang w:eastAsia="en-US"/>
              </w:rPr>
              <w:t xml:space="preserve">zdůvodnění vymezení: </w:t>
            </w:r>
          </w:p>
          <w:p w14:paraId="016FD428" w14:textId="77777777" w:rsidR="005B4528" w:rsidRPr="00B754C6" w:rsidRDefault="005B4528">
            <w:pPr>
              <w:pStyle w:val="Odstavecseseznamem"/>
              <w:numPr>
                <w:ilvl w:val="0"/>
                <w:numId w:val="35"/>
              </w:numPr>
              <w:spacing w:before="0" w:after="0" w:line="257" w:lineRule="auto"/>
              <w:ind w:left="218" w:hanging="142"/>
              <w:jc w:val="left"/>
              <w:rPr>
                <w:rFonts w:cs="Calibri"/>
                <w:i/>
                <w:iCs/>
                <w:sz w:val="16"/>
                <w:szCs w:val="16"/>
              </w:rPr>
            </w:pPr>
            <w:r w:rsidRPr="00B754C6">
              <w:rPr>
                <w:rFonts w:cs="Calibri"/>
                <w:i/>
                <w:iCs/>
                <w:sz w:val="16"/>
                <w:szCs w:val="16"/>
              </w:rPr>
              <w:t>plocha je součástí zastavěného území obce,</w:t>
            </w:r>
          </w:p>
          <w:p w14:paraId="3A2AC525" w14:textId="77777777" w:rsidR="005B4528" w:rsidRPr="00B754C6" w:rsidRDefault="005B4528">
            <w:pPr>
              <w:pStyle w:val="Odstavecseseznamem"/>
              <w:numPr>
                <w:ilvl w:val="0"/>
                <w:numId w:val="35"/>
              </w:numPr>
              <w:spacing w:before="0" w:after="0" w:line="257" w:lineRule="auto"/>
              <w:ind w:left="218" w:hanging="142"/>
              <w:jc w:val="left"/>
              <w:rPr>
                <w:rFonts w:cs="Calibri"/>
                <w:i/>
                <w:iCs/>
                <w:sz w:val="16"/>
                <w:szCs w:val="16"/>
              </w:rPr>
            </w:pPr>
            <w:r w:rsidRPr="00B754C6">
              <w:rPr>
                <w:rFonts w:cs="Calibri"/>
                <w:i/>
                <w:iCs/>
                <w:sz w:val="16"/>
                <w:szCs w:val="16"/>
              </w:rPr>
              <w:t>plocha je prolukou v souvislé zástavbě ulice Dukelských hrdinů a přímo navazuje na stávající veřejnou infrastrukturu obce,</w:t>
            </w:r>
          </w:p>
          <w:p w14:paraId="15D9E247" w14:textId="77777777" w:rsidR="005B4528" w:rsidRPr="00B754C6" w:rsidRDefault="005B4528">
            <w:pPr>
              <w:pStyle w:val="Odstavecseseznamem"/>
              <w:numPr>
                <w:ilvl w:val="0"/>
                <w:numId w:val="35"/>
              </w:numPr>
              <w:spacing w:before="0" w:after="0" w:line="257" w:lineRule="auto"/>
              <w:ind w:left="218" w:hanging="142"/>
              <w:jc w:val="left"/>
              <w:rPr>
                <w:rFonts w:cs="Calibri"/>
                <w:i/>
                <w:iCs/>
                <w:sz w:val="16"/>
                <w:szCs w:val="16"/>
              </w:rPr>
            </w:pPr>
            <w:r w:rsidRPr="00B754C6">
              <w:rPr>
                <w:rFonts w:cs="Calibri"/>
                <w:i/>
                <w:iCs/>
                <w:sz w:val="16"/>
                <w:szCs w:val="16"/>
              </w:rPr>
              <w:t>plocha je vymezena na pozemcích ve vlastnictví obce a je vymezena pro rozvoj občanského vybavení, případně jiných obecních priorit (např. dostupné bydlení),</w:t>
            </w:r>
          </w:p>
          <w:p w14:paraId="62CA87D2" w14:textId="77777777" w:rsidR="005B4528" w:rsidRPr="00B754C6" w:rsidRDefault="005B4528">
            <w:pPr>
              <w:pStyle w:val="Odstavecseseznamem"/>
              <w:numPr>
                <w:ilvl w:val="0"/>
                <w:numId w:val="35"/>
              </w:numPr>
              <w:spacing w:before="0" w:after="0" w:line="257" w:lineRule="auto"/>
              <w:ind w:left="218" w:hanging="142"/>
              <w:jc w:val="left"/>
              <w:rPr>
                <w:rFonts w:cs="Calibri"/>
                <w:i/>
                <w:iCs/>
                <w:sz w:val="16"/>
                <w:szCs w:val="16"/>
              </w:rPr>
            </w:pPr>
            <w:r w:rsidRPr="00B754C6">
              <w:rPr>
                <w:rFonts w:cs="Calibri"/>
                <w:i/>
                <w:iCs/>
                <w:sz w:val="16"/>
                <w:szCs w:val="16"/>
              </w:rPr>
              <w:t>plocha tvoří zábor pouze velmi málo produkčních půd (V. třída ochrany ZPF).</w:t>
            </w:r>
          </w:p>
        </w:tc>
      </w:tr>
      <w:tr w:rsidR="005B4528" w:rsidRPr="00B754C6" w14:paraId="59DF1679" w14:textId="77777777" w:rsidTr="005B4528">
        <w:trPr>
          <w:trHeight w:val="225"/>
        </w:trPr>
        <w:tc>
          <w:tcPr>
            <w:tcW w:w="1843" w:type="dxa"/>
            <w:tcBorders>
              <w:top w:val="dashSmallGap" w:sz="4" w:space="0" w:color="auto"/>
              <w:left w:val="nil"/>
              <w:bottom w:val="nil"/>
              <w:right w:val="nil"/>
            </w:tcBorders>
            <w:noWrap/>
            <w:vAlign w:val="center"/>
            <w:hideMark/>
          </w:tcPr>
          <w:p w14:paraId="60ACEE23" w14:textId="77777777" w:rsidR="005B4528" w:rsidRPr="00B754C6" w:rsidRDefault="005B4528" w:rsidP="00B53C19">
            <w:pPr>
              <w:spacing w:before="0" w:after="0" w:line="257" w:lineRule="auto"/>
              <w:ind w:left="0"/>
              <w:contextualSpacing/>
              <w:jc w:val="left"/>
              <w:rPr>
                <w:rFonts w:cs="Calibri"/>
                <w:b/>
                <w:bCs/>
                <w:sz w:val="16"/>
                <w:szCs w:val="16"/>
                <w:lang w:eastAsia="en-US"/>
              </w:rPr>
            </w:pPr>
            <w:r w:rsidRPr="00B754C6">
              <w:rPr>
                <w:rFonts w:cs="Calibri"/>
                <w:b/>
                <w:bCs/>
                <w:sz w:val="16"/>
                <w:szCs w:val="16"/>
                <w:lang w:eastAsia="en-US"/>
              </w:rPr>
              <w:t>T.02-3</w:t>
            </w:r>
          </w:p>
        </w:tc>
        <w:tc>
          <w:tcPr>
            <w:tcW w:w="1300" w:type="dxa"/>
            <w:tcBorders>
              <w:top w:val="dashSmallGap" w:sz="4" w:space="0" w:color="auto"/>
              <w:left w:val="nil"/>
              <w:bottom w:val="nil"/>
              <w:right w:val="nil"/>
            </w:tcBorders>
            <w:noWrap/>
            <w:vAlign w:val="bottom"/>
            <w:hideMark/>
          </w:tcPr>
          <w:p w14:paraId="6538A6FB" w14:textId="77777777" w:rsidR="005B4528" w:rsidRPr="00B754C6" w:rsidRDefault="005B4528" w:rsidP="00B53C19">
            <w:pPr>
              <w:spacing w:before="0" w:after="0" w:line="257" w:lineRule="auto"/>
              <w:contextualSpacing/>
              <w:jc w:val="center"/>
              <w:rPr>
                <w:rFonts w:cs="Calibri"/>
                <w:b/>
                <w:bCs/>
                <w:sz w:val="16"/>
                <w:szCs w:val="16"/>
                <w:lang w:eastAsia="en-US"/>
              </w:rPr>
            </w:pPr>
            <w:r w:rsidRPr="00B754C6">
              <w:rPr>
                <w:rFonts w:cs="Calibri"/>
                <w:b/>
                <w:bCs/>
                <w:sz w:val="16"/>
                <w:szCs w:val="16"/>
                <w:lang w:eastAsia="en-US"/>
              </w:rPr>
              <w:t>SV</w:t>
            </w:r>
          </w:p>
        </w:tc>
        <w:tc>
          <w:tcPr>
            <w:tcW w:w="3236" w:type="dxa"/>
            <w:tcBorders>
              <w:top w:val="dashSmallGap" w:sz="4" w:space="0" w:color="auto"/>
              <w:left w:val="nil"/>
              <w:bottom w:val="nil"/>
              <w:right w:val="nil"/>
            </w:tcBorders>
            <w:noWrap/>
            <w:vAlign w:val="center"/>
            <w:hideMark/>
          </w:tcPr>
          <w:p w14:paraId="496AC519" w14:textId="613AF8C7" w:rsidR="005B4528" w:rsidRPr="00B754C6" w:rsidRDefault="001A6579" w:rsidP="00B53C19">
            <w:pPr>
              <w:spacing w:before="0" w:after="0" w:line="257" w:lineRule="auto"/>
              <w:contextualSpacing/>
              <w:jc w:val="center"/>
              <w:rPr>
                <w:rFonts w:cs="Calibri"/>
                <w:b/>
                <w:bCs/>
                <w:sz w:val="16"/>
                <w:szCs w:val="16"/>
                <w:lang w:eastAsia="en-US"/>
              </w:rPr>
            </w:pPr>
            <w:r>
              <w:rPr>
                <w:rFonts w:cs="Calibri"/>
                <w:b/>
                <w:bCs/>
                <w:sz w:val="16"/>
                <w:szCs w:val="16"/>
                <w:lang w:eastAsia="en-US"/>
              </w:rPr>
              <w:t>1</w:t>
            </w:r>
            <w:r w:rsidR="005B4528" w:rsidRPr="00B754C6">
              <w:rPr>
                <w:rFonts w:cs="Calibri"/>
                <w:b/>
                <w:bCs/>
                <w:sz w:val="16"/>
                <w:szCs w:val="16"/>
                <w:lang w:eastAsia="en-US"/>
              </w:rPr>
              <w:t>,</w:t>
            </w:r>
            <w:r>
              <w:rPr>
                <w:rFonts w:cs="Calibri"/>
                <w:b/>
                <w:bCs/>
                <w:sz w:val="16"/>
                <w:szCs w:val="16"/>
                <w:lang w:eastAsia="en-US"/>
              </w:rPr>
              <w:t>380</w:t>
            </w:r>
          </w:p>
        </w:tc>
        <w:tc>
          <w:tcPr>
            <w:tcW w:w="1405" w:type="dxa"/>
            <w:tcBorders>
              <w:top w:val="dashSmallGap" w:sz="4" w:space="0" w:color="auto"/>
              <w:left w:val="nil"/>
              <w:bottom w:val="nil"/>
              <w:right w:val="nil"/>
            </w:tcBorders>
            <w:noWrap/>
            <w:vAlign w:val="center"/>
            <w:hideMark/>
          </w:tcPr>
          <w:p w14:paraId="201828B9" w14:textId="77777777" w:rsidR="005B4528" w:rsidRPr="00B754C6" w:rsidRDefault="005B4528" w:rsidP="00B53C19">
            <w:pPr>
              <w:spacing w:before="0" w:after="0" w:line="257" w:lineRule="auto"/>
              <w:contextualSpacing/>
              <w:jc w:val="center"/>
              <w:rPr>
                <w:rFonts w:cs="Calibri"/>
                <w:b/>
                <w:bCs/>
                <w:sz w:val="16"/>
                <w:szCs w:val="16"/>
                <w:lang w:eastAsia="en-US"/>
              </w:rPr>
            </w:pPr>
            <w:r w:rsidRPr="00B754C6">
              <w:rPr>
                <w:rFonts w:cs="Calibri"/>
                <w:b/>
                <w:bCs/>
                <w:sz w:val="16"/>
                <w:szCs w:val="16"/>
                <w:lang w:eastAsia="en-US"/>
              </w:rPr>
              <w:t>V.</w:t>
            </w:r>
          </w:p>
        </w:tc>
      </w:tr>
      <w:tr w:rsidR="005B4528" w:rsidRPr="00B754C6" w14:paraId="01E662BE" w14:textId="77777777" w:rsidTr="005B4528">
        <w:trPr>
          <w:trHeight w:val="225"/>
        </w:trPr>
        <w:tc>
          <w:tcPr>
            <w:tcW w:w="7783" w:type="dxa"/>
            <w:gridSpan w:val="4"/>
            <w:tcBorders>
              <w:top w:val="nil"/>
              <w:left w:val="nil"/>
              <w:bottom w:val="dashSmallGap" w:sz="4" w:space="0" w:color="auto"/>
              <w:right w:val="nil"/>
            </w:tcBorders>
            <w:noWrap/>
            <w:vAlign w:val="center"/>
            <w:hideMark/>
          </w:tcPr>
          <w:p w14:paraId="5E6E14EB" w14:textId="77777777" w:rsidR="005B4528" w:rsidRPr="00175B3A" w:rsidRDefault="005B4528" w:rsidP="00B53C19">
            <w:pPr>
              <w:spacing w:before="0" w:after="0" w:line="257" w:lineRule="auto"/>
              <w:ind w:left="0"/>
              <w:contextualSpacing/>
              <w:jc w:val="left"/>
              <w:rPr>
                <w:rFonts w:cs="Calibri"/>
                <w:b/>
                <w:bCs/>
                <w:i/>
                <w:iCs/>
                <w:sz w:val="16"/>
                <w:szCs w:val="16"/>
                <w:lang w:eastAsia="en-US"/>
              </w:rPr>
            </w:pPr>
            <w:r w:rsidRPr="00175B3A">
              <w:rPr>
                <w:rFonts w:cs="Calibri"/>
                <w:b/>
                <w:bCs/>
                <w:i/>
                <w:iCs/>
                <w:sz w:val="16"/>
                <w:szCs w:val="16"/>
                <w:lang w:eastAsia="en-US"/>
              </w:rPr>
              <w:t xml:space="preserve">zdůvodnění vymezení: </w:t>
            </w:r>
          </w:p>
          <w:p w14:paraId="402569F7" w14:textId="77777777" w:rsidR="005B4528" w:rsidRPr="00B754C6" w:rsidRDefault="005B4528">
            <w:pPr>
              <w:pStyle w:val="Odstavecseseznamem"/>
              <w:numPr>
                <w:ilvl w:val="0"/>
                <w:numId w:val="35"/>
              </w:numPr>
              <w:spacing w:before="0" w:after="0" w:line="257" w:lineRule="auto"/>
              <w:ind w:left="218" w:hanging="142"/>
              <w:jc w:val="left"/>
              <w:rPr>
                <w:rFonts w:cs="Calibri"/>
                <w:i/>
                <w:iCs/>
                <w:sz w:val="16"/>
                <w:szCs w:val="16"/>
              </w:rPr>
            </w:pPr>
            <w:r w:rsidRPr="00B754C6">
              <w:rPr>
                <w:rFonts w:cs="Calibri"/>
                <w:i/>
                <w:iCs/>
                <w:sz w:val="16"/>
                <w:szCs w:val="16"/>
              </w:rPr>
              <w:t>plocha je součástí zastavěného území obce,</w:t>
            </w:r>
          </w:p>
          <w:p w14:paraId="765F0676" w14:textId="77777777" w:rsidR="005B4528" w:rsidRPr="00B754C6" w:rsidRDefault="005B4528">
            <w:pPr>
              <w:pStyle w:val="Odstavecseseznamem"/>
              <w:numPr>
                <w:ilvl w:val="0"/>
                <w:numId w:val="36"/>
              </w:numPr>
              <w:spacing w:before="0" w:after="0" w:line="257" w:lineRule="auto"/>
              <w:ind w:left="218" w:hanging="141"/>
              <w:jc w:val="left"/>
              <w:rPr>
                <w:rFonts w:cs="Calibri"/>
                <w:i/>
                <w:iCs/>
                <w:sz w:val="16"/>
                <w:szCs w:val="16"/>
              </w:rPr>
            </w:pPr>
            <w:r w:rsidRPr="00B754C6">
              <w:rPr>
                <w:rFonts w:cs="Calibri"/>
                <w:i/>
                <w:iCs/>
                <w:sz w:val="16"/>
                <w:szCs w:val="16"/>
              </w:rPr>
              <w:t>plocha je vymezena jako transformační plocha stávající rekreační zástavby (rekreační a zahradní chaty) na bydlení předchozím ÚP Hlubočky</w:t>
            </w:r>
            <w:r>
              <w:rPr>
                <w:rFonts w:cs="Calibri"/>
                <w:i/>
                <w:iCs/>
                <w:sz w:val="16"/>
                <w:szCs w:val="16"/>
              </w:rPr>
              <w:t xml:space="preserve"> (B24)</w:t>
            </w:r>
            <w:r w:rsidRPr="00B754C6">
              <w:rPr>
                <w:rFonts w:cs="Calibri"/>
                <w:i/>
                <w:iCs/>
                <w:sz w:val="16"/>
                <w:szCs w:val="16"/>
              </w:rPr>
              <w:t>,</w:t>
            </w:r>
          </w:p>
          <w:p w14:paraId="3687E5FD" w14:textId="77777777" w:rsidR="005B4528" w:rsidRPr="00B754C6" w:rsidRDefault="005B4528">
            <w:pPr>
              <w:pStyle w:val="Odstavecseseznamem"/>
              <w:numPr>
                <w:ilvl w:val="0"/>
                <w:numId w:val="36"/>
              </w:numPr>
              <w:spacing w:before="0" w:after="0" w:line="257" w:lineRule="auto"/>
              <w:ind w:left="218" w:hanging="141"/>
              <w:jc w:val="left"/>
              <w:rPr>
                <w:rFonts w:cs="Calibri"/>
                <w:i/>
                <w:iCs/>
                <w:sz w:val="16"/>
                <w:szCs w:val="16"/>
              </w:rPr>
            </w:pPr>
            <w:r w:rsidRPr="00B754C6">
              <w:rPr>
                <w:rFonts w:cs="Calibri"/>
                <w:i/>
                <w:iCs/>
                <w:sz w:val="16"/>
                <w:szCs w:val="16"/>
              </w:rPr>
              <w:t>změna využití plochy je stanovena z důvodu využití východní části plochy pro bydlení a z důvodu zajištění optimálních podmínek pro rozvoj smíšeného obytného venkovského území,</w:t>
            </w:r>
          </w:p>
          <w:p w14:paraId="168EDDF9" w14:textId="77777777" w:rsidR="005B4528" w:rsidRPr="00B754C6" w:rsidRDefault="005B4528">
            <w:pPr>
              <w:pStyle w:val="Odstavecseseznamem"/>
              <w:numPr>
                <w:ilvl w:val="0"/>
                <w:numId w:val="36"/>
              </w:numPr>
              <w:spacing w:before="0" w:after="0" w:line="257" w:lineRule="auto"/>
              <w:ind w:left="218" w:hanging="141"/>
              <w:jc w:val="left"/>
              <w:rPr>
                <w:rFonts w:cs="Calibri"/>
                <w:i/>
                <w:iCs/>
                <w:sz w:val="16"/>
                <w:szCs w:val="16"/>
              </w:rPr>
            </w:pPr>
            <w:r w:rsidRPr="00B754C6">
              <w:rPr>
                <w:rFonts w:cs="Calibri"/>
                <w:i/>
                <w:iCs/>
                <w:sz w:val="16"/>
                <w:szCs w:val="16"/>
              </w:rPr>
              <w:t>plocha tvoří zábor pouze velmi málo produkčních půd (V. třída ochrany ZPF).</w:t>
            </w:r>
          </w:p>
        </w:tc>
      </w:tr>
      <w:tr w:rsidR="005B4528" w:rsidRPr="00B754C6" w14:paraId="3278265E" w14:textId="77777777" w:rsidTr="005B4528">
        <w:trPr>
          <w:trHeight w:val="225"/>
        </w:trPr>
        <w:tc>
          <w:tcPr>
            <w:tcW w:w="1843" w:type="dxa"/>
            <w:tcBorders>
              <w:top w:val="dashSmallGap" w:sz="4" w:space="0" w:color="auto"/>
              <w:left w:val="nil"/>
              <w:bottom w:val="nil"/>
              <w:right w:val="nil"/>
            </w:tcBorders>
            <w:noWrap/>
            <w:vAlign w:val="center"/>
            <w:hideMark/>
          </w:tcPr>
          <w:p w14:paraId="7E66B8DC" w14:textId="77777777" w:rsidR="005B4528" w:rsidRPr="00B754C6" w:rsidRDefault="005B4528" w:rsidP="00B53C19">
            <w:pPr>
              <w:spacing w:before="0" w:after="0" w:line="257" w:lineRule="auto"/>
              <w:ind w:left="76"/>
              <w:contextualSpacing/>
              <w:jc w:val="left"/>
              <w:rPr>
                <w:rFonts w:cs="Calibri"/>
                <w:b/>
                <w:bCs/>
                <w:sz w:val="16"/>
                <w:szCs w:val="16"/>
                <w:lang w:eastAsia="en-US"/>
              </w:rPr>
            </w:pPr>
            <w:r w:rsidRPr="00B754C6">
              <w:rPr>
                <w:rFonts w:cs="Calibri"/>
                <w:b/>
                <w:bCs/>
                <w:sz w:val="16"/>
                <w:szCs w:val="16"/>
                <w:lang w:eastAsia="en-US"/>
              </w:rPr>
              <w:t>T.02-4</w:t>
            </w:r>
          </w:p>
        </w:tc>
        <w:tc>
          <w:tcPr>
            <w:tcW w:w="1300" w:type="dxa"/>
            <w:tcBorders>
              <w:top w:val="dashSmallGap" w:sz="4" w:space="0" w:color="auto"/>
              <w:left w:val="nil"/>
              <w:bottom w:val="nil"/>
              <w:right w:val="nil"/>
            </w:tcBorders>
            <w:noWrap/>
            <w:vAlign w:val="center"/>
            <w:hideMark/>
          </w:tcPr>
          <w:p w14:paraId="45CEC5B6" w14:textId="77777777" w:rsidR="005B4528" w:rsidRPr="00B754C6" w:rsidRDefault="005B4528" w:rsidP="00B53C19">
            <w:pPr>
              <w:spacing w:before="0" w:after="0" w:line="257" w:lineRule="auto"/>
              <w:contextualSpacing/>
              <w:jc w:val="center"/>
              <w:rPr>
                <w:rFonts w:cs="Calibri"/>
                <w:b/>
                <w:bCs/>
                <w:sz w:val="16"/>
                <w:szCs w:val="16"/>
                <w:lang w:eastAsia="en-US"/>
              </w:rPr>
            </w:pPr>
            <w:r w:rsidRPr="00B754C6">
              <w:rPr>
                <w:rFonts w:cs="Calibri"/>
                <w:b/>
                <w:bCs/>
                <w:sz w:val="16"/>
                <w:szCs w:val="16"/>
                <w:lang w:eastAsia="en-US"/>
              </w:rPr>
              <w:t>SV</w:t>
            </w:r>
          </w:p>
        </w:tc>
        <w:tc>
          <w:tcPr>
            <w:tcW w:w="3236" w:type="dxa"/>
            <w:tcBorders>
              <w:top w:val="dashSmallGap" w:sz="4" w:space="0" w:color="auto"/>
              <w:left w:val="nil"/>
              <w:bottom w:val="nil"/>
              <w:right w:val="nil"/>
            </w:tcBorders>
            <w:noWrap/>
            <w:vAlign w:val="center"/>
            <w:hideMark/>
          </w:tcPr>
          <w:p w14:paraId="2883B65A" w14:textId="77777777" w:rsidR="005B4528" w:rsidRPr="00B754C6" w:rsidRDefault="005B4528" w:rsidP="00B53C19">
            <w:pPr>
              <w:spacing w:before="0" w:after="0" w:line="257" w:lineRule="auto"/>
              <w:contextualSpacing/>
              <w:jc w:val="center"/>
              <w:rPr>
                <w:rFonts w:cs="Calibri"/>
                <w:b/>
                <w:bCs/>
                <w:sz w:val="16"/>
                <w:szCs w:val="16"/>
                <w:lang w:eastAsia="en-US"/>
              </w:rPr>
            </w:pPr>
            <w:r w:rsidRPr="00B754C6">
              <w:rPr>
                <w:rFonts w:cs="Calibri"/>
                <w:b/>
                <w:bCs/>
                <w:sz w:val="16"/>
                <w:szCs w:val="16"/>
                <w:lang w:eastAsia="en-US"/>
              </w:rPr>
              <w:t>0,218</w:t>
            </w:r>
          </w:p>
        </w:tc>
        <w:tc>
          <w:tcPr>
            <w:tcW w:w="1405" w:type="dxa"/>
            <w:tcBorders>
              <w:top w:val="dashSmallGap" w:sz="4" w:space="0" w:color="auto"/>
              <w:left w:val="nil"/>
              <w:bottom w:val="nil"/>
              <w:right w:val="nil"/>
            </w:tcBorders>
            <w:noWrap/>
            <w:vAlign w:val="center"/>
            <w:hideMark/>
          </w:tcPr>
          <w:p w14:paraId="5FF76F5D" w14:textId="77777777" w:rsidR="005B4528" w:rsidRPr="00B754C6" w:rsidRDefault="005B4528" w:rsidP="00B53C19">
            <w:pPr>
              <w:spacing w:before="0" w:after="0" w:line="257" w:lineRule="auto"/>
              <w:contextualSpacing/>
              <w:jc w:val="center"/>
              <w:rPr>
                <w:rFonts w:cs="Calibri"/>
                <w:b/>
                <w:bCs/>
                <w:sz w:val="16"/>
                <w:szCs w:val="16"/>
                <w:lang w:eastAsia="en-US"/>
              </w:rPr>
            </w:pPr>
            <w:r w:rsidRPr="00B754C6">
              <w:rPr>
                <w:rFonts w:cs="Calibri"/>
                <w:b/>
                <w:bCs/>
                <w:sz w:val="16"/>
                <w:szCs w:val="16"/>
                <w:lang w:eastAsia="en-US"/>
              </w:rPr>
              <w:t>V.</w:t>
            </w:r>
          </w:p>
        </w:tc>
      </w:tr>
      <w:tr w:rsidR="005B4528" w:rsidRPr="00B754C6" w14:paraId="107C47D3" w14:textId="77777777" w:rsidTr="005B4528">
        <w:trPr>
          <w:trHeight w:val="225"/>
        </w:trPr>
        <w:tc>
          <w:tcPr>
            <w:tcW w:w="7783" w:type="dxa"/>
            <w:gridSpan w:val="4"/>
            <w:tcBorders>
              <w:top w:val="nil"/>
              <w:left w:val="nil"/>
              <w:bottom w:val="dashSmallGap" w:sz="4" w:space="0" w:color="auto"/>
              <w:right w:val="nil"/>
            </w:tcBorders>
            <w:noWrap/>
            <w:vAlign w:val="center"/>
          </w:tcPr>
          <w:p w14:paraId="4664A6FC" w14:textId="77777777" w:rsidR="005B4528" w:rsidRPr="00175B3A" w:rsidRDefault="005B4528" w:rsidP="00B53C19">
            <w:pPr>
              <w:spacing w:before="0" w:after="0" w:line="257" w:lineRule="auto"/>
              <w:ind w:left="76"/>
              <w:contextualSpacing/>
              <w:jc w:val="left"/>
              <w:rPr>
                <w:rFonts w:cs="Calibri"/>
                <w:b/>
                <w:bCs/>
                <w:i/>
                <w:iCs/>
                <w:sz w:val="16"/>
                <w:szCs w:val="16"/>
              </w:rPr>
            </w:pPr>
            <w:r w:rsidRPr="00175B3A">
              <w:rPr>
                <w:rFonts w:cs="Calibri"/>
                <w:b/>
                <w:bCs/>
                <w:i/>
                <w:iCs/>
                <w:sz w:val="16"/>
                <w:szCs w:val="16"/>
              </w:rPr>
              <w:t>zdůvodnění vymezení:</w:t>
            </w:r>
          </w:p>
          <w:p w14:paraId="1E66EC4A" w14:textId="77777777" w:rsidR="005B4528" w:rsidRPr="00B754C6" w:rsidRDefault="005B4528">
            <w:pPr>
              <w:pStyle w:val="Odstavecseseznamem"/>
              <w:numPr>
                <w:ilvl w:val="0"/>
                <w:numId w:val="35"/>
              </w:numPr>
              <w:spacing w:before="0" w:after="0" w:line="257" w:lineRule="auto"/>
              <w:ind w:left="218" w:hanging="142"/>
              <w:jc w:val="left"/>
              <w:rPr>
                <w:rFonts w:cs="Calibri"/>
                <w:i/>
                <w:iCs/>
                <w:sz w:val="16"/>
                <w:szCs w:val="16"/>
              </w:rPr>
            </w:pPr>
            <w:r w:rsidRPr="00B754C6">
              <w:rPr>
                <w:rFonts w:cs="Calibri"/>
                <w:i/>
                <w:iCs/>
                <w:sz w:val="16"/>
                <w:szCs w:val="16"/>
              </w:rPr>
              <w:t>plocha je součástí zastavěného území obce,</w:t>
            </w:r>
          </w:p>
          <w:p w14:paraId="6D838515" w14:textId="77777777" w:rsidR="005B4528" w:rsidRPr="00B754C6" w:rsidRDefault="005B4528">
            <w:pPr>
              <w:pStyle w:val="Odstavecseseznamem"/>
              <w:numPr>
                <w:ilvl w:val="0"/>
                <w:numId w:val="36"/>
              </w:numPr>
              <w:spacing w:before="0" w:after="0" w:line="257" w:lineRule="auto"/>
              <w:ind w:left="218" w:hanging="141"/>
              <w:jc w:val="left"/>
              <w:rPr>
                <w:rFonts w:cs="Calibri"/>
                <w:i/>
                <w:iCs/>
                <w:sz w:val="16"/>
                <w:szCs w:val="16"/>
              </w:rPr>
            </w:pPr>
            <w:r w:rsidRPr="00B754C6">
              <w:rPr>
                <w:rFonts w:cs="Calibri"/>
                <w:i/>
                <w:iCs/>
                <w:sz w:val="16"/>
                <w:szCs w:val="16"/>
              </w:rPr>
              <w:t>plocha je vymezena jako transformační plocha stávající rekreační zástavby (rekreační a zahradní chaty) na bydlení předchozím ÚP Hlubočky</w:t>
            </w:r>
            <w:r>
              <w:rPr>
                <w:rFonts w:cs="Calibri"/>
                <w:i/>
                <w:iCs/>
                <w:sz w:val="16"/>
                <w:szCs w:val="16"/>
              </w:rPr>
              <w:t xml:space="preserve"> (B23)</w:t>
            </w:r>
            <w:r w:rsidRPr="00B754C6">
              <w:rPr>
                <w:rFonts w:cs="Calibri"/>
                <w:i/>
                <w:iCs/>
                <w:sz w:val="16"/>
                <w:szCs w:val="16"/>
              </w:rPr>
              <w:t>,</w:t>
            </w:r>
          </w:p>
          <w:p w14:paraId="69956B4A" w14:textId="77777777" w:rsidR="005B4528" w:rsidRPr="00B754C6" w:rsidRDefault="005B4528">
            <w:pPr>
              <w:pStyle w:val="Odstavecseseznamem"/>
              <w:numPr>
                <w:ilvl w:val="0"/>
                <w:numId w:val="36"/>
              </w:numPr>
              <w:spacing w:before="0" w:after="0" w:line="257" w:lineRule="auto"/>
              <w:ind w:left="218" w:hanging="141"/>
              <w:jc w:val="left"/>
              <w:rPr>
                <w:rFonts w:cs="Calibri"/>
                <w:b/>
                <w:bCs/>
                <w:sz w:val="16"/>
                <w:szCs w:val="16"/>
              </w:rPr>
            </w:pPr>
            <w:r w:rsidRPr="00B754C6">
              <w:rPr>
                <w:rFonts w:cs="Calibri"/>
                <w:i/>
                <w:iCs/>
                <w:sz w:val="16"/>
                <w:szCs w:val="16"/>
              </w:rPr>
              <w:t xml:space="preserve">změna využití plochy je stanovena z důvodu využití </w:t>
            </w:r>
            <w:r>
              <w:rPr>
                <w:rFonts w:cs="Calibri"/>
                <w:i/>
                <w:iCs/>
                <w:sz w:val="16"/>
                <w:szCs w:val="16"/>
              </w:rPr>
              <w:t>jižní části</w:t>
            </w:r>
            <w:r w:rsidRPr="00B754C6">
              <w:rPr>
                <w:rFonts w:cs="Calibri"/>
                <w:i/>
                <w:iCs/>
                <w:sz w:val="16"/>
                <w:szCs w:val="16"/>
              </w:rPr>
              <w:t xml:space="preserve"> plochy pro bydlení a</w:t>
            </w:r>
            <w:r>
              <w:rPr>
                <w:rFonts w:cs="Calibri"/>
                <w:i/>
                <w:iCs/>
                <w:sz w:val="16"/>
                <w:szCs w:val="16"/>
              </w:rPr>
              <w:t> </w:t>
            </w:r>
            <w:r w:rsidRPr="00B754C6">
              <w:rPr>
                <w:rFonts w:cs="Calibri"/>
                <w:i/>
                <w:iCs/>
                <w:sz w:val="16"/>
                <w:szCs w:val="16"/>
              </w:rPr>
              <w:t>z důvodu zajištění optimálních podmínek pro rozvoj smíšeného obytného venkovského území,</w:t>
            </w:r>
          </w:p>
          <w:p w14:paraId="2441EF0B" w14:textId="77777777" w:rsidR="005B4528" w:rsidRPr="00B754C6" w:rsidRDefault="005B4528">
            <w:pPr>
              <w:pStyle w:val="Odstavecseseznamem"/>
              <w:numPr>
                <w:ilvl w:val="0"/>
                <w:numId w:val="36"/>
              </w:numPr>
              <w:spacing w:before="0" w:after="0" w:line="257" w:lineRule="auto"/>
              <w:ind w:left="218" w:hanging="141"/>
              <w:jc w:val="left"/>
              <w:rPr>
                <w:rFonts w:cs="Calibri"/>
                <w:b/>
                <w:bCs/>
                <w:sz w:val="16"/>
                <w:szCs w:val="16"/>
              </w:rPr>
            </w:pPr>
            <w:r w:rsidRPr="00B754C6">
              <w:rPr>
                <w:rFonts w:cs="Calibri"/>
                <w:i/>
                <w:iCs/>
                <w:sz w:val="16"/>
                <w:szCs w:val="16"/>
              </w:rPr>
              <w:t>plocha tvoří zábor pouze velmi málo produkčních půd (V. třída ochrany ZPF).</w:t>
            </w:r>
          </w:p>
        </w:tc>
      </w:tr>
      <w:tr w:rsidR="005B4528" w:rsidRPr="00B754C6" w14:paraId="7E0561DF" w14:textId="77777777" w:rsidTr="005B4528">
        <w:trPr>
          <w:trHeight w:val="225"/>
        </w:trPr>
        <w:tc>
          <w:tcPr>
            <w:tcW w:w="1843" w:type="dxa"/>
            <w:tcBorders>
              <w:top w:val="dashSmallGap" w:sz="4" w:space="0" w:color="auto"/>
              <w:left w:val="nil"/>
              <w:bottom w:val="nil"/>
              <w:right w:val="nil"/>
            </w:tcBorders>
            <w:noWrap/>
            <w:vAlign w:val="center"/>
            <w:hideMark/>
          </w:tcPr>
          <w:p w14:paraId="0ADC206E" w14:textId="77777777" w:rsidR="005B4528" w:rsidRPr="00B754C6" w:rsidRDefault="005B4528" w:rsidP="00B53C19">
            <w:pPr>
              <w:spacing w:before="0" w:after="0" w:line="257" w:lineRule="auto"/>
              <w:ind w:left="76"/>
              <w:contextualSpacing/>
              <w:jc w:val="left"/>
              <w:rPr>
                <w:rFonts w:cs="Calibri"/>
                <w:b/>
                <w:bCs/>
                <w:sz w:val="16"/>
                <w:szCs w:val="16"/>
                <w:lang w:eastAsia="en-US"/>
              </w:rPr>
            </w:pPr>
            <w:r w:rsidRPr="00B754C6">
              <w:rPr>
                <w:rFonts w:cs="Calibri"/>
                <w:b/>
                <w:bCs/>
                <w:sz w:val="16"/>
                <w:szCs w:val="16"/>
                <w:lang w:eastAsia="en-US"/>
              </w:rPr>
              <w:t>T.03-1</w:t>
            </w:r>
          </w:p>
        </w:tc>
        <w:tc>
          <w:tcPr>
            <w:tcW w:w="1300" w:type="dxa"/>
            <w:tcBorders>
              <w:top w:val="dashSmallGap" w:sz="4" w:space="0" w:color="auto"/>
              <w:left w:val="nil"/>
              <w:bottom w:val="nil"/>
              <w:right w:val="nil"/>
            </w:tcBorders>
            <w:noWrap/>
            <w:vAlign w:val="bottom"/>
            <w:hideMark/>
          </w:tcPr>
          <w:p w14:paraId="39D4C6F8" w14:textId="77777777" w:rsidR="005B4528" w:rsidRPr="00B754C6" w:rsidRDefault="005B4528" w:rsidP="00B53C19">
            <w:pPr>
              <w:spacing w:before="0" w:after="0" w:line="257" w:lineRule="auto"/>
              <w:contextualSpacing/>
              <w:jc w:val="center"/>
              <w:rPr>
                <w:rFonts w:cs="Calibri"/>
                <w:b/>
                <w:bCs/>
                <w:sz w:val="16"/>
                <w:szCs w:val="16"/>
                <w:lang w:eastAsia="en-US"/>
              </w:rPr>
            </w:pPr>
            <w:r w:rsidRPr="00B754C6">
              <w:rPr>
                <w:rFonts w:cs="Calibri"/>
                <w:b/>
                <w:bCs/>
                <w:sz w:val="16"/>
                <w:szCs w:val="16"/>
                <w:lang w:eastAsia="en-US"/>
              </w:rPr>
              <w:t>SV</w:t>
            </w:r>
          </w:p>
        </w:tc>
        <w:tc>
          <w:tcPr>
            <w:tcW w:w="3236" w:type="dxa"/>
            <w:tcBorders>
              <w:top w:val="dashSmallGap" w:sz="4" w:space="0" w:color="auto"/>
              <w:left w:val="nil"/>
              <w:bottom w:val="nil"/>
              <w:right w:val="nil"/>
            </w:tcBorders>
            <w:noWrap/>
            <w:vAlign w:val="center"/>
            <w:hideMark/>
          </w:tcPr>
          <w:p w14:paraId="32E1FBF9" w14:textId="77777777" w:rsidR="005B4528" w:rsidRPr="00B754C6" w:rsidRDefault="005B4528" w:rsidP="00B53C19">
            <w:pPr>
              <w:spacing w:before="0" w:after="0" w:line="257" w:lineRule="auto"/>
              <w:contextualSpacing/>
              <w:jc w:val="center"/>
              <w:rPr>
                <w:rFonts w:cs="Calibri"/>
                <w:b/>
                <w:bCs/>
                <w:sz w:val="16"/>
                <w:szCs w:val="16"/>
                <w:lang w:eastAsia="en-US"/>
              </w:rPr>
            </w:pPr>
            <w:r w:rsidRPr="00B754C6">
              <w:rPr>
                <w:rFonts w:cs="Calibri"/>
                <w:b/>
                <w:bCs/>
                <w:sz w:val="16"/>
                <w:szCs w:val="16"/>
                <w:lang w:eastAsia="en-US"/>
              </w:rPr>
              <w:t>0,505</w:t>
            </w:r>
          </w:p>
        </w:tc>
        <w:tc>
          <w:tcPr>
            <w:tcW w:w="1405" w:type="dxa"/>
            <w:tcBorders>
              <w:top w:val="dashSmallGap" w:sz="4" w:space="0" w:color="auto"/>
              <w:left w:val="nil"/>
              <w:bottom w:val="nil"/>
              <w:right w:val="nil"/>
            </w:tcBorders>
            <w:noWrap/>
            <w:vAlign w:val="center"/>
            <w:hideMark/>
          </w:tcPr>
          <w:p w14:paraId="228C5E2B" w14:textId="77777777" w:rsidR="005B4528" w:rsidRPr="00B754C6" w:rsidRDefault="005B4528" w:rsidP="00B53C19">
            <w:pPr>
              <w:spacing w:before="0" w:after="0" w:line="257" w:lineRule="auto"/>
              <w:contextualSpacing/>
              <w:jc w:val="center"/>
              <w:rPr>
                <w:rFonts w:cs="Calibri"/>
                <w:b/>
                <w:bCs/>
                <w:sz w:val="16"/>
                <w:szCs w:val="16"/>
                <w:lang w:eastAsia="en-US"/>
              </w:rPr>
            </w:pPr>
            <w:r w:rsidRPr="00B754C6">
              <w:rPr>
                <w:rFonts w:cs="Calibri"/>
                <w:b/>
                <w:bCs/>
                <w:sz w:val="16"/>
                <w:szCs w:val="16"/>
                <w:lang w:eastAsia="en-US"/>
              </w:rPr>
              <w:t>V.</w:t>
            </w:r>
          </w:p>
        </w:tc>
      </w:tr>
      <w:tr w:rsidR="005B4528" w:rsidRPr="00B754C6" w14:paraId="6D416B40" w14:textId="77777777" w:rsidTr="005B4528">
        <w:trPr>
          <w:trHeight w:val="225"/>
        </w:trPr>
        <w:tc>
          <w:tcPr>
            <w:tcW w:w="7783" w:type="dxa"/>
            <w:gridSpan w:val="4"/>
            <w:tcBorders>
              <w:top w:val="nil"/>
              <w:left w:val="nil"/>
              <w:bottom w:val="dashSmallGap" w:sz="4" w:space="0" w:color="auto"/>
              <w:right w:val="nil"/>
            </w:tcBorders>
            <w:noWrap/>
            <w:vAlign w:val="center"/>
          </w:tcPr>
          <w:p w14:paraId="2F88A871" w14:textId="77777777" w:rsidR="005B4528" w:rsidRPr="00175B3A" w:rsidRDefault="005B4528" w:rsidP="00B53C19">
            <w:pPr>
              <w:spacing w:before="0" w:after="0" w:line="257" w:lineRule="auto"/>
              <w:ind w:left="76"/>
              <w:contextualSpacing/>
              <w:jc w:val="left"/>
              <w:rPr>
                <w:rFonts w:cs="Calibri"/>
                <w:b/>
                <w:bCs/>
                <w:i/>
                <w:iCs/>
                <w:sz w:val="16"/>
                <w:szCs w:val="16"/>
                <w:lang w:eastAsia="en-US"/>
              </w:rPr>
            </w:pPr>
            <w:r w:rsidRPr="00175B3A">
              <w:rPr>
                <w:rFonts w:cs="Calibri"/>
                <w:b/>
                <w:bCs/>
                <w:i/>
                <w:iCs/>
                <w:sz w:val="16"/>
                <w:szCs w:val="16"/>
                <w:lang w:eastAsia="en-US"/>
              </w:rPr>
              <w:t xml:space="preserve">zdůvodnění vymezení: </w:t>
            </w:r>
          </w:p>
          <w:p w14:paraId="28B2B76A" w14:textId="77777777" w:rsidR="005B4528" w:rsidRDefault="005B4528">
            <w:pPr>
              <w:pStyle w:val="Odstavecseseznamem"/>
              <w:numPr>
                <w:ilvl w:val="0"/>
                <w:numId w:val="35"/>
              </w:numPr>
              <w:spacing w:before="0" w:after="0" w:line="257" w:lineRule="auto"/>
              <w:ind w:left="218" w:hanging="142"/>
              <w:jc w:val="left"/>
              <w:rPr>
                <w:rFonts w:cs="Calibri"/>
                <w:i/>
                <w:iCs/>
                <w:sz w:val="16"/>
                <w:szCs w:val="16"/>
              </w:rPr>
            </w:pPr>
            <w:r w:rsidRPr="00B754C6">
              <w:rPr>
                <w:rFonts w:cs="Calibri"/>
                <w:i/>
                <w:iCs/>
                <w:sz w:val="16"/>
                <w:szCs w:val="16"/>
              </w:rPr>
              <w:t>plocha je součástí zastavěného území obce,</w:t>
            </w:r>
          </w:p>
          <w:p w14:paraId="6B333878" w14:textId="77777777" w:rsidR="005B4528" w:rsidRDefault="005B4528">
            <w:pPr>
              <w:pStyle w:val="Odstavecseseznamem"/>
              <w:numPr>
                <w:ilvl w:val="0"/>
                <w:numId w:val="35"/>
              </w:numPr>
              <w:spacing w:before="0" w:after="0" w:line="257" w:lineRule="auto"/>
              <w:ind w:left="218" w:hanging="142"/>
              <w:jc w:val="left"/>
              <w:rPr>
                <w:rFonts w:cs="Calibri"/>
                <w:i/>
                <w:iCs/>
                <w:sz w:val="16"/>
                <w:szCs w:val="16"/>
              </w:rPr>
            </w:pPr>
            <w:r w:rsidRPr="002A2E3C">
              <w:rPr>
                <w:rFonts w:cs="Calibri"/>
                <w:i/>
                <w:iCs/>
                <w:sz w:val="16"/>
                <w:szCs w:val="16"/>
              </w:rPr>
              <w:t>plocha je vymezena jako transformační plocha stávající rekreační zástavby (rekreační a zahradní chaty) na bydlení předchozím ÚP Hlubočky (B2</w:t>
            </w:r>
            <w:r>
              <w:rPr>
                <w:rFonts w:cs="Calibri"/>
                <w:i/>
                <w:iCs/>
                <w:sz w:val="16"/>
                <w:szCs w:val="16"/>
              </w:rPr>
              <w:t>8</w:t>
            </w:r>
            <w:r w:rsidRPr="002A2E3C">
              <w:rPr>
                <w:rFonts w:cs="Calibri"/>
                <w:i/>
                <w:iCs/>
                <w:sz w:val="16"/>
                <w:szCs w:val="16"/>
              </w:rPr>
              <w:t>),</w:t>
            </w:r>
          </w:p>
          <w:p w14:paraId="270A4111" w14:textId="77777777" w:rsidR="005B4528" w:rsidRDefault="005B4528">
            <w:pPr>
              <w:pStyle w:val="Odstavecseseznamem"/>
              <w:numPr>
                <w:ilvl w:val="0"/>
                <w:numId w:val="35"/>
              </w:numPr>
              <w:spacing w:before="0" w:after="0" w:line="257" w:lineRule="auto"/>
              <w:ind w:left="218" w:hanging="142"/>
              <w:jc w:val="left"/>
              <w:rPr>
                <w:rFonts w:cs="Calibri"/>
                <w:i/>
                <w:iCs/>
                <w:sz w:val="16"/>
                <w:szCs w:val="16"/>
              </w:rPr>
            </w:pPr>
            <w:r w:rsidRPr="00B754C6">
              <w:rPr>
                <w:rFonts w:cs="Calibri"/>
                <w:i/>
                <w:iCs/>
                <w:sz w:val="16"/>
                <w:szCs w:val="16"/>
              </w:rPr>
              <w:t xml:space="preserve">změna využití plochy je stanovena z důvodu </w:t>
            </w:r>
            <w:r>
              <w:rPr>
                <w:rFonts w:cs="Calibri"/>
                <w:i/>
                <w:iCs/>
                <w:sz w:val="16"/>
                <w:szCs w:val="16"/>
              </w:rPr>
              <w:t xml:space="preserve">současného </w:t>
            </w:r>
            <w:r w:rsidRPr="00B754C6">
              <w:rPr>
                <w:rFonts w:cs="Calibri"/>
                <w:i/>
                <w:iCs/>
                <w:sz w:val="16"/>
                <w:szCs w:val="16"/>
              </w:rPr>
              <w:t xml:space="preserve">využití </w:t>
            </w:r>
            <w:r>
              <w:rPr>
                <w:rFonts w:cs="Calibri"/>
                <w:i/>
                <w:iCs/>
                <w:sz w:val="16"/>
                <w:szCs w:val="16"/>
              </w:rPr>
              <w:t>části</w:t>
            </w:r>
            <w:r w:rsidRPr="00B754C6">
              <w:rPr>
                <w:rFonts w:cs="Calibri"/>
                <w:i/>
                <w:iCs/>
                <w:sz w:val="16"/>
                <w:szCs w:val="16"/>
              </w:rPr>
              <w:t xml:space="preserve"> plochy pro</w:t>
            </w:r>
            <w:r>
              <w:rPr>
                <w:rFonts w:cs="Calibri"/>
                <w:i/>
                <w:iCs/>
                <w:sz w:val="16"/>
                <w:szCs w:val="16"/>
              </w:rPr>
              <w:t> </w:t>
            </w:r>
            <w:r w:rsidRPr="00B754C6">
              <w:rPr>
                <w:rFonts w:cs="Calibri"/>
                <w:i/>
                <w:iCs/>
                <w:sz w:val="16"/>
                <w:szCs w:val="16"/>
              </w:rPr>
              <w:t xml:space="preserve">bydlení </w:t>
            </w:r>
            <w:r>
              <w:rPr>
                <w:rFonts w:cs="Calibri"/>
                <w:i/>
                <w:iCs/>
                <w:sz w:val="16"/>
                <w:szCs w:val="16"/>
              </w:rPr>
              <w:t xml:space="preserve">(stavby rodinných domů) </w:t>
            </w:r>
            <w:r w:rsidRPr="00B754C6">
              <w:rPr>
                <w:rFonts w:cs="Calibri"/>
                <w:i/>
                <w:iCs/>
                <w:sz w:val="16"/>
                <w:szCs w:val="16"/>
              </w:rPr>
              <w:t>a</w:t>
            </w:r>
            <w:r>
              <w:rPr>
                <w:rFonts w:cs="Calibri"/>
                <w:i/>
                <w:iCs/>
                <w:sz w:val="16"/>
                <w:szCs w:val="16"/>
              </w:rPr>
              <w:t> </w:t>
            </w:r>
            <w:r w:rsidRPr="00B754C6">
              <w:rPr>
                <w:rFonts w:cs="Calibri"/>
                <w:i/>
                <w:iCs/>
                <w:sz w:val="16"/>
                <w:szCs w:val="16"/>
              </w:rPr>
              <w:t>z důvodu zajištění optimálních podmínek pro</w:t>
            </w:r>
            <w:r>
              <w:rPr>
                <w:rFonts w:cs="Calibri"/>
                <w:i/>
                <w:iCs/>
                <w:sz w:val="16"/>
                <w:szCs w:val="16"/>
              </w:rPr>
              <w:t> </w:t>
            </w:r>
            <w:r w:rsidRPr="00B754C6">
              <w:rPr>
                <w:rFonts w:cs="Calibri"/>
                <w:i/>
                <w:iCs/>
                <w:sz w:val="16"/>
                <w:szCs w:val="16"/>
              </w:rPr>
              <w:t>rozvoj smíšeného obytného venkovského území</w:t>
            </w:r>
            <w:r>
              <w:rPr>
                <w:rFonts w:cs="Calibri"/>
                <w:i/>
                <w:iCs/>
                <w:sz w:val="16"/>
                <w:szCs w:val="16"/>
              </w:rPr>
              <w:t>, včetně zajištění dostatečné šířky plochy veřejného prostranství pro obslužnou komunikaci,</w:t>
            </w:r>
          </w:p>
          <w:p w14:paraId="4F6EEB30" w14:textId="77777777" w:rsidR="005B4528" w:rsidRPr="00475FF1" w:rsidRDefault="005B4528">
            <w:pPr>
              <w:pStyle w:val="Odstavecseseznamem"/>
              <w:numPr>
                <w:ilvl w:val="0"/>
                <w:numId w:val="35"/>
              </w:numPr>
              <w:spacing w:before="0" w:after="0" w:line="257" w:lineRule="auto"/>
              <w:ind w:left="218" w:hanging="142"/>
              <w:jc w:val="left"/>
              <w:rPr>
                <w:rFonts w:cs="Calibri"/>
                <w:i/>
                <w:iCs/>
                <w:sz w:val="16"/>
                <w:szCs w:val="16"/>
              </w:rPr>
            </w:pPr>
            <w:r w:rsidRPr="00B754C6">
              <w:rPr>
                <w:rFonts w:cs="Calibri"/>
                <w:i/>
                <w:iCs/>
                <w:sz w:val="16"/>
                <w:szCs w:val="16"/>
              </w:rPr>
              <w:t>plocha tvoří zábor pouze velmi málo produkčních půd (V. třída ochrany ZPF)</w:t>
            </w:r>
            <w:r>
              <w:rPr>
                <w:rFonts w:cs="Calibri"/>
                <w:i/>
                <w:iCs/>
                <w:sz w:val="16"/>
                <w:szCs w:val="16"/>
              </w:rPr>
              <w:t>.</w:t>
            </w:r>
          </w:p>
        </w:tc>
      </w:tr>
      <w:tr w:rsidR="005B4528" w:rsidRPr="00B754C6" w14:paraId="0429AB06" w14:textId="77777777" w:rsidTr="005B4528">
        <w:trPr>
          <w:trHeight w:val="225"/>
        </w:trPr>
        <w:tc>
          <w:tcPr>
            <w:tcW w:w="1843" w:type="dxa"/>
            <w:tcBorders>
              <w:top w:val="dashSmallGap" w:sz="4" w:space="0" w:color="auto"/>
              <w:left w:val="nil"/>
              <w:bottom w:val="nil"/>
              <w:right w:val="nil"/>
            </w:tcBorders>
            <w:noWrap/>
            <w:vAlign w:val="center"/>
            <w:hideMark/>
          </w:tcPr>
          <w:p w14:paraId="01BC55CA" w14:textId="77777777" w:rsidR="005B4528" w:rsidRPr="00B754C6" w:rsidRDefault="005B4528" w:rsidP="00B53C19">
            <w:pPr>
              <w:spacing w:before="0" w:after="0" w:line="257" w:lineRule="auto"/>
              <w:ind w:left="76"/>
              <w:contextualSpacing/>
              <w:jc w:val="left"/>
              <w:rPr>
                <w:rFonts w:cs="Calibri"/>
                <w:b/>
                <w:bCs/>
                <w:sz w:val="16"/>
                <w:szCs w:val="16"/>
                <w:lang w:eastAsia="en-US"/>
              </w:rPr>
            </w:pPr>
            <w:r w:rsidRPr="00B754C6">
              <w:rPr>
                <w:rFonts w:cs="Calibri"/>
                <w:b/>
                <w:bCs/>
                <w:sz w:val="16"/>
                <w:szCs w:val="16"/>
                <w:lang w:eastAsia="en-US"/>
              </w:rPr>
              <w:t>T.09-1</w:t>
            </w:r>
          </w:p>
        </w:tc>
        <w:tc>
          <w:tcPr>
            <w:tcW w:w="1300" w:type="dxa"/>
            <w:tcBorders>
              <w:top w:val="dashSmallGap" w:sz="4" w:space="0" w:color="auto"/>
              <w:left w:val="nil"/>
              <w:bottom w:val="nil"/>
              <w:right w:val="nil"/>
            </w:tcBorders>
            <w:noWrap/>
            <w:vAlign w:val="center"/>
            <w:hideMark/>
          </w:tcPr>
          <w:p w14:paraId="3133CA46" w14:textId="77777777" w:rsidR="005B4528" w:rsidRPr="00B754C6" w:rsidRDefault="005B4528" w:rsidP="00B53C19">
            <w:pPr>
              <w:spacing w:before="0" w:after="0" w:line="257" w:lineRule="auto"/>
              <w:contextualSpacing/>
              <w:jc w:val="center"/>
              <w:rPr>
                <w:rFonts w:cs="Calibri"/>
                <w:b/>
                <w:bCs/>
                <w:sz w:val="16"/>
                <w:szCs w:val="16"/>
                <w:lang w:eastAsia="en-US"/>
              </w:rPr>
            </w:pPr>
            <w:r w:rsidRPr="00B754C6">
              <w:rPr>
                <w:rFonts w:cs="Calibri"/>
                <w:b/>
                <w:bCs/>
                <w:sz w:val="16"/>
                <w:szCs w:val="16"/>
                <w:lang w:eastAsia="en-US"/>
              </w:rPr>
              <w:t>SU</w:t>
            </w:r>
          </w:p>
        </w:tc>
        <w:tc>
          <w:tcPr>
            <w:tcW w:w="3236" w:type="dxa"/>
            <w:tcBorders>
              <w:top w:val="dashSmallGap" w:sz="4" w:space="0" w:color="auto"/>
              <w:left w:val="nil"/>
              <w:bottom w:val="nil"/>
              <w:right w:val="nil"/>
            </w:tcBorders>
            <w:noWrap/>
            <w:vAlign w:val="center"/>
            <w:hideMark/>
          </w:tcPr>
          <w:p w14:paraId="2AE3B97F" w14:textId="77777777" w:rsidR="005B4528" w:rsidRPr="00B754C6" w:rsidRDefault="005B4528" w:rsidP="00B53C19">
            <w:pPr>
              <w:spacing w:before="0" w:after="0" w:line="257" w:lineRule="auto"/>
              <w:contextualSpacing/>
              <w:jc w:val="center"/>
              <w:rPr>
                <w:rFonts w:cs="Calibri"/>
                <w:b/>
                <w:bCs/>
                <w:sz w:val="16"/>
                <w:szCs w:val="16"/>
                <w:lang w:eastAsia="en-US"/>
              </w:rPr>
            </w:pPr>
            <w:r w:rsidRPr="00B754C6">
              <w:rPr>
                <w:rFonts w:cs="Calibri"/>
                <w:b/>
                <w:bCs/>
                <w:sz w:val="16"/>
                <w:szCs w:val="16"/>
                <w:lang w:eastAsia="en-US"/>
              </w:rPr>
              <w:t>0,541</w:t>
            </w:r>
          </w:p>
        </w:tc>
        <w:tc>
          <w:tcPr>
            <w:tcW w:w="1405" w:type="dxa"/>
            <w:tcBorders>
              <w:top w:val="dashSmallGap" w:sz="4" w:space="0" w:color="auto"/>
              <w:left w:val="nil"/>
              <w:bottom w:val="nil"/>
              <w:right w:val="nil"/>
            </w:tcBorders>
            <w:noWrap/>
            <w:vAlign w:val="center"/>
            <w:hideMark/>
          </w:tcPr>
          <w:p w14:paraId="7D50145A" w14:textId="77777777" w:rsidR="005B4528" w:rsidRPr="00B754C6" w:rsidRDefault="005B4528" w:rsidP="00B53C19">
            <w:pPr>
              <w:spacing w:before="0" w:after="0" w:line="257" w:lineRule="auto"/>
              <w:contextualSpacing/>
              <w:jc w:val="center"/>
              <w:rPr>
                <w:rFonts w:cs="Calibri"/>
                <w:b/>
                <w:bCs/>
                <w:sz w:val="16"/>
                <w:szCs w:val="16"/>
                <w:lang w:eastAsia="en-US"/>
              </w:rPr>
            </w:pPr>
            <w:r w:rsidRPr="00B754C6">
              <w:rPr>
                <w:rFonts w:cs="Calibri"/>
                <w:b/>
                <w:bCs/>
                <w:sz w:val="16"/>
                <w:szCs w:val="16"/>
                <w:lang w:eastAsia="en-US"/>
              </w:rPr>
              <w:t>II., V.</w:t>
            </w:r>
          </w:p>
        </w:tc>
      </w:tr>
      <w:tr w:rsidR="005B4528" w:rsidRPr="00B754C6" w14:paraId="3A177CE2" w14:textId="77777777" w:rsidTr="005B4528">
        <w:trPr>
          <w:trHeight w:val="225"/>
        </w:trPr>
        <w:tc>
          <w:tcPr>
            <w:tcW w:w="7783" w:type="dxa"/>
            <w:gridSpan w:val="4"/>
            <w:tcBorders>
              <w:top w:val="nil"/>
              <w:left w:val="nil"/>
              <w:bottom w:val="dashSmallGap" w:sz="4" w:space="0" w:color="auto"/>
              <w:right w:val="nil"/>
            </w:tcBorders>
            <w:noWrap/>
            <w:vAlign w:val="center"/>
          </w:tcPr>
          <w:p w14:paraId="4D92AF10" w14:textId="77777777" w:rsidR="005B4528" w:rsidRPr="00175B3A" w:rsidRDefault="005B4528" w:rsidP="00B53C19">
            <w:pPr>
              <w:spacing w:before="0" w:after="0" w:line="257" w:lineRule="auto"/>
              <w:ind w:left="76"/>
              <w:contextualSpacing/>
              <w:jc w:val="left"/>
              <w:rPr>
                <w:rFonts w:cs="Calibri"/>
                <w:b/>
                <w:bCs/>
                <w:i/>
                <w:iCs/>
                <w:sz w:val="16"/>
                <w:szCs w:val="16"/>
                <w:lang w:eastAsia="en-US"/>
              </w:rPr>
            </w:pPr>
            <w:r w:rsidRPr="00175B3A">
              <w:rPr>
                <w:rFonts w:cs="Calibri"/>
                <w:b/>
                <w:bCs/>
                <w:i/>
                <w:iCs/>
                <w:sz w:val="16"/>
                <w:szCs w:val="16"/>
                <w:lang w:eastAsia="en-US"/>
              </w:rPr>
              <w:t>zdůvodnění vymezení:</w:t>
            </w:r>
          </w:p>
          <w:p w14:paraId="0F52E743" w14:textId="77777777" w:rsidR="005B4528" w:rsidRDefault="005B4528">
            <w:pPr>
              <w:pStyle w:val="Odstavecseseznamem"/>
              <w:numPr>
                <w:ilvl w:val="0"/>
                <w:numId w:val="35"/>
              </w:numPr>
              <w:spacing w:before="0" w:after="0" w:line="257" w:lineRule="auto"/>
              <w:ind w:left="218" w:hanging="142"/>
              <w:jc w:val="left"/>
              <w:rPr>
                <w:rFonts w:cs="Calibri"/>
                <w:i/>
                <w:iCs/>
                <w:sz w:val="16"/>
                <w:szCs w:val="16"/>
              </w:rPr>
            </w:pPr>
            <w:r w:rsidRPr="00B754C6">
              <w:rPr>
                <w:rFonts w:cs="Calibri"/>
                <w:i/>
                <w:iCs/>
                <w:sz w:val="16"/>
                <w:szCs w:val="16"/>
              </w:rPr>
              <w:t xml:space="preserve">plocha je součástí zastavěného území obce, </w:t>
            </w:r>
          </w:p>
          <w:p w14:paraId="7A7E9EC6" w14:textId="77777777" w:rsidR="005B4528" w:rsidRDefault="005B4528">
            <w:pPr>
              <w:pStyle w:val="Odstavecseseznamem"/>
              <w:numPr>
                <w:ilvl w:val="0"/>
                <w:numId w:val="35"/>
              </w:numPr>
              <w:spacing w:before="0" w:after="0" w:line="257" w:lineRule="auto"/>
              <w:ind w:left="218" w:hanging="142"/>
              <w:jc w:val="left"/>
              <w:rPr>
                <w:rFonts w:cs="Calibri"/>
                <w:i/>
                <w:iCs/>
                <w:sz w:val="16"/>
                <w:szCs w:val="16"/>
              </w:rPr>
            </w:pPr>
            <w:r>
              <w:rPr>
                <w:rFonts w:cs="Calibri"/>
                <w:i/>
                <w:iCs/>
                <w:sz w:val="16"/>
                <w:szCs w:val="16"/>
              </w:rPr>
              <w:t>plocha neslouží k zemědělskému využití,</w:t>
            </w:r>
          </w:p>
          <w:p w14:paraId="669DFCED" w14:textId="77777777" w:rsidR="005B4528" w:rsidRDefault="005B4528">
            <w:pPr>
              <w:pStyle w:val="Odstavecseseznamem"/>
              <w:numPr>
                <w:ilvl w:val="0"/>
                <w:numId w:val="35"/>
              </w:numPr>
              <w:spacing w:before="0" w:after="0" w:line="257" w:lineRule="auto"/>
              <w:ind w:left="218" w:hanging="142"/>
              <w:jc w:val="left"/>
              <w:rPr>
                <w:rFonts w:cs="Calibri"/>
                <w:i/>
                <w:iCs/>
                <w:sz w:val="16"/>
                <w:szCs w:val="16"/>
              </w:rPr>
            </w:pPr>
            <w:r>
              <w:rPr>
                <w:rFonts w:cs="Calibri"/>
                <w:i/>
                <w:iCs/>
                <w:sz w:val="16"/>
                <w:szCs w:val="16"/>
              </w:rPr>
              <w:t>plocha tvoří proluku v zástavbě sídliště Na Orátě, je vymezena v souladu s urbanistickou koncepcí a vhodně doplňuje celek zástavby sídliště Na Orátě a rozvíjí systém veřejných prostranství lokality,</w:t>
            </w:r>
          </w:p>
          <w:p w14:paraId="55FCF89F" w14:textId="77777777" w:rsidR="005B4528" w:rsidRDefault="005B4528">
            <w:pPr>
              <w:pStyle w:val="Odstavecseseznamem"/>
              <w:numPr>
                <w:ilvl w:val="0"/>
                <w:numId w:val="35"/>
              </w:numPr>
              <w:spacing w:before="0" w:after="0" w:line="257" w:lineRule="auto"/>
              <w:ind w:left="218" w:hanging="142"/>
              <w:jc w:val="left"/>
              <w:rPr>
                <w:rFonts w:cs="Calibri"/>
                <w:i/>
                <w:iCs/>
                <w:sz w:val="16"/>
                <w:szCs w:val="16"/>
              </w:rPr>
            </w:pPr>
            <w:r>
              <w:rPr>
                <w:rFonts w:cs="Calibri"/>
                <w:i/>
                <w:iCs/>
                <w:sz w:val="16"/>
                <w:szCs w:val="16"/>
              </w:rPr>
              <w:t>plocha je vymezena částečně na pozemcích obce a ČR tak, aby bylo možné v plochách veřejných prostranství zajistit obsluhu a napojení ploch smíšených obytných na systém veřejné infrastruktury obce,</w:t>
            </w:r>
          </w:p>
          <w:p w14:paraId="64DAD482" w14:textId="77777777" w:rsidR="005B4528" w:rsidRPr="00475FF1" w:rsidRDefault="005B4528">
            <w:pPr>
              <w:pStyle w:val="Odstavecseseznamem"/>
              <w:numPr>
                <w:ilvl w:val="0"/>
                <w:numId w:val="35"/>
              </w:numPr>
              <w:spacing w:before="0" w:after="0" w:line="257" w:lineRule="auto"/>
              <w:ind w:left="218" w:hanging="142"/>
              <w:jc w:val="left"/>
              <w:rPr>
                <w:rFonts w:cs="Calibri"/>
                <w:i/>
                <w:iCs/>
                <w:sz w:val="16"/>
                <w:szCs w:val="16"/>
              </w:rPr>
            </w:pPr>
            <w:r w:rsidRPr="00127E5A">
              <w:rPr>
                <w:rFonts w:cs="Calibri"/>
                <w:i/>
                <w:iCs/>
                <w:sz w:val="16"/>
                <w:szCs w:val="16"/>
              </w:rPr>
              <w:t>využití plochy je podmíněnou zpracováním územní studie, která prověří reálný rozsah nezbytných záborů ZPF, předkládá se, že zahrady budou zachovány jako součást ZPF</w:t>
            </w:r>
            <w:r>
              <w:rPr>
                <w:rFonts w:cs="Calibri"/>
                <w:i/>
                <w:iCs/>
                <w:sz w:val="16"/>
                <w:szCs w:val="16"/>
              </w:rPr>
              <w:t>.</w:t>
            </w:r>
          </w:p>
        </w:tc>
      </w:tr>
      <w:tr w:rsidR="005B4528" w:rsidRPr="00B754C6" w14:paraId="53E0D305" w14:textId="77777777" w:rsidTr="005B4528">
        <w:trPr>
          <w:trHeight w:val="225"/>
        </w:trPr>
        <w:tc>
          <w:tcPr>
            <w:tcW w:w="1843" w:type="dxa"/>
            <w:tcBorders>
              <w:top w:val="dashSmallGap" w:sz="4" w:space="0" w:color="auto"/>
              <w:left w:val="nil"/>
              <w:bottom w:val="nil"/>
              <w:right w:val="nil"/>
            </w:tcBorders>
            <w:noWrap/>
            <w:vAlign w:val="center"/>
            <w:hideMark/>
          </w:tcPr>
          <w:p w14:paraId="321EB508" w14:textId="77777777" w:rsidR="005B4528" w:rsidRPr="00B754C6" w:rsidRDefault="005B4528" w:rsidP="00B53C19">
            <w:pPr>
              <w:spacing w:before="0" w:after="0" w:line="257" w:lineRule="auto"/>
              <w:ind w:left="0"/>
              <w:contextualSpacing/>
              <w:jc w:val="left"/>
              <w:rPr>
                <w:rFonts w:cs="Calibri"/>
                <w:b/>
                <w:bCs/>
                <w:sz w:val="16"/>
                <w:szCs w:val="16"/>
                <w:lang w:eastAsia="en-US"/>
              </w:rPr>
            </w:pPr>
            <w:r w:rsidRPr="00B754C6">
              <w:rPr>
                <w:rFonts w:cs="Calibri"/>
                <w:b/>
                <w:bCs/>
                <w:sz w:val="16"/>
                <w:szCs w:val="16"/>
                <w:lang w:eastAsia="en-US"/>
              </w:rPr>
              <w:lastRenderedPageBreak/>
              <w:t>T.09-2</w:t>
            </w:r>
          </w:p>
        </w:tc>
        <w:tc>
          <w:tcPr>
            <w:tcW w:w="1300" w:type="dxa"/>
            <w:tcBorders>
              <w:top w:val="dashSmallGap" w:sz="4" w:space="0" w:color="auto"/>
              <w:left w:val="nil"/>
              <w:bottom w:val="nil"/>
              <w:right w:val="nil"/>
            </w:tcBorders>
            <w:noWrap/>
            <w:vAlign w:val="center"/>
            <w:hideMark/>
          </w:tcPr>
          <w:p w14:paraId="5F13BFF5" w14:textId="77777777" w:rsidR="005B4528" w:rsidRPr="00B754C6" w:rsidRDefault="005B4528" w:rsidP="00B53C19">
            <w:pPr>
              <w:spacing w:before="0" w:after="0" w:line="257" w:lineRule="auto"/>
              <w:contextualSpacing/>
              <w:jc w:val="center"/>
              <w:rPr>
                <w:rFonts w:cs="Calibri"/>
                <w:b/>
                <w:bCs/>
                <w:sz w:val="16"/>
                <w:szCs w:val="16"/>
                <w:lang w:eastAsia="en-US"/>
              </w:rPr>
            </w:pPr>
            <w:r w:rsidRPr="00B754C6">
              <w:rPr>
                <w:rFonts w:cs="Calibri"/>
                <w:b/>
                <w:bCs/>
                <w:sz w:val="16"/>
                <w:szCs w:val="16"/>
                <w:lang w:eastAsia="en-US"/>
              </w:rPr>
              <w:t>SU</w:t>
            </w:r>
          </w:p>
        </w:tc>
        <w:tc>
          <w:tcPr>
            <w:tcW w:w="3236" w:type="dxa"/>
            <w:tcBorders>
              <w:top w:val="dashSmallGap" w:sz="4" w:space="0" w:color="auto"/>
              <w:left w:val="nil"/>
              <w:bottom w:val="nil"/>
              <w:right w:val="nil"/>
            </w:tcBorders>
            <w:noWrap/>
            <w:vAlign w:val="center"/>
            <w:hideMark/>
          </w:tcPr>
          <w:p w14:paraId="13B801DC" w14:textId="77777777" w:rsidR="005B4528" w:rsidRPr="00B754C6" w:rsidRDefault="005B4528" w:rsidP="00B53C19">
            <w:pPr>
              <w:spacing w:before="0" w:after="0" w:line="257" w:lineRule="auto"/>
              <w:contextualSpacing/>
              <w:jc w:val="center"/>
              <w:rPr>
                <w:rFonts w:cs="Calibri"/>
                <w:b/>
                <w:bCs/>
                <w:sz w:val="16"/>
                <w:szCs w:val="16"/>
                <w:lang w:eastAsia="en-US"/>
              </w:rPr>
            </w:pPr>
            <w:r w:rsidRPr="00B754C6">
              <w:rPr>
                <w:rFonts w:cs="Calibri"/>
                <w:b/>
                <w:bCs/>
                <w:sz w:val="16"/>
                <w:szCs w:val="16"/>
                <w:lang w:eastAsia="en-US"/>
              </w:rPr>
              <w:t>0,246</w:t>
            </w:r>
          </w:p>
        </w:tc>
        <w:tc>
          <w:tcPr>
            <w:tcW w:w="1405" w:type="dxa"/>
            <w:tcBorders>
              <w:top w:val="dashSmallGap" w:sz="4" w:space="0" w:color="auto"/>
              <w:left w:val="nil"/>
              <w:bottom w:val="nil"/>
              <w:right w:val="nil"/>
            </w:tcBorders>
            <w:noWrap/>
            <w:vAlign w:val="center"/>
            <w:hideMark/>
          </w:tcPr>
          <w:p w14:paraId="152BFEF6" w14:textId="77777777" w:rsidR="005B4528" w:rsidRPr="00B754C6" w:rsidRDefault="005B4528" w:rsidP="00B53C19">
            <w:pPr>
              <w:spacing w:before="0" w:after="0" w:line="257" w:lineRule="auto"/>
              <w:contextualSpacing/>
              <w:jc w:val="center"/>
              <w:rPr>
                <w:rFonts w:cs="Calibri"/>
                <w:b/>
                <w:bCs/>
                <w:sz w:val="16"/>
                <w:szCs w:val="16"/>
                <w:lang w:eastAsia="en-US"/>
              </w:rPr>
            </w:pPr>
            <w:r w:rsidRPr="00B754C6">
              <w:rPr>
                <w:rFonts w:cs="Calibri"/>
                <w:b/>
                <w:bCs/>
                <w:sz w:val="16"/>
                <w:szCs w:val="16"/>
                <w:lang w:eastAsia="en-US"/>
              </w:rPr>
              <w:t>V.</w:t>
            </w:r>
          </w:p>
        </w:tc>
      </w:tr>
      <w:tr w:rsidR="005B4528" w:rsidRPr="00B754C6" w14:paraId="4B05DBDE" w14:textId="77777777" w:rsidTr="005B4528">
        <w:trPr>
          <w:trHeight w:val="225"/>
        </w:trPr>
        <w:tc>
          <w:tcPr>
            <w:tcW w:w="7783" w:type="dxa"/>
            <w:gridSpan w:val="4"/>
            <w:tcBorders>
              <w:top w:val="nil"/>
              <w:left w:val="nil"/>
              <w:bottom w:val="dashSmallGap" w:sz="4" w:space="0" w:color="auto"/>
              <w:right w:val="nil"/>
            </w:tcBorders>
            <w:noWrap/>
            <w:vAlign w:val="center"/>
          </w:tcPr>
          <w:p w14:paraId="730C54BC" w14:textId="77777777" w:rsidR="005B4528" w:rsidRPr="00175B3A" w:rsidRDefault="005B4528" w:rsidP="00B53C19">
            <w:pPr>
              <w:spacing w:before="0" w:after="0" w:line="257" w:lineRule="auto"/>
              <w:ind w:left="0"/>
              <w:contextualSpacing/>
              <w:jc w:val="left"/>
              <w:rPr>
                <w:rFonts w:cs="Calibri"/>
                <w:b/>
                <w:bCs/>
                <w:i/>
                <w:iCs/>
                <w:sz w:val="16"/>
                <w:szCs w:val="16"/>
                <w:lang w:eastAsia="en-US"/>
              </w:rPr>
            </w:pPr>
            <w:r w:rsidRPr="00175B3A">
              <w:rPr>
                <w:rFonts w:cs="Calibri"/>
                <w:b/>
                <w:bCs/>
                <w:i/>
                <w:iCs/>
                <w:sz w:val="16"/>
                <w:szCs w:val="16"/>
                <w:lang w:eastAsia="en-US"/>
              </w:rPr>
              <w:t xml:space="preserve">zdůvodnění vymezení: </w:t>
            </w:r>
          </w:p>
          <w:p w14:paraId="3B1B9C0B" w14:textId="77777777" w:rsidR="005B4528" w:rsidRDefault="005B4528">
            <w:pPr>
              <w:pStyle w:val="Odstavecseseznamem"/>
              <w:numPr>
                <w:ilvl w:val="0"/>
                <w:numId w:val="37"/>
              </w:numPr>
              <w:spacing w:before="0" w:after="0" w:line="257" w:lineRule="auto"/>
              <w:ind w:left="218" w:hanging="141"/>
              <w:jc w:val="left"/>
              <w:rPr>
                <w:rFonts w:cs="Calibri"/>
                <w:i/>
                <w:iCs/>
                <w:sz w:val="16"/>
                <w:szCs w:val="16"/>
              </w:rPr>
            </w:pPr>
            <w:r w:rsidRPr="00464762">
              <w:rPr>
                <w:rFonts w:cs="Calibri"/>
                <w:i/>
                <w:iCs/>
                <w:sz w:val="16"/>
                <w:szCs w:val="16"/>
              </w:rPr>
              <w:t>plocha je součástí zastavěného území obce,</w:t>
            </w:r>
            <w:r>
              <w:rPr>
                <w:rFonts w:cs="Calibri"/>
                <w:i/>
                <w:iCs/>
                <w:sz w:val="16"/>
                <w:szCs w:val="16"/>
              </w:rPr>
              <w:t xml:space="preserve"> </w:t>
            </w:r>
          </w:p>
          <w:p w14:paraId="2D3E33A1" w14:textId="77777777" w:rsidR="005B4528" w:rsidRDefault="005B4528">
            <w:pPr>
              <w:pStyle w:val="Odstavecseseznamem"/>
              <w:numPr>
                <w:ilvl w:val="0"/>
                <w:numId w:val="37"/>
              </w:numPr>
              <w:spacing w:before="0" w:after="0" w:line="257" w:lineRule="auto"/>
              <w:ind w:left="218" w:hanging="141"/>
              <w:jc w:val="left"/>
              <w:rPr>
                <w:rFonts w:cs="Calibri"/>
                <w:i/>
                <w:iCs/>
                <w:sz w:val="16"/>
                <w:szCs w:val="16"/>
              </w:rPr>
            </w:pPr>
            <w:r>
              <w:rPr>
                <w:rFonts w:cs="Calibri"/>
                <w:i/>
                <w:iCs/>
                <w:sz w:val="16"/>
                <w:szCs w:val="16"/>
              </w:rPr>
              <w:t>plocha neslouží k zemědělskému využití,</w:t>
            </w:r>
          </w:p>
          <w:p w14:paraId="464F74F7" w14:textId="77777777" w:rsidR="005B4528" w:rsidRDefault="005B4528">
            <w:pPr>
              <w:pStyle w:val="Odstavecseseznamem"/>
              <w:numPr>
                <w:ilvl w:val="0"/>
                <w:numId w:val="37"/>
              </w:numPr>
              <w:spacing w:before="0" w:after="0" w:line="257" w:lineRule="auto"/>
              <w:ind w:left="218" w:hanging="141"/>
              <w:jc w:val="left"/>
              <w:rPr>
                <w:rFonts w:cs="Calibri"/>
                <w:i/>
                <w:iCs/>
                <w:sz w:val="16"/>
                <w:szCs w:val="16"/>
              </w:rPr>
            </w:pPr>
            <w:r>
              <w:rPr>
                <w:rFonts w:cs="Calibri"/>
                <w:i/>
                <w:iCs/>
                <w:sz w:val="16"/>
                <w:szCs w:val="16"/>
              </w:rPr>
              <w:t>plocha je vymezena jako transformační plocha pro dopravní infrastrukturu předchozím ÚP Hlubočky (B25),</w:t>
            </w:r>
          </w:p>
          <w:p w14:paraId="7146FA86" w14:textId="77777777" w:rsidR="005B4528" w:rsidRPr="00464762" w:rsidRDefault="005B4528">
            <w:pPr>
              <w:pStyle w:val="Odstavecseseznamem"/>
              <w:numPr>
                <w:ilvl w:val="0"/>
                <w:numId w:val="37"/>
              </w:numPr>
              <w:spacing w:before="0" w:after="0" w:line="257" w:lineRule="auto"/>
              <w:ind w:left="218" w:hanging="141"/>
              <w:jc w:val="left"/>
              <w:rPr>
                <w:rFonts w:cs="Calibri"/>
                <w:i/>
                <w:iCs/>
                <w:sz w:val="16"/>
                <w:szCs w:val="16"/>
              </w:rPr>
            </w:pPr>
            <w:r>
              <w:rPr>
                <w:rFonts w:cs="Calibri"/>
                <w:i/>
                <w:iCs/>
                <w:sz w:val="16"/>
                <w:szCs w:val="16"/>
              </w:rPr>
              <w:t xml:space="preserve">změna využiti plochy je stanovena z důvodu možnosti rozvoje smíšené obytné zástavby ulice Dukelských hrdinů a posílení místního jádra obce s podmínkou </w:t>
            </w:r>
            <w:r w:rsidRPr="00464762">
              <w:rPr>
                <w:rFonts w:cs="Calibri"/>
                <w:i/>
                <w:iCs/>
                <w:sz w:val="16"/>
                <w:szCs w:val="16"/>
              </w:rPr>
              <w:t>zajištění parkovacích stání pro potřeby lokality</w:t>
            </w:r>
            <w:r>
              <w:rPr>
                <w:rFonts w:cs="Calibri"/>
                <w:i/>
                <w:iCs/>
                <w:sz w:val="16"/>
                <w:szCs w:val="16"/>
              </w:rPr>
              <w:t>, tedy rozvoje veřejné infrastruktury.</w:t>
            </w:r>
          </w:p>
        </w:tc>
      </w:tr>
      <w:tr w:rsidR="005B4528" w:rsidRPr="00B754C6" w14:paraId="644720DA" w14:textId="77777777" w:rsidTr="005B4528">
        <w:trPr>
          <w:trHeight w:val="225"/>
        </w:trPr>
        <w:tc>
          <w:tcPr>
            <w:tcW w:w="1843" w:type="dxa"/>
            <w:tcBorders>
              <w:top w:val="dashSmallGap" w:sz="4" w:space="0" w:color="auto"/>
              <w:left w:val="nil"/>
              <w:bottom w:val="nil"/>
              <w:right w:val="nil"/>
            </w:tcBorders>
            <w:noWrap/>
            <w:vAlign w:val="center"/>
            <w:hideMark/>
          </w:tcPr>
          <w:p w14:paraId="3AD0B0C9" w14:textId="77777777" w:rsidR="005B4528" w:rsidRPr="00B754C6" w:rsidRDefault="005B4528" w:rsidP="00B53C19">
            <w:pPr>
              <w:spacing w:before="0" w:after="0" w:line="257" w:lineRule="auto"/>
              <w:ind w:left="0"/>
              <w:contextualSpacing/>
              <w:jc w:val="left"/>
              <w:rPr>
                <w:rFonts w:cs="Calibri"/>
                <w:b/>
                <w:bCs/>
                <w:sz w:val="16"/>
                <w:szCs w:val="16"/>
                <w:lang w:eastAsia="en-US"/>
              </w:rPr>
            </w:pPr>
            <w:r w:rsidRPr="00B754C6">
              <w:rPr>
                <w:rFonts w:cs="Calibri"/>
                <w:b/>
                <w:bCs/>
                <w:sz w:val="16"/>
                <w:szCs w:val="16"/>
                <w:lang w:eastAsia="en-US"/>
              </w:rPr>
              <w:t>T.10-1</w:t>
            </w:r>
          </w:p>
        </w:tc>
        <w:tc>
          <w:tcPr>
            <w:tcW w:w="1300" w:type="dxa"/>
            <w:tcBorders>
              <w:top w:val="dashSmallGap" w:sz="4" w:space="0" w:color="auto"/>
              <w:left w:val="nil"/>
              <w:bottom w:val="nil"/>
              <w:right w:val="nil"/>
            </w:tcBorders>
            <w:noWrap/>
            <w:vAlign w:val="center"/>
            <w:hideMark/>
          </w:tcPr>
          <w:p w14:paraId="731AE064" w14:textId="77777777" w:rsidR="005B4528" w:rsidRPr="00B754C6" w:rsidRDefault="005B4528" w:rsidP="00B53C19">
            <w:pPr>
              <w:spacing w:before="0" w:after="0" w:line="257" w:lineRule="auto"/>
              <w:contextualSpacing/>
              <w:jc w:val="center"/>
              <w:rPr>
                <w:rFonts w:cs="Calibri"/>
                <w:b/>
                <w:bCs/>
                <w:sz w:val="16"/>
                <w:szCs w:val="16"/>
                <w:lang w:eastAsia="en-US"/>
              </w:rPr>
            </w:pPr>
            <w:r w:rsidRPr="00B754C6">
              <w:rPr>
                <w:rFonts w:cs="Calibri"/>
                <w:b/>
                <w:bCs/>
                <w:sz w:val="16"/>
                <w:szCs w:val="16"/>
                <w:lang w:eastAsia="en-US"/>
              </w:rPr>
              <w:t>SV</w:t>
            </w:r>
          </w:p>
        </w:tc>
        <w:tc>
          <w:tcPr>
            <w:tcW w:w="3236" w:type="dxa"/>
            <w:tcBorders>
              <w:top w:val="dashSmallGap" w:sz="4" w:space="0" w:color="auto"/>
              <w:left w:val="nil"/>
              <w:bottom w:val="nil"/>
              <w:right w:val="nil"/>
            </w:tcBorders>
            <w:noWrap/>
            <w:vAlign w:val="center"/>
            <w:hideMark/>
          </w:tcPr>
          <w:p w14:paraId="691F4035" w14:textId="77777777" w:rsidR="005B4528" w:rsidRPr="00B754C6" w:rsidRDefault="005B4528" w:rsidP="00B53C19">
            <w:pPr>
              <w:spacing w:before="0" w:after="0" w:line="257" w:lineRule="auto"/>
              <w:contextualSpacing/>
              <w:jc w:val="center"/>
              <w:rPr>
                <w:rFonts w:cs="Calibri"/>
                <w:b/>
                <w:bCs/>
                <w:sz w:val="16"/>
                <w:szCs w:val="16"/>
                <w:lang w:eastAsia="en-US"/>
              </w:rPr>
            </w:pPr>
            <w:r w:rsidRPr="00B754C6">
              <w:rPr>
                <w:rFonts w:cs="Calibri"/>
                <w:b/>
                <w:bCs/>
                <w:sz w:val="16"/>
                <w:szCs w:val="16"/>
                <w:lang w:eastAsia="en-US"/>
              </w:rPr>
              <w:t>0,579</w:t>
            </w:r>
          </w:p>
        </w:tc>
        <w:tc>
          <w:tcPr>
            <w:tcW w:w="1405" w:type="dxa"/>
            <w:tcBorders>
              <w:top w:val="dashSmallGap" w:sz="4" w:space="0" w:color="auto"/>
              <w:left w:val="nil"/>
              <w:bottom w:val="nil"/>
              <w:right w:val="nil"/>
            </w:tcBorders>
            <w:noWrap/>
            <w:vAlign w:val="center"/>
            <w:hideMark/>
          </w:tcPr>
          <w:p w14:paraId="6EEF1009" w14:textId="77777777" w:rsidR="005B4528" w:rsidRPr="00B754C6" w:rsidRDefault="005B4528" w:rsidP="00B53C19">
            <w:pPr>
              <w:spacing w:before="0" w:after="0" w:line="257" w:lineRule="auto"/>
              <w:contextualSpacing/>
              <w:jc w:val="center"/>
              <w:rPr>
                <w:rFonts w:cs="Calibri"/>
                <w:b/>
                <w:bCs/>
                <w:sz w:val="16"/>
                <w:szCs w:val="16"/>
                <w:lang w:eastAsia="en-US"/>
              </w:rPr>
            </w:pPr>
            <w:r w:rsidRPr="00B754C6">
              <w:rPr>
                <w:rFonts w:cs="Calibri"/>
                <w:b/>
                <w:bCs/>
                <w:sz w:val="16"/>
                <w:szCs w:val="16"/>
                <w:lang w:eastAsia="en-US"/>
              </w:rPr>
              <w:t>IV.</w:t>
            </w:r>
          </w:p>
        </w:tc>
      </w:tr>
      <w:tr w:rsidR="005B4528" w:rsidRPr="00B754C6" w14:paraId="590027C8" w14:textId="77777777" w:rsidTr="005B4528">
        <w:trPr>
          <w:trHeight w:val="225"/>
        </w:trPr>
        <w:tc>
          <w:tcPr>
            <w:tcW w:w="7783" w:type="dxa"/>
            <w:gridSpan w:val="4"/>
            <w:tcBorders>
              <w:top w:val="nil"/>
              <w:left w:val="nil"/>
              <w:bottom w:val="dashSmallGap" w:sz="4" w:space="0" w:color="auto"/>
              <w:right w:val="nil"/>
            </w:tcBorders>
            <w:noWrap/>
            <w:vAlign w:val="center"/>
          </w:tcPr>
          <w:p w14:paraId="17C44781" w14:textId="77777777" w:rsidR="005B4528" w:rsidRPr="00175B3A" w:rsidRDefault="005B4528" w:rsidP="00B53C19">
            <w:pPr>
              <w:spacing w:before="0" w:after="0" w:line="257" w:lineRule="auto"/>
              <w:ind w:left="0"/>
              <w:contextualSpacing/>
              <w:jc w:val="left"/>
              <w:rPr>
                <w:rFonts w:cs="Calibri"/>
                <w:b/>
                <w:bCs/>
                <w:i/>
                <w:iCs/>
                <w:sz w:val="16"/>
                <w:szCs w:val="16"/>
                <w:lang w:eastAsia="en-US"/>
              </w:rPr>
            </w:pPr>
            <w:r w:rsidRPr="00175B3A">
              <w:rPr>
                <w:rFonts w:cs="Calibri"/>
                <w:b/>
                <w:bCs/>
                <w:i/>
                <w:iCs/>
                <w:sz w:val="16"/>
                <w:szCs w:val="16"/>
                <w:lang w:eastAsia="en-US"/>
              </w:rPr>
              <w:t xml:space="preserve">zdůvodnění vymezení: </w:t>
            </w:r>
          </w:p>
          <w:p w14:paraId="5FF7E073" w14:textId="77777777" w:rsidR="005B4528" w:rsidRDefault="005B4528">
            <w:pPr>
              <w:pStyle w:val="Odstavecseseznamem"/>
              <w:numPr>
                <w:ilvl w:val="0"/>
                <w:numId w:val="35"/>
              </w:numPr>
              <w:spacing w:before="0" w:after="0" w:line="257" w:lineRule="auto"/>
              <w:ind w:left="218" w:hanging="142"/>
              <w:jc w:val="left"/>
              <w:rPr>
                <w:rFonts w:cs="Calibri"/>
                <w:i/>
                <w:iCs/>
                <w:sz w:val="16"/>
                <w:szCs w:val="16"/>
              </w:rPr>
            </w:pPr>
            <w:r w:rsidRPr="00B754C6">
              <w:rPr>
                <w:rFonts w:cs="Calibri"/>
                <w:i/>
                <w:iCs/>
                <w:sz w:val="16"/>
                <w:szCs w:val="16"/>
              </w:rPr>
              <w:t>plocha je součástí zastavěného území obce,</w:t>
            </w:r>
          </w:p>
          <w:p w14:paraId="436A8BA5" w14:textId="77777777" w:rsidR="005B4528" w:rsidRDefault="005B4528">
            <w:pPr>
              <w:pStyle w:val="Odstavecseseznamem"/>
              <w:numPr>
                <w:ilvl w:val="0"/>
                <w:numId w:val="35"/>
              </w:numPr>
              <w:spacing w:before="0" w:after="0" w:line="257" w:lineRule="auto"/>
              <w:ind w:left="218" w:hanging="142"/>
              <w:jc w:val="left"/>
              <w:rPr>
                <w:rFonts w:cs="Calibri"/>
                <w:i/>
                <w:iCs/>
                <w:sz w:val="16"/>
                <w:szCs w:val="16"/>
              </w:rPr>
            </w:pPr>
            <w:r w:rsidRPr="002A2E3C">
              <w:rPr>
                <w:rFonts w:cs="Calibri"/>
                <w:i/>
                <w:iCs/>
                <w:sz w:val="16"/>
                <w:szCs w:val="16"/>
              </w:rPr>
              <w:t>plocha je vymezena jako transformační plocha stávající rekreační zástavby (rekreační a zahradní chaty) na bydlení předchozím ÚP Hlubočky (B2</w:t>
            </w:r>
            <w:r>
              <w:rPr>
                <w:rFonts w:cs="Calibri"/>
                <w:i/>
                <w:iCs/>
                <w:sz w:val="16"/>
                <w:szCs w:val="16"/>
              </w:rPr>
              <w:t>1</w:t>
            </w:r>
            <w:r w:rsidRPr="002A2E3C">
              <w:rPr>
                <w:rFonts w:cs="Calibri"/>
                <w:i/>
                <w:iCs/>
                <w:sz w:val="16"/>
                <w:szCs w:val="16"/>
              </w:rPr>
              <w:t>),</w:t>
            </w:r>
          </w:p>
          <w:p w14:paraId="697C1A0C" w14:textId="77777777" w:rsidR="005B4528" w:rsidRPr="002D4F26" w:rsidRDefault="005B4528">
            <w:pPr>
              <w:pStyle w:val="Odstavecseseznamem"/>
              <w:numPr>
                <w:ilvl w:val="0"/>
                <w:numId w:val="35"/>
              </w:numPr>
              <w:spacing w:before="0" w:after="0" w:line="257" w:lineRule="auto"/>
              <w:ind w:left="218" w:hanging="142"/>
              <w:jc w:val="left"/>
              <w:rPr>
                <w:rFonts w:cs="Calibri"/>
                <w:i/>
                <w:iCs/>
                <w:sz w:val="16"/>
                <w:szCs w:val="16"/>
              </w:rPr>
            </w:pPr>
            <w:r>
              <w:rPr>
                <w:rFonts w:cs="Calibri"/>
                <w:i/>
                <w:iCs/>
                <w:sz w:val="16"/>
                <w:szCs w:val="16"/>
              </w:rPr>
              <w:t>změna využití plochy je stanovena z důvodu návaznosti na stávající plochy smíšené obytné, včetně již realizované navazující plochy B23.</w:t>
            </w:r>
          </w:p>
        </w:tc>
      </w:tr>
      <w:tr w:rsidR="005B4528" w:rsidRPr="00B754C6" w14:paraId="7B417684" w14:textId="77777777" w:rsidTr="005B4528">
        <w:trPr>
          <w:trHeight w:val="225"/>
        </w:trPr>
        <w:tc>
          <w:tcPr>
            <w:tcW w:w="1843" w:type="dxa"/>
            <w:tcBorders>
              <w:top w:val="dashSmallGap" w:sz="4" w:space="0" w:color="auto"/>
              <w:left w:val="nil"/>
              <w:bottom w:val="nil"/>
              <w:right w:val="nil"/>
            </w:tcBorders>
            <w:noWrap/>
            <w:vAlign w:val="center"/>
            <w:hideMark/>
          </w:tcPr>
          <w:p w14:paraId="7603134C" w14:textId="77777777" w:rsidR="005B4528" w:rsidRPr="00B754C6" w:rsidRDefault="005B4528" w:rsidP="00B53C19">
            <w:pPr>
              <w:spacing w:before="0" w:after="0" w:line="257" w:lineRule="auto"/>
              <w:ind w:left="0"/>
              <w:contextualSpacing/>
              <w:jc w:val="left"/>
              <w:rPr>
                <w:rFonts w:cs="Calibri"/>
                <w:b/>
                <w:bCs/>
                <w:sz w:val="16"/>
                <w:szCs w:val="16"/>
                <w:lang w:eastAsia="en-US"/>
              </w:rPr>
            </w:pPr>
            <w:r w:rsidRPr="00B754C6">
              <w:rPr>
                <w:rFonts w:cs="Calibri"/>
                <w:b/>
                <w:bCs/>
                <w:sz w:val="16"/>
                <w:szCs w:val="16"/>
                <w:lang w:eastAsia="en-US"/>
              </w:rPr>
              <w:t>T.10-2</w:t>
            </w:r>
          </w:p>
        </w:tc>
        <w:tc>
          <w:tcPr>
            <w:tcW w:w="1300" w:type="dxa"/>
            <w:tcBorders>
              <w:top w:val="dashSmallGap" w:sz="4" w:space="0" w:color="auto"/>
              <w:left w:val="nil"/>
              <w:bottom w:val="nil"/>
              <w:right w:val="nil"/>
            </w:tcBorders>
            <w:noWrap/>
            <w:vAlign w:val="center"/>
            <w:hideMark/>
          </w:tcPr>
          <w:p w14:paraId="6F083D2C" w14:textId="77777777" w:rsidR="005B4528" w:rsidRPr="00B754C6" w:rsidRDefault="005B4528" w:rsidP="00B53C19">
            <w:pPr>
              <w:spacing w:before="0" w:after="0" w:line="257" w:lineRule="auto"/>
              <w:contextualSpacing/>
              <w:jc w:val="center"/>
              <w:rPr>
                <w:rFonts w:cs="Calibri"/>
                <w:b/>
                <w:bCs/>
                <w:sz w:val="16"/>
                <w:szCs w:val="16"/>
                <w:lang w:eastAsia="en-US"/>
              </w:rPr>
            </w:pPr>
            <w:r w:rsidRPr="00B754C6">
              <w:rPr>
                <w:rFonts w:cs="Calibri"/>
                <w:b/>
                <w:bCs/>
                <w:sz w:val="16"/>
                <w:szCs w:val="16"/>
                <w:lang w:eastAsia="en-US"/>
              </w:rPr>
              <w:t>SV</w:t>
            </w:r>
          </w:p>
        </w:tc>
        <w:tc>
          <w:tcPr>
            <w:tcW w:w="3236" w:type="dxa"/>
            <w:tcBorders>
              <w:top w:val="dashSmallGap" w:sz="4" w:space="0" w:color="auto"/>
              <w:left w:val="nil"/>
              <w:bottom w:val="nil"/>
              <w:right w:val="nil"/>
            </w:tcBorders>
            <w:noWrap/>
            <w:vAlign w:val="center"/>
            <w:hideMark/>
          </w:tcPr>
          <w:p w14:paraId="2A1FB6D9" w14:textId="77777777" w:rsidR="005B4528" w:rsidRPr="00B754C6" w:rsidRDefault="005B4528" w:rsidP="00B53C19">
            <w:pPr>
              <w:spacing w:before="0" w:after="0" w:line="257" w:lineRule="auto"/>
              <w:contextualSpacing/>
              <w:jc w:val="center"/>
              <w:rPr>
                <w:rFonts w:cs="Calibri"/>
                <w:b/>
                <w:bCs/>
                <w:sz w:val="16"/>
                <w:szCs w:val="16"/>
                <w:lang w:eastAsia="en-US"/>
              </w:rPr>
            </w:pPr>
            <w:r w:rsidRPr="00B754C6">
              <w:rPr>
                <w:rFonts w:cs="Calibri"/>
                <w:b/>
                <w:bCs/>
                <w:sz w:val="16"/>
                <w:szCs w:val="16"/>
                <w:lang w:eastAsia="en-US"/>
              </w:rPr>
              <w:t>0,154</w:t>
            </w:r>
          </w:p>
        </w:tc>
        <w:tc>
          <w:tcPr>
            <w:tcW w:w="1405" w:type="dxa"/>
            <w:tcBorders>
              <w:top w:val="dashSmallGap" w:sz="4" w:space="0" w:color="auto"/>
              <w:left w:val="nil"/>
              <w:bottom w:val="nil"/>
              <w:right w:val="nil"/>
            </w:tcBorders>
            <w:noWrap/>
            <w:vAlign w:val="center"/>
            <w:hideMark/>
          </w:tcPr>
          <w:p w14:paraId="1DB67209" w14:textId="77777777" w:rsidR="005B4528" w:rsidRPr="00B754C6" w:rsidRDefault="005B4528" w:rsidP="00B53C19">
            <w:pPr>
              <w:spacing w:before="0" w:after="0" w:line="257" w:lineRule="auto"/>
              <w:contextualSpacing/>
              <w:jc w:val="center"/>
              <w:rPr>
                <w:rFonts w:cs="Calibri"/>
                <w:b/>
                <w:bCs/>
                <w:sz w:val="16"/>
                <w:szCs w:val="16"/>
                <w:lang w:eastAsia="en-US"/>
              </w:rPr>
            </w:pPr>
            <w:r w:rsidRPr="00B754C6">
              <w:rPr>
                <w:rFonts w:cs="Calibri"/>
                <w:b/>
                <w:bCs/>
                <w:sz w:val="16"/>
                <w:szCs w:val="16"/>
                <w:lang w:eastAsia="en-US"/>
              </w:rPr>
              <w:t>II., V.</w:t>
            </w:r>
          </w:p>
        </w:tc>
      </w:tr>
      <w:tr w:rsidR="005B4528" w:rsidRPr="00B754C6" w14:paraId="3CDD3B96" w14:textId="77777777" w:rsidTr="005B4528">
        <w:trPr>
          <w:trHeight w:val="225"/>
        </w:trPr>
        <w:tc>
          <w:tcPr>
            <w:tcW w:w="7783" w:type="dxa"/>
            <w:gridSpan w:val="4"/>
            <w:tcBorders>
              <w:top w:val="nil"/>
              <w:left w:val="nil"/>
              <w:bottom w:val="dashSmallGap" w:sz="4" w:space="0" w:color="auto"/>
              <w:right w:val="nil"/>
            </w:tcBorders>
            <w:noWrap/>
            <w:vAlign w:val="center"/>
          </w:tcPr>
          <w:p w14:paraId="196CAF73" w14:textId="77777777" w:rsidR="005B4528" w:rsidRPr="00175B3A" w:rsidRDefault="005B4528" w:rsidP="00B53C19">
            <w:pPr>
              <w:spacing w:before="0" w:after="0" w:line="257" w:lineRule="auto"/>
              <w:ind w:left="0"/>
              <w:contextualSpacing/>
              <w:jc w:val="left"/>
              <w:rPr>
                <w:rFonts w:cs="Calibri"/>
                <w:b/>
                <w:bCs/>
                <w:i/>
                <w:iCs/>
                <w:sz w:val="16"/>
                <w:szCs w:val="16"/>
                <w:lang w:eastAsia="en-US"/>
              </w:rPr>
            </w:pPr>
            <w:r w:rsidRPr="00175B3A">
              <w:rPr>
                <w:rFonts w:cs="Calibri"/>
                <w:b/>
                <w:bCs/>
                <w:i/>
                <w:iCs/>
                <w:sz w:val="16"/>
                <w:szCs w:val="16"/>
                <w:lang w:eastAsia="en-US"/>
              </w:rPr>
              <w:t xml:space="preserve">zdůvodnění vymezení: </w:t>
            </w:r>
          </w:p>
          <w:p w14:paraId="79938E3D" w14:textId="77777777" w:rsidR="005B4528" w:rsidRDefault="005B4528">
            <w:pPr>
              <w:pStyle w:val="Odstavecseseznamem"/>
              <w:numPr>
                <w:ilvl w:val="0"/>
                <w:numId w:val="35"/>
              </w:numPr>
              <w:spacing w:before="0" w:after="0" w:line="257" w:lineRule="auto"/>
              <w:ind w:left="218" w:hanging="142"/>
              <w:jc w:val="left"/>
              <w:rPr>
                <w:rFonts w:cs="Calibri"/>
                <w:i/>
                <w:iCs/>
                <w:sz w:val="16"/>
                <w:szCs w:val="16"/>
              </w:rPr>
            </w:pPr>
            <w:r w:rsidRPr="00B754C6">
              <w:rPr>
                <w:rFonts w:cs="Calibri"/>
                <w:i/>
                <w:iCs/>
                <w:sz w:val="16"/>
                <w:szCs w:val="16"/>
              </w:rPr>
              <w:t>plocha je součástí zastavěného území obce,</w:t>
            </w:r>
          </w:p>
          <w:p w14:paraId="2CC4B498" w14:textId="77777777" w:rsidR="005B4528" w:rsidRDefault="005B4528">
            <w:pPr>
              <w:pStyle w:val="Odstavecseseznamem"/>
              <w:numPr>
                <w:ilvl w:val="0"/>
                <w:numId w:val="35"/>
              </w:numPr>
              <w:spacing w:before="0" w:after="0" w:line="257" w:lineRule="auto"/>
              <w:ind w:left="218" w:hanging="142"/>
              <w:jc w:val="left"/>
              <w:rPr>
                <w:rFonts w:cs="Calibri"/>
                <w:i/>
                <w:iCs/>
                <w:sz w:val="16"/>
                <w:szCs w:val="16"/>
              </w:rPr>
            </w:pPr>
            <w:r w:rsidRPr="002D4F26">
              <w:rPr>
                <w:rFonts w:cs="Calibri"/>
                <w:i/>
                <w:iCs/>
                <w:sz w:val="16"/>
                <w:szCs w:val="16"/>
              </w:rPr>
              <w:t>plocha je vymezena jako transformační plocha stávající rekreační zástavby (rekreační a zahradní chaty) na bydlení předchozím ÚP Hlubočky (B</w:t>
            </w:r>
            <w:r>
              <w:rPr>
                <w:rFonts w:cs="Calibri"/>
                <w:i/>
                <w:iCs/>
                <w:sz w:val="16"/>
                <w:szCs w:val="16"/>
              </w:rPr>
              <w:t>17</w:t>
            </w:r>
            <w:r w:rsidRPr="002D4F26">
              <w:rPr>
                <w:rFonts w:cs="Calibri"/>
                <w:i/>
                <w:iCs/>
                <w:sz w:val="16"/>
                <w:szCs w:val="16"/>
              </w:rPr>
              <w:t>),</w:t>
            </w:r>
          </w:p>
          <w:p w14:paraId="1150FD91" w14:textId="77777777" w:rsidR="005B4528" w:rsidRDefault="005B4528">
            <w:pPr>
              <w:pStyle w:val="Odstavecseseznamem"/>
              <w:numPr>
                <w:ilvl w:val="0"/>
                <w:numId w:val="35"/>
              </w:numPr>
              <w:spacing w:before="0" w:after="0" w:line="257" w:lineRule="auto"/>
              <w:ind w:left="218" w:hanging="142"/>
              <w:jc w:val="left"/>
              <w:rPr>
                <w:rFonts w:cs="Calibri"/>
                <w:i/>
                <w:iCs/>
                <w:sz w:val="16"/>
                <w:szCs w:val="16"/>
              </w:rPr>
            </w:pPr>
            <w:r w:rsidRPr="002D4F26">
              <w:rPr>
                <w:rFonts w:cs="Calibri"/>
                <w:i/>
                <w:iCs/>
                <w:sz w:val="16"/>
                <w:szCs w:val="16"/>
              </w:rPr>
              <w:t xml:space="preserve">změna využití plochy </w:t>
            </w:r>
            <w:r>
              <w:rPr>
                <w:rFonts w:cs="Calibri"/>
                <w:i/>
                <w:iCs/>
                <w:sz w:val="16"/>
                <w:szCs w:val="16"/>
              </w:rPr>
              <w:t>je</w:t>
            </w:r>
            <w:r w:rsidRPr="002D4F26">
              <w:rPr>
                <w:rFonts w:cs="Calibri"/>
                <w:i/>
                <w:iCs/>
                <w:sz w:val="16"/>
                <w:szCs w:val="16"/>
              </w:rPr>
              <w:t xml:space="preserve"> stanovena z důvodu </w:t>
            </w:r>
            <w:r>
              <w:rPr>
                <w:rFonts w:cs="Calibri"/>
                <w:i/>
                <w:iCs/>
                <w:sz w:val="16"/>
                <w:szCs w:val="16"/>
              </w:rPr>
              <w:t>probíhající transformace rekreační zástavby na bydlení,</w:t>
            </w:r>
          </w:p>
          <w:p w14:paraId="6B1C6F0D" w14:textId="77777777" w:rsidR="005B4528" w:rsidRPr="002D4F26" w:rsidRDefault="005B4528">
            <w:pPr>
              <w:pStyle w:val="Odstavecseseznamem"/>
              <w:numPr>
                <w:ilvl w:val="0"/>
                <w:numId w:val="35"/>
              </w:numPr>
              <w:spacing w:before="0" w:after="0" w:line="257" w:lineRule="auto"/>
              <w:ind w:left="218" w:hanging="142"/>
              <w:jc w:val="left"/>
              <w:rPr>
                <w:rFonts w:cs="Calibri"/>
                <w:i/>
                <w:iCs/>
                <w:sz w:val="16"/>
                <w:szCs w:val="16"/>
              </w:rPr>
            </w:pPr>
            <w:r>
              <w:rPr>
                <w:rFonts w:cs="Calibri"/>
                <w:i/>
                <w:iCs/>
                <w:sz w:val="16"/>
                <w:szCs w:val="16"/>
              </w:rPr>
              <w:t xml:space="preserve">37% plochy je vymezeno na </w:t>
            </w:r>
            <w:r w:rsidRPr="00127E5A">
              <w:rPr>
                <w:rFonts w:cs="Calibri"/>
                <w:i/>
                <w:iCs/>
                <w:sz w:val="16"/>
                <w:szCs w:val="16"/>
              </w:rPr>
              <w:t>nadprůměrně produkčních půdách (II. třída ochrany ZPF)</w:t>
            </w:r>
            <w:r>
              <w:rPr>
                <w:rFonts w:cs="Calibri"/>
                <w:i/>
                <w:iCs/>
                <w:sz w:val="16"/>
                <w:szCs w:val="16"/>
              </w:rPr>
              <w:t xml:space="preserve">, přepokládá se, že na těchto půdách </w:t>
            </w:r>
            <w:r w:rsidRPr="00127E5A">
              <w:rPr>
                <w:rFonts w:cs="Calibri"/>
                <w:i/>
                <w:iCs/>
                <w:sz w:val="16"/>
                <w:szCs w:val="16"/>
              </w:rPr>
              <w:t xml:space="preserve">budou </w:t>
            </w:r>
            <w:r>
              <w:rPr>
                <w:rFonts w:cs="Calibri"/>
                <w:i/>
                <w:iCs/>
                <w:sz w:val="16"/>
                <w:szCs w:val="16"/>
              </w:rPr>
              <w:t xml:space="preserve">přednostně </w:t>
            </w:r>
            <w:r w:rsidRPr="00127E5A">
              <w:rPr>
                <w:rFonts w:cs="Calibri"/>
                <w:i/>
                <w:iCs/>
                <w:sz w:val="16"/>
                <w:szCs w:val="16"/>
              </w:rPr>
              <w:t>zachovány</w:t>
            </w:r>
            <w:r>
              <w:rPr>
                <w:rFonts w:cs="Calibri"/>
                <w:i/>
                <w:iCs/>
                <w:sz w:val="16"/>
                <w:szCs w:val="16"/>
              </w:rPr>
              <w:t xml:space="preserve"> zahrady</w:t>
            </w:r>
            <w:r w:rsidRPr="00127E5A">
              <w:rPr>
                <w:rFonts w:cs="Calibri"/>
                <w:i/>
                <w:iCs/>
                <w:sz w:val="16"/>
                <w:szCs w:val="16"/>
              </w:rPr>
              <w:t xml:space="preserve"> jako součást ZPF</w:t>
            </w:r>
            <w:r>
              <w:rPr>
                <w:rFonts w:cs="Calibri"/>
                <w:i/>
                <w:iCs/>
                <w:sz w:val="16"/>
                <w:szCs w:val="16"/>
              </w:rPr>
              <w:t>.</w:t>
            </w:r>
          </w:p>
        </w:tc>
      </w:tr>
      <w:tr w:rsidR="005B4528" w:rsidRPr="00B754C6" w14:paraId="692683B1" w14:textId="77777777" w:rsidTr="005B4528">
        <w:trPr>
          <w:trHeight w:val="225"/>
        </w:trPr>
        <w:tc>
          <w:tcPr>
            <w:tcW w:w="1843" w:type="dxa"/>
            <w:tcBorders>
              <w:top w:val="dashSmallGap" w:sz="4" w:space="0" w:color="auto"/>
              <w:left w:val="nil"/>
              <w:bottom w:val="nil"/>
              <w:right w:val="nil"/>
            </w:tcBorders>
            <w:noWrap/>
            <w:vAlign w:val="center"/>
            <w:hideMark/>
          </w:tcPr>
          <w:p w14:paraId="0E43B8B2" w14:textId="77777777" w:rsidR="005B4528" w:rsidRPr="00B754C6" w:rsidRDefault="005B4528" w:rsidP="00B53C19">
            <w:pPr>
              <w:spacing w:before="0" w:after="0" w:line="257" w:lineRule="auto"/>
              <w:ind w:left="0"/>
              <w:contextualSpacing/>
              <w:jc w:val="left"/>
              <w:rPr>
                <w:rFonts w:cs="Calibri"/>
                <w:b/>
                <w:bCs/>
                <w:sz w:val="16"/>
                <w:szCs w:val="16"/>
                <w:lang w:eastAsia="en-US"/>
              </w:rPr>
            </w:pPr>
            <w:r w:rsidRPr="00B754C6">
              <w:rPr>
                <w:rFonts w:cs="Calibri"/>
                <w:b/>
                <w:bCs/>
                <w:sz w:val="16"/>
                <w:szCs w:val="16"/>
                <w:lang w:eastAsia="en-US"/>
              </w:rPr>
              <w:t>T.10-3</w:t>
            </w:r>
          </w:p>
        </w:tc>
        <w:tc>
          <w:tcPr>
            <w:tcW w:w="1300" w:type="dxa"/>
            <w:tcBorders>
              <w:top w:val="dashSmallGap" w:sz="4" w:space="0" w:color="auto"/>
              <w:left w:val="nil"/>
              <w:bottom w:val="nil"/>
              <w:right w:val="nil"/>
            </w:tcBorders>
            <w:noWrap/>
            <w:vAlign w:val="center"/>
            <w:hideMark/>
          </w:tcPr>
          <w:p w14:paraId="571137EA" w14:textId="77777777" w:rsidR="005B4528" w:rsidRPr="00B754C6" w:rsidRDefault="005B4528" w:rsidP="00B53C19">
            <w:pPr>
              <w:spacing w:before="0" w:after="0" w:line="257" w:lineRule="auto"/>
              <w:contextualSpacing/>
              <w:jc w:val="center"/>
              <w:rPr>
                <w:rFonts w:cs="Calibri"/>
                <w:b/>
                <w:bCs/>
                <w:sz w:val="16"/>
                <w:szCs w:val="16"/>
                <w:lang w:eastAsia="en-US"/>
              </w:rPr>
            </w:pPr>
            <w:r w:rsidRPr="00B754C6">
              <w:rPr>
                <w:rFonts w:cs="Calibri"/>
                <w:b/>
                <w:bCs/>
                <w:sz w:val="16"/>
                <w:szCs w:val="16"/>
                <w:lang w:eastAsia="en-US"/>
              </w:rPr>
              <w:t>SV</w:t>
            </w:r>
          </w:p>
        </w:tc>
        <w:tc>
          <w:tcPr>
            <w:tcW w:w="3236" w:type="dxa"/>
            <w:tcBorders>
              <w:top w:val="dashSmallGap" w:sz="4" w:space="0" w:color="auto"/>
              <w:left w:val="nil"/>
              <w:bottom w:val="nil"/>
              <w:right w:val="nil"/>
            </w:tcBorders>
            <w:noWrap/>
            <w:vAlign w:val="center"/>
            <w:hideMark/>
          </w:tcPr>
          <w:p w14:paraId="4A9AEF23" w14:textId="77777777" w:rsidR="005B4528" w:rsidRPr="00B754C6" w:rsidRDefault="005B4528" w:rsidP="00B53C19">
            <w:pPr>
              <w:spacing w:before="0" w:after="0" w:line="257" w:lineRule="auto"/>
              <w:contextualSpacing/>
              <w:jc w:val="center"/>
              <w:rPr>
                <w:rFonts w:cs="Calibri"/>
                <w:b/>
                <w:bCs/>
                <w:sz w:val="16"/>
                <w:szCs w:val="16"/>
                <w:lang w:eastAsia="en-US"/>
              </w:rPr>
            </w:pPr>
            <w:r w:rsidRPr="00B754C6">
              <w:rPr>
                <w:rFonts w:cs="Calibri"/>
                <w:b/>
                <w:bCs/>
                <w:sz w:val="16"/>
                <w:szCs w:val="16"/>
                <w:lang w:eastAsia="en-US"/>
              </w:rPr>
              <w:t>0,249</w:t>
            </w:r>
          </w:p>
        </w:tc>
        <w:tc>
          <w:tcPr>
            <w:tcW w:w="1405" w:type="dxa"/>
            <w:tcBorders>
              <w:top w:val="dashSmallGap" w:sz="4" w:space="0" w:color="auto"/>
              <w:left w:val="nil"/>
              <w:bottom w:val="nil"/>
              <w:right w:val="nil"/>
            </w:tcBorders>
            <w:noWrap/>
            <w:vAlign w:val="center"/>
            <w:hideMark/>
          </w:tcPr>
          <w:p w14:paraId="34D4F778" w14:textId="77777777" w:rsidR="005B4528" w:rsidRPr="00B754C6" w:rsidRDefault="005B4528" w:rsidP="00B53C19">
            <w:pPr>
              <w:spacing w:before="0" w:after="0" w:line="257" w:lineRule="auto"/>
              <w:contextualSpacing/>
              <w:jc w:val="center"/>
              <w:rPr>
                <w:rFonts w:cs="Calibri"/>
                <w:b/>
                <w:bCs/>
                <w:sz w:val="16"/>
                <w:szCs w:val="16"/>
                <w:lang w:eastAsia="en-US"/>
              </w:rPr>
            </w:pPr>
            <w:r w:rsidRPr="00B754C6">
              <w:rPr>
                <w:rFonts w:cs="Calibri"/>
                <w:b/>
                <w:bCs/>
                <w:sz w:val="16"/>
                <w:szCs w:val="16"/>
                <w:lang w:eastAsia="en-US"/>
              </w:rPr>
              <w:t>II., V.</w:t>
            </w:r>
          </w:p>
        </w:tc>
      </w:tr>
      <w:tr w:rsidR="005B4528" w:rsidRPr="00B754C6" w14:paraId="07D4B8D5" w14:textId="77777777" w:rsidTr="005B4528">
        <w:trPr>
          <w:trHeight w:val="225"/>
        </w:trPr>
        <w:tc>
          <w:tcPr>
            <w:tcW w:w="7783" w:type="dxa"/>
            <w:gridSpan w:val="4"/>
            <w:tcBorders>
              <w:top w:val="nil"/>
              <w:left w:val="nil"/>
              <w:bottom w:val="dashSmallGap" w:sz="4" w:space="0" w:color="auto"/>
              <w:right w:val="nil"/>
            </w:tcBorders>
            <w:noWrap/>
            <w:vAlign w:val="center"/>
          </w:tcPr>
          <w:p w14:paraId="059719FC" w14:textId="77777777" w:rsidR="005B4528" w:rsidRPr="00175B3A" w:rsidRDefault="005B4528" w:rsidP="00B53C19">
            <w:pPr>
              <w:spacing w:before="0" w:after="0" w:line="257" w:lineRule="auto"/>
              <w:ind w:left="0"/>
              <w:contextualSpacing/>
              <w:jc w:val="left"/>
              <w:rPr>
                <w:rFonts w:cs="Calibri"/>
                <w:b/>
                <w:bCs/>
                <w:i/>
                <w:iCs/>
                <w:sz w:val="16"/>
                <w:szCs w:val="16"/>
                <w:lang w:eastAsia="en-US"/>
              </w:rPr>
            </w:pPr>
            <w:r w:rsidRPr="00175B3A">
              <w:rPr>
                <w:rFonts w:cs="Calibri"/>
                <w:b/>
                <w:bCs/>
                <w:i/>
                <w:iCs/>
                <w:sz w:val="16"/>
                <w:szCs w:val="16"/>
                <w:lang w:eastAsia="en-US"/>
              </w:rPr>
              <w:t xml:space="preserve">zdůvodnění vymezení: </w:t>
            </w:r>
          </w:p>
          <w:p w14:paraId="10CC959E" w14:textId="77777777" w:rsidR="005B4528" w:rsidRDefault="005B4528">
            <w:pPr>
              <w:pStyle w:val="Odstavecseseznamem"/>
              <w:numPr>
                <w:ilvl w:val="0"/>
                <w:numId w:val="35"/>
              </w:numPr>
              <w:spacing w:before="0" w:after="0" w:line="257" w:lineRule="auto"/>
              <w:ind w:left="218" w:hanging="142"/>
              <w:jc w:val="left"/>
              <w:rPr>
                <w:rFonts w:cs="Calibri"/>
                <w:i/>
                <w:iCs/>
                <w:sz w:val="16"/>
                <w:szCs w:val="16"/>
              </w:rPr>
            </w:pPr>
            <w:r w:rsidRPr="00B754C6">
              <w:rPr>
                <w:rFonts w:cs="Calibri"/>
                <w:i/>
                <w:iCs/>
                <w:sz w:val="16"/>
                <w:szCs w:val="16"/>
              </w:rPr>
              <w:t>plocha je součástí zastavěného území obce,</w:t>
            </w:r>
          </w:p>
          <w:p w14:paraId="1394834D" w14:textId="77777777" w:rsidR="005B4528" w:rsidRDefault="005B4528">
            <w:pPr>
              <w:pStyle w:val="Odstavecseseznamem"/>
              <w:numPr>
                <w:ilvl w:val="0"/>
                <w:numId w:val="35"/>
              </w:numPr>
              <w:spacing w:before="0" w:after="0" w:line="257" w:lineRule="auto"/>
              <w:ind w:left="218" w:hanging="142"/>
              <w:jc w:val="left"/>
              <w:rPr>
                <w:rFonts w:cs="Calibri"/>
                <w:i/>
                <w:iCs/>
                <w:sz w:val="16"/>
                <w:szCs w:val="16"/>
              </w:rPr>
            </w:pPr>
            <w:r w:rsidRPr="002D4F26">
              <w:rPr>
                <w:rFonts w:cs="Calibri"/>
                <w:i/>
                <w:iCs/>
                <w:sz w:val="16"/>
                <w:szCs w:val="16"/>
              </w:rPr>
              <w:t>plocha je vymezena jako transformační plocha stávající rekreační zástavby (rekreační a zahradní chaty) na bydlení předchozím ÚP Hlubočky (B</w:t>
            </w:r>
            <w:r>
              <w:rPr>
                <w:rFonts w:cs="Calibri"/>
                <w:i/>
                <w:iCs/>
                <w:sz w:val="16"/>
                <w:szCs w:val="16"/>
              </w:rPr>
              <w:t>17</w:t>
            </w:r>
            <w:r w:rsidRPr="002D4F26">
              <w:rPr>
                <w:rFonts w:cs="Calibri"/>
                <w:i/>
                <w:iCs/>
                <w:sz w:val="16"/>
                <w:szCs w:val="16"/>
              </w:rPr>
              <w:t>),</w:t>
            </w:r>
          </w:p>
          <w:p w14:paraId="437DDD97" w14:textId="77777777" w:rsidR="005B4528" w:rsidRDefault="005B4528">
            <w:pPr>
              <w:pStyle w:val="Odstavecseseznamem"/>
              <w:numPr>
                <w:ilvl w:val="0"/>
                <w:numId w:val="35"/>
              </w:numPr>
              <w:spacing w:before="0" w:after="0" w:line="257" w:lineRule="auto"/>
              <w:ind w:left="218" w:hanging="142"/>
              <w:jc w:val="left"/>
              <w:rPr>
                <w:rFonts w:cs="Calibri"/>
                <w:i/>
                <w:iCs/>
                <w:sz w:val="16"/>
                <w:szCs w:val="16"/>
              </w:rPr>
            </w:pPr>
            <w:r w:rsidRPr="002D4F26">
              <w:rPr>
                <w:rFonts w:cs="Calibri"/>
                <w:i/>
                <w:iCs/>
                <w:sz w:val="16"/>
                <w:szCs w:val="16"/>
              </w:rPr>
              <w:t xml:space="preserve">změna využití plochy </w:t>
            </w:r>
            <w:r>
              <w:rPr>
                <w:rFonts w:cs="Calibri"/>
                <w:i/>
                <w:iCs/>
                <w:sz w:val="16"/>
                <w:szCs w:val="16"/>
              </w:rPr>
              <w:t>je</w:t>
            </w:r>
            <w:r w:rsidRPr="002D4F26">
              <w:rPr>
                <w:rFonts w:cs="Calibri"/>
                <w:i/>
                <w:iCs/>
                <w:sz w:val="16"/>
                <w:szCs w:val="16"/>
              </w:rPr>
              <w:t xml:space="preserve"> stanovena z důvodu </w:t>
            </w:r>
            <w:r>
              <w:rPr>
                <w:rFonts w:cs="Calibri"/>
                <w:i/>
                <w:iCs/>
                <w:sz w:val="16"/>
                <w:szCs w:val="16"/>
              </w:rPr>
              <w:t>probíhající transformace rekreační zástavby na bydlení,</w:t>
            </w:r>
          </w:p>
          <w:p w14:paraId="4EAAC1AC" w14:textId="77777777" w:rsidR="005B4528" w:rsidRPr="00DD3BB4" w:rsidRDefault="005B4528">
            <w:pPr>
              <w:pStyle w:val="Odstavecseseznamem"/>
              <w:numPr>
                <w:ilvl w:val="0"/>
                <w:numId w:val="35"/>
              </w:numPr>
              <w:spacing w:before="0" w:after="0" w:line="257" w:lineRule="auto"/>
              <w:ind w:left="218" w:hanging="142"/>
              <w:jc w:val="left"/>
              <w:rPr>
                <w:rFonts w:cs="Calibri"/>
                <w:i/>
                <w:iCs/>
                <w:sz w:val="16"/>
                <w:szCs w:val="16"/>
              </w:rPr>
            </w:pPr>
            <w:r>
              <w:rPr>
                <w:rFonts w:cs="Calibri"/>
                <w:i/>
                <w:iCs/>
                <w:sz w:val="16"/>
                <w:szCs w:val="16"/>
              </w:rPr>
              <w:t>44</w:t>
            </w:r>
            <w:r w:rsidRPr="00DD3BB4">
              <w:rPr>
                <w:rFonts w:cs="Calibri"/>
                <w:i/>
                <w:iCs/>
                <w:sz w:val="16"/>
                <w:szCs w:val="16"/>
              </w:rPr>
              <w:t xml:space="preserve">% plochy je vymezeno </w:t>
            </w:r>
            <w:r>
              <w:rPr>
                <w:rFonts w:cs="Calibri"/>
                <w:i/>
                <w:iCs/>
                <w:sz w:val="16"/>
                <w:szCs w:val="16"/>
              </w:rPr>
              <w:t xml:space="preserve">na </w:t>
            </w:r>
            <w:r w:rsidRPr="00DD3BB4">
              <w:rPr>
                <w:rFonts w:cs="Calibri"/>
                <w:i/>
                <w:iCs/>
                <w:sz w:val="16"/>
                <w:szCs w:val="16"/>
              </w:rPr>
              <w:t>nadprůměrně produkčních půdách (II. třída ochrany ZPF), přepokládá se, že na těchto půdách budou přednostně zachovány zahrady jako součást ZPF.</w:t>
            </w:r>
          </w:p>
        </w:tc>
      </w:tr>
      <w:tr w:rsidR="005B4528" w:rsidRPr="00B754C6" w14:paraId="21CA8076" w14:textId="77777777" w:rsidTr="005B4528">
        <w:trPr>
          <w:trHeight w:val="225"/>
        </w:trPr>
        <w:tc>
          <w:tcPr>
            <w:tcW w:w="1843" w:type="dxa"/>
            <w:tcBorders>
              <w:top w:val="dashSmallGap" w:sz="4" w:space="0" w:color="auto"/>
              <w:left w:val="nil"/>
              <w:bottom w:val="nil"/>
              <w:right w:val="nil"/>
            </w:tcBorders>
            <w:noWrap/>
            <w:vAlign w:val="center"/>
            <w:hideMark/>
          </w:tcPr>
          <w:p w14:paraId="06C37296" w14:textId="77777777" w:rsidR="005B4528" w:rsidRPr="00B754C6" w:rsidRDefault="005B4528" w:rsidP="00B53C19">
            <w:pPr>
              <w:spacing w:before="0" w:after="0" w:line="257" w:lineRule="auto"/>
              <w:ind w:left="0"/>
              <w:contextualSpacing/>
              <w:jc w:val="left"/>
              <w:rPr>
                <w:rFonts w:cs="Calibri"/>
                <w:b/>
                <w:bCs/>
                <w:sz w:val="16"/>
                <w:szCs w:val="16"/>
                <w:lang w:eastAsia="en-US"/>
              </w:rPr>
            </w:pPr>
            <w:r w:rsidRPr="00B754C6">
              <w:rPr>
                <w:rFonts w:cs="Calibri"/>
                <w:b/>
                <w:bCs/>
                <w:sz w:val="16"/>
                <w:szCs w:val="16"/>
                <w:lang w:eastAsia="en-US"/>
              </w:rPr>
              <w:t>T.10-4</w:t>
            </w:r>
          </w:p>
        </w:tc>
        <w:tc>
          <w:tcPr>
            <w:tcW w:w="1300" w:type="dxa"/>
            <w:tcBorders>
              <w:top w:val="dashSmallGap" w:sz="4" w:space="0" w:color="auto"/>
              <w:left w:val="nil"/>
              <w:bottom w:val="nil"/>
              <w:right w:val="nil"/>
            </w:tcBorders>
            <w:noWrap/>
            <w:vAlign w:val="center"/>
            <w:hideMark/>
          </w:tcPr>
          <w:p w14:paraId="130FA89B" w14:textId="77777777" w:rsidR="005B4528" w:rsidRPr="00B754C6" w:rsidRDefault="005B4528" w:rsidP="00B53C19">
            <w:pPr>
              <w:spacing w:before="0" w:after="0" w:line="257" w:lineRule="auto"/>
              <w:contextualSpacing/>
              <w:jc w:val="center"/>
              <w:rPr>
                <w:rFonts w:cs="Calibri"/>
                <w:b/>
                <w:bCs/>
                <w:sz w:val="16"/>
                <w:szCs w:val="16"/>
                <w:lang w:eastAsia="en-US"/>
              </w:rPr>
            </w:pPr>
            <w:r w:rsidRPr="00B754C6">
              <w:rPr>
                <w:rFonts w:cs="Calibri"/>
                <w:b/>
                <w:bCs/>
                <w:sz w:val="16"/>
                <w:szCs w:val="16"/>
                <w:lang w:eastAsia="en-US"/>
              </w:rPr>
              <w:t>SV</w:t>
            </w:r>
          </w:p>
        </w:tc>
        <w:tc>
          <w:tcPr>
            <w:tcW w:w="3236" w:type="dxa"/>
            <w:tcBorders>
              <w:top w:val="dashSmallGap" w:sz="4" w:space="0" w:color="auto"/>
              <w:left w:val="nil"/>
              <w:bottom w:val="nil"/>
              <w:right w:val="nil"/>
            </w:tcBorders>
            <w:noWrap/>
            <w:vAlign w:val="center"/>
            <w:hideMark/>
          </w:tcPr>
          <w:p w14:paraId="5AC3FA0E" w14:textId="77777777" w:rsidR="005B4528" w:rsidRPr="00B754C6" w:rsidRDefault="005B4528" w:rsidP="00B53C19">
            <w:pPr>
              <w:spacing w:before="0" w:after="0" w:line="257" w:lineRule="auto"/>
              <w:contextualSpacing/>
              <w:jc w:val="center"/>
              <w:rPr>
                <w:rFonts w:cs="Calibri"/>
                <w:b/>
                <w:bCs/>
                <w:sz w:val="16"/>
                <w:szCs w:val="16"/>
                <w:lang w:eastAsia="en-US"/>
              </w:rPr>
            </w:pPr>
            <w:r w:rsidRPr="00B754C6">
              <w:rPr>
                <w:rFonts w:cs="Calibri"/>
                <w:b/>
                <w:bCs/>
                <w:sz w:val="16"/>
                <w:szCs w:val="16"/>
                <w:lang w:eastAsia="en-US"/>
              </w:rPr>
              <w:t>0,649</w:t>
            </w:r>
          </w:p>
        </w:tc>
        <w:tc>
          <w:tcPr>
            <w:tcW w:w="1405" w:type="dxa"/>
            <w:tcBorders>
              <w:top w:val="dashSmallGap" w:sz="4" w:space="0" w:color="auto"/>
              <w:left w:val="nil"/>
              <w:bottom w:val="nil"/>
              <w:right w:val="nil"/>
            </w:tcBorders>
            <w:noWrap/>
            <w:vAlign w:val="center"/>
            <w:hideMark/>
          </w:tcPr>
          <w:p w14:paraId="2B5CCA52" w14:textId="77777777" w:rsidR="005B4528" w:rsidRPr="00B754C6" w:rsidRDefault="005B4528" w:rsidP="00B53C19">
            <w:pPr>
              <w:spacing w:before="0" w:after="0" w:line="257" w:lineRule="auto"/>
              <w:contextualSpacing/>
              <w:jc w:val="center"/>
              <w:rPr>
                <w:rFonts w:cs="Calibri"/>
                <w:b/>
                <w:bCs/>
                <w:sz w:val="16"/>
                <w:szCs w:val="16"/>
                <w:lang w:eastAsia="en-US"/>
              </w:rPr>
            </w:pPr>
            <w:r w:rsidRPr="00B754C6">
              <w:rPr>
                <w:rFonts w:cs="Calibri"/>
                <w:b/>
                <w:bCs/>
                <w:sz w:val="16"/>
                <w:szCs w:val="16"/>
                <w:lang w:eastAsia="en-US"/>
              </w:rPr>
              <w:t>II.</w:t>
            </w:r>
          </w:p>
        </w:tc>
      </w:tr>
      <w:tr w:rsidR="005B4528" w:rsidRPr="00B754C6" w14:paraId="12F32878" w14:textId="77777777" w:rsidTr="005B4528">
        <w:trPr>
          <w:trHeight w:val="225"/>
        </w:trPr>
        <w:tc>
          <w:tcPr>
            <w:tcW w:w="7783" w:type="dxa"/>
            <w:gridSpan w:val="4"/>
            <w:tcBorders>
              <w:top w:val="nil"/>
              <w:left w:val="nil"/>
              <w:bottom w:val="dashSmallGap" w:sz="4" w:space="0" w:color="auto"/>
              <w:right w:val="nil"/>
            </w:tcBorders>
            <w:noWrap/>
            <w:vAlign w:val="center"/>
          </w:tcPr>
          <w:p w14:paraId="70AEEC15" w14:textId="77777777" w:rsidR="005B4528" w:rsidRPr="00175B3A" w:rsidRDefault="005B4528" w:rsidP="00B53C19">
            <w:pPr>
              <w:spacing w:before="0" w:after="0" w:line="257" w:lineRule="auto"/>
              <w:ind w:left="0"/>
              <w:contextualSpacing/>
              <w:jc w:val="left"/>
              <w:rPr>
                <w:rFonts w:cs="Calibri"/>
                <w:b/>
                <w:bCs/>
                <w:i/>
                <w:iCs/>
                <w:sz w:val="16"/>
                <w:szCs w:val="16"/>
                <w:lang w:eastAsia="en-US"/>
              </w:rPr>
            </w:pPr>
            <w:r w:rsidRPr="00175B3A">
              <w:rPr>
                <w:rFonts w:cs="Calibri"/>
                <w:b/>
                <w:bCs/>
                <w:i/>
                <w:iCs/>
                <w:sz w:val="16"/>
                <w:szCs w:val="16"/>
                <w:lang w:eastAsia="en-US"/>
              </w:rPr>
              <w:t xml:space="preserve">zdůvodnění vymezení: </w:t>
            </w:r>
          </w:p>
          <w:p w14:paraId="01A3CAD5" w14:textId="77777777" w:rsidR="005B4528" w:rsidRDefault="005B4528">
            <w:pPr>
              <w:pStyle w:val="Odstavecseseznamem"/>
              <w:numPr>
                <w:ilvl w:val="0"/>
                <w:numId w:val="35"/>
              </w:numPr>
              <w:spacing w:before="0" w:after="0" w:line="257" w:lineRule="auto"/>
              <w:ind w:left="218" w:hanging="142"/>
              <w:jc w:val="left"/>
              <w:rPr>
                <w:rFonts w:cs="Calibri"/>
                <w:i/>
                <w:iCs/>
                <w:sz w:val="16"/>
                <w:szCs w:val="16"/>
              </w:rPr>
            </w:pPr>
            <w:r w:rsidRPr="00B754C6">
              <w:rPr>
                <w:rFonts w:cs="Calibri"/>
                <w:i/>
                <w:iCs/>
                <w:sz w:val="16"/>
                <w:szCs w:val="16"/>
              </w:rPr>
              <w:t>plocha je součástí zastavěného území obce,</w:t>
            </w:r>
          </w:p>
          <w:p w14:paraId="03A901C2" w14:textId="77777777" w:rsidR="005B4528" w:rsidRDefault="005B4528">
            <w:pPr>
              <w:pStyle w:val="Odstavecseseznamem"/>
              <w:numPr>
                <w:ilvl w:val="0"/>
                <w:numId w:val="35"/>
              </w:numPr>
              <w:spacing w:before="0" w:after="0" w:line="257" w:lineRule="auto"/>
              <w:ind w:left="218" w:hanging="142"/>
              <w:jc w:val="left"/>
              <w:rPr>
                <w:rFonts w:cs="Calibri"/>
                <w:i/>
                <w:iCs/>
                <w:sz w:val="16"/>
                <w:szCs w:val="16"/>
              </w:rPr>
            </w:pPr>
            <w:r w:rsidRPr="002D4F26">
              <w:rPr>
                <w:rFonts w:cs="Calibri"/>
                <w:i/>
                <w:iCs/>
                <w:sz w:val="16"/>
                <w:szCs w:val="16"/>
              </w:rPr>
              <w:t>plocha je vymezena jako transformační plocha stávající rekreační zástavby (rekreační a zahradní chaty) na bydlení předchozím ÚP Hlubočky (B</w:t>
            </w:r>
            <w:r>
              <w:rPr>
                <w:rFonts w:cs="Calibri"/>
                <w:i/>
                <w:iCs/>
                <w:sz w:val="16"/>
                <w:szCs w:val="16"/>
              </w:rPr>
              <w:t>16</w:t>
            </w:r>
            <w:r w:rsidRPr="002D4F26">
              <w:rPr>
                <w:rFonts w:cs="Calibri"/>
                <w:i/>
                <w:iCs/>
                <w:sz w:val="16"/>
                <w:szCs w:val="16"/>
              </w:rPr>
              <w:t>),</w:t>
            </w:r>
          </w:p>
          <w:p w14:paraId="05B521AF" w14:textId="77777777" w:rsidR="005B4528" w:rsidRDefault="005B4528">
            <w:pPr>
              <w:pStyle w:val="Odstavecseseznamem"/>
              <w:numPr>
                <w:ilvl w:val="0"/>
                <w:numId w:val="35"/>
              </w:numPr>
              <w:spacing w:before="0" w:after="0" w:line="257" w:lineRule="auto"/>
              <w:ind w:left="218" w:hanging="142"/>
              <w:jc w:val="left"/>
              <w:rPr>
                <w:rFonts w:cs="Calibri"/>
                <w:i/>
                <w:iCs/>
                <w:sz w:val="16"/>
                <w:szCs w:val="16"/>
              </w:rPr>
            </w:pPr>
            <w:r w:rsidRPr="002D4F26">
              <w:rPr>
                <w:rFonts w:cs="Calibri"/>
                <w:i/>
                <w:iCs/>
                <w:sz w:val="16"/>
                <w:szCs w:val="16"/>
              </w:rPr>
              <w:t xml:space="preserve">změna využití plochy </w:t>
            </w:r>
            <w:r>
              <w:rPr>
                <w:rFonts w:cs="Calibri"/>
                <w:i/>
                <w:iCs/>
                <w:sz w:val="16"/>
                <w:szCs w:val="16"/>
              </w:rPr>
              <w:t>je</w:t>
            </w:r>
            <w:r w:rsidRPr="002D4F26">
              <w:rPr>
                <w:rFonts w:cs="Calibri"/>
                <w:i/>
                <w:iCs/>
                <w:sz w:val="16"/>
                <w:szCs w:val="16"/>
              </w:rPr>
              <w:t xml:space="preserve"> stanovena z důvodu </w:t>
            </w:r>
            <w:r>
              <w:rPr>
                <w:rFonts w:cs="Calibri"/>
                <w:i/>
                <w:iCs/>
                <w:sz w:val="16"/>
                <w:szCs w:val="16"/>
              </w:rPr>
              <w:t>probíhající transformace rekreační zástavby na bydlení a zajištění souladu s urbanistickou koncepcí oboustranného využití stávajících komunikací, resp. ulic,</w:t>
            </w:r>
          </w:p>
          <w:p w14:paraId="10D9EA03" w14:textId="77777777" w:rsidR="005B4528" w:rsidRPr="00DD3BB4" w:rsidRDefault="005B4528">
            <w:pPr>
              <w:pStyle w:val="Odstavecseseznamem"/>
              <w:numPr>
                <w:ilvl w:val="0"/>
                <w:numId w:val="35"/>
              </w:numPr>
              <w:spacing w:before="0" w:after="0" w:line="257" w:lineRule="auto"/>
              <w:ind w:left="218" w:hanging="142"/>
              <w:jc w:val="left"/>
              <w:rPr>
                <w:rFonts w:cs="Calibri"/>
                <w:i/>
                <w:iCs/>
                <w:sz w:val="16"/>
                <w:szCs w:val="16"/>
              </w:rPr>
            </w:pPr>
            <w:r>
              <w:rPr>
                <w:rFonts w:cs="Calibri"/>
                <w:i/>
                <w:iCs/>
                <w:sz w:val="16"/>
                <w:szCs w:val="16"/>
              </w:rPr>
              <w:t>plocha je vymezena</w:t>
            </w:r>
            <w:r w:rsidRPr="00DD3BB4">
              <w:rPr>
                <w:rFonts w:cs="Calibri"/>
                <w:i/>
                <w:iCs/>
                <w:sz w:val="16"/>
                <w:szCs w:val="16"/>
              </w:rPr>
              <w:t xml:space="preserve"> na nadprůměrně produkčních půdách (II. třída ochrany ZPF), přepokládá se, že na těchto půdách budou přednostně zachovány zahrady jako součást ZPF.</w:t>
            </w:r>
          </w:p>
        </w:tc>
      </w:tr>
      <w:tr w:rsidR="005B4528" w14:paraId="1F34D4E4" w14:textId="77777777" w:rsidTr="005B4528">
        <w:trPr>
          <w:trHeight w:val="225"/>
        </w:trPr>
        <w:tc>
          <w:tcPr>
            <w:tcW w:w="1843" w:type="dxa"/>
            <w:tcBorders>
              <w:top w:val="dashSmallGap" w:sz="4" w:space="0" w:color="auto"/>
              <w:left w:val="nil"/>
              <w:bottom w:val="dashSmallGap" w:sz="4" w:space="0" w:color="auto"/>
              <w:right w:val="nil"/>
            </w:tcBorders>
            <w:noWrap/>
            <w:vAlign w:val="center"/>
            <w:hideMark/>
          </w:tcPr>
          <w:p w14:paraId="15644E86" w14:textId="77777777" w:rsidR="005B4528" w:rsidRPr="00B754C6" w:rsidRDefault="005B4528" w:rsidP="00B53C19">
            <w:pPr>
              <w:spacing w:before="0" w:after="0" w:line="257" w:lineRule="auto"/>
              <w:ind w:left="0"/>
              <w:contextualSpacing/>
              <w:jc w:val="left"/>
              <w:rPr>
                <w:rFonts w:cs="Calibri"/>
                <w:b/>
                <w:bCs/>
                <w:sz w:val="16"/>
                <w:szCs w:val="16"/>
                <w:lang w:eastAsia="en-US"/>
              </w:rPr>
            </w:pPr>
            <w:r w:rsidRPr="00B754C6">
              <w:rPr>
                <w:rFonts w:cs="Calibri"/>
                <w:b/>
                <w:bCs/>
                <w:sz w:val="16"/>
                <w:szCs w:val="16"/>
                <w:lang w:eastAsia="en-US"/>
              </w:rPr>
              <w:t>Celkem</w:t>
            </w:r>
          </w:p>
        </w:tc>
        <w:tc>
          <w:tcPr>
            <w:tcW w:w="1300" w:type="dxa"/>
            <w:tcBorders>
              <w:top w:val="dashSmallGap" w:sz="4" w:space="0" w:color="auto"/>
              <w:left w:val="nil"/>
              <w:bottom w:val="dashSmallGap" w:sz="4" w:space="0" w:color="auto"/>
              <w:right w:val="nil"/>
            </w:tcBorders>
            <w:noWrap/>
            <w:vAlign w:val="center"/>
          </w:tcPr>
          <w:p w14:paraId="442536BB" w14:textId="77777777" w:rsidR="005B4528" w:rsidRPr="00B754C6" w:rsidRDefault="005B4528" w:rsidP="00B53C19">
            <w:pPr>
              <w:spacing w:before="0" w:after="0" w:line="257" w:lineRule="auto"/>
              <w:contextualSpacing/>
              <w:jc w:val="center"/>
              <w:rPr>
                <w:rFonts w:cs="Calibri"/>
                <w:b/>
                <w:bCs/>
                <w:sz w:val="16"/>
                <w:szCs w:val="16"/>
                <w:lang w:eastAsia="en-US"/>
              </w:rPr>
            </w:pPr>
          </w:p>
        </w:tc>
        <w:tc>
          <w:tcPr>
            <w:tcW w:w="3236" w:type="dxa"/>
            <w:tcBorders>
              <w:top w:val="dashSmallGap" w:sz="4" w:space="0" w:color="auto"/>
              <w:left w:val="nil"/>
              <w:bottom w:val="dashSmallGap" w:sz="4" w:space="0" w:color="auto"/>
              <w:right w:val="nil"/>
            </w:tcBorders>
            <w:noWrap/>
            <w:vAlign w:val="center"/>
            <w:hideMark/>
          </w:tcPr>
          <w:p w14:paraId="62B18BC8" w14:textId="3DA9056F" w:rsidR="005B4528" w:rsidRDefault="005B4528" w:rsidP="00B53C19">
            <w:pPr>
              <w:spacing w:before="0" w:after="0" w:line="257" w:lineRule="auto"/>
              <w:contextualSpacing/>
              <w:jc w:val="center"/>
              <w:rPr>
                <w:rFonts w:cs="Calibri"/>
                <w:b/>
                <w:bCs/>
                <w:sz w:val="16"/>
                <w:szCs w:val="16"/>
                <w:lang w:eastAsia="en-US"/>
              </w:rPr>
            </w:pPr>
            <w:r w:rsidRPr="00B754C6">
              <w:rPr>
                <w:rFonts w:cs="Calibri"/>
                <w:b/>
                <w:bCs/>
                <w:sz w:val="16"/>
                <w:szCs w:val="16"/>
                <w:lang w:eastAsia="en-US"/>
              </w:rPr>
              <w:t>4,</w:t>
            </w:r>
            <w:r w:rsidR="00543E89">
              <w:rPr>
                <w:rFonts w:cs="Calibri"/>
                <w:b/>
                <w:bCs/>
                <w:sz w:val="16"/>
                <w:szCs w:val="16"/>
                <w:lang w:eastAsia="en-US"/>
              </w:rPr>
              <w:t>798</w:t>
            </w:r>
          </w:p>
        </w:tc>
        <w:tc>
          <w:tcPr>
            <w:tcW w:w="1405" w:type="dxa"/>
            <w:tcBorders>
              <w:top w:val="dashSmallGap" w:sz="4" w:space="0" w:color="auto"/>
              <w:left w:val="nil"/>
              <w:bottom w:val="dashSmallGap" w:sz="4" w:space="0" w:color="auto"/>
              <w:right w:val="nil"/>
            </w:tcBorders>
            <w:noWrap/>
            <w:vAlign w:val="center"/>
          </w:tcPr>
          <w:p w14:paraId="504C6E6B" w14:textId="77777777" w:rsidR="005B4528" w:rsidRDefault="005B4528" w:rsidP="00B53C19">
            <w:pPr>
              <w:spacing w:before="0" w:after="0" w:line="257" w:lineRule="auto"/>
              <w:contextualSpacing/>
              <w:jc w:val="center"/>
              <w:rPr>
                <w:rFonts w:cs="Calibri"/>
                <w:b/>
                <w:bCs/>
                <w:sz w:val="16"/>
                <w:szCs w:val="16"/>
                <w:lang w:eastAsia="en-US"/>
              </w:rPr>
            </w:pPr>
          </w:p>
        </w:tc>
      </w:tr>
    </w:tbl>
    <w:p w14:paraId="2F4609AC" w14:textId="7FCD7413" w:rsidR="005B4528" w:rsidRDefault="005B4528">
      <w:pPr>
        <w:spacing w:before="0" w:after="0"/>
        <w:ind w:left="0"/>
        <w:jc w:val="left"/>
      </w:pPr>
    </w:p>
    <w:p w14:paraId="2013F95A" w14:textId="77777777" w:rsidR="005B4528" w:rsidRDefault="005B4528" w:rsidP="005B4528">
      <w:pPr>
        <w:ind w:hanging="425"/>
      </w:pPr>
      <w:r>
        <w:t>.1.2</w:t>
      </w:r>
      <w:r>
        <w:tab/>
        <w:t>zastavitelné plochy</w:t>
      </w:r>
    </w:p>
    <w:p w14:paraId="0D5F8D78" w14:textId="77777777" w:rsidR="005B4528" w:rsidRDefault="005B4528" w:rsidP="005B4528">
      <w:r>
        <w:t xml:space="preserve">Zastavitelné plochy smíšené obytné jsou vymezeny v návaznosti na zastavěné území a napojení na veřejnou infrastrukturu. </w:t>
      </w:r>
    </w:p>
    <w:p w14:paraId="417BCA24" w14:textId="77777777" w:rsidR="005B4528" w:rsidRDefault="005B4528" w:rsidP="005B4528">
      <w:r>
        <w:t>Většina ZPF na hranici zastavěného území města a ostatních sídel je II. až V. třídy ochrany, tedy průměrné až podprůměrné půdy.</w:t>
      </w:r>
    </w:p>
    <w:p w14:paraId="2BE4D733" w14:textId="77777777" w:rsidR="005B4528" w:rsidRDefault="005B4528" w:rsidP="005B4528">
      <w:r>
        <w:t xml:space="preserve">Celkem je pro zastavitelné plochy pro bydlení (plochy smíšené obytné venkovské – SV) vymezen zábor ZPF </w:t>
      </w:r>
      <w:r>
        <w:rPr>
          <w:b/>
          <w:bCs/>
        </w:rPr>
        <w:t>11,582 ha</w:t>
      </w:r>
      <w:r>
        <w:t>.</w:t>
      </w:r>
    </w:p>
    <w:p w14:paraId="0520794D" w14:textId="77777777" w:rsidR="005B4528" w:rsidRDefault="005B4528" w:rsidP="005B4528">
      <w:pPr>
        <w:rPr>
          <w:highlight w:val="cyan"/>
        </w:rPr>
      </w:pPr>
    </w:p>
    <w:tbl>
      <w:tblPr>
        <w:tblW w:w="7926" w:type="dxa"/>
        <w:tblInd w:w="709" w:type="dxa"/>
        <w:tblBorders>
          <w:top w:val="dashSmallGap" w:sz="4" w:space="0" w:color="auto"/>
          <w:bottom w:val="dashSmallGap" w:sz="4" w:space="0" w:color="auto"/>
          <w:insideH w:val="dashSmallGap" w:sz="4" w:space="0" w:color="auto"/>
        </w:tblBorders>
        <w:tblCellMar>
          <w:left w:w="70" w:type="dxa"/>
          <w:right w:w="70" w:type="dxa"/>
        </w:tblCellMar>
        <w:tblLook w:val="04A0" w:firstRow="1" w:lastRow="0" w:firstColumn="1" w:lastColumn="0" w:noHBand="0" w:noVBand="1"/>
      </w:tblPr>
      <w:tblGrid>
        <w:gridCol w:w="1843"/>
        <w:gridCol w:w="1300"/>
        <w:gridCol w:w="3378"/>
        <w:gridCol w:w="1405"/>
      </w:tblGrid>
      <w:tr w:rsidR="005B4528" w:rsidRPr="00B754C6" w14:paraId="0C72E8E9" w14:textId="77777777" w:rsidTr="005B4528">
        <w:trPr>
          <w:trHeight w:val="300"/>
          <w:tblHeader/>
        </w:trPr>
        <w:tc>
          <w:tcPr>
            <w:tcW w:w="1843" w:type="dxa"/>
            <w:tcBorders>
              <w:top w:val="dashSmallGap" w:sz="4" w:space="0" w:color="auto"/>
              <w:left w:val="nil"/>
              <w:bottom w:val="dashSmallGap" w:sz="4" w:space="0" w:color="auto"/>
              <w:right w:val="nil"/>
            </w:tcBorders>
            <w:vAlign w:val="center"/>
            <w:hideMark/>
          </w:tcPr>
          <w:p w14:paraId="06779269" w14:textId="77777777" w:rsidR="005B4528" w:rsidRPr="00B754C6" w:rsidRDefault="005B4528" w:rsidP="00B53C19">
            <w:pPr>
              <w:spacing w:before="0" w:after="0" w:line="256" w:lineRule="auto"/>
              <w:ind w:left="-66"/>
              <w:contextualSpacing/>
              <w:jc w:val="left"/>
              <w:rPr>
                <w:rFonts w:cs="Calibri"/>
                <w:b/>
                <w:bCs/>
                <w:sz w:val="16"/>
                <w:szCs w:val="16"/>
                <w:lang w:eastAsia="en-US"/>
              </w:rPr>
            </w:pPr>
            <w:r w:rsidRPr="00B754C6">
              <w:rPr>
                <w:rFonts w:cs="Calibri"/>
                <w:b/>
                <w:bCs/>
                <w:sz w:val="16"/>
                <w:szCs w:val="16"/>
                <w:lang w:eastAsia="en-US"/>
              </w:rPr>
              <w:t>Označení plochy</w:t>
            </w:r>
          </w:p>
        </w:tc>
        <w:tc>
          <w:tcPr>
            <w:tcW w:w="1300" w:type="dxa"/>
            <w:tcBorders>
              <w:top w:val="dashSmallGap" w:sz="4" w:space="0" w:color="auto"/>
              <w:left w:val="nil"/>
              <w:bottom w:val="dashSmallGap" w:sz="4" w:space="0" w:color="auto"/>
              <w:right w:val="nil"/>
            </w:tcBorders>
            <w:vAlign w:val="center"/>
            <w:hideMark/>
          </w:tcPr>
          <w:p w14:paraId="34388D41" w14:textId="77777777" w:rsidR="005B4528" w:rsidRPr="00B754C6" w:rsidRDefault="005B4528" w:rsidP="00B53C19">
            <w:pPr>
              <w:spacing w:before="0" w:after="0" w:line="256" w:lineRule="auto"/>
              <w:contextualSpacing/>
              <w:jc w:val="center"/>
              <w:rPr>
                <w:rFonts w:cs="Calibri"/>
                <w:b/>
                <w:bCs/>
                <w:sz w:val="16"/>
                <w:szCs w:val="16"/>
                <w:lang w:eastAsia="en-US"/>
              </w:rPr>
            </w:pPr>
            <w:r w:rsidRPr="00B754C6">
              <w:rPr>
                <w:rFonts w:cs="Calibri"/>
                <w:b/>
                <w:bCs/>
                <w:sz w:val="16"/>
                <w:szCs w:val="16"/>
                <w:lang w:eastAsia="en-US"/>
              </w:rPr>
              <w:t>využití</w:t>
            </w:r>
          </w:p>
        </w:tc>
        <w:tc>
          <w:tcPr>
            <w:tcW w:w="3378" w:type="dxa"/>
            <w:tcBorders>
              <w:top w:val="dashSmallGap" w:sz="4" w:space="0" w:color="auto"/>
              <w:left w:val="nil"/>
              <w:bottom w:val="dashSmallGap" w:sz="4" w:space="0" w:color="auto"/>
              <w:right w:val="nil"/>
            </w:tcBorders>
            <w:vAlign w:val="center"/>
            <w:hideMark/>
          </w:tcPr>
          <w:p w14:paraId="788FB88C" w14:textId="77777777" w:rsidR="005B4528" w:rsidRPr="00B754C6" w:rsidRDefault="005B4528" w:rsidP="00B53C19">
            <w:pPr>
              <w:spacing w:before="0" w:after="0" w:line="256" w:lineRule="auto"/>
              <w:contextualSpacing/>
              <w:jc w:val="center"/>
              <w:rPr>
                <w:rFonts w:cs="Calibri"/>
                <w:b/>
                <w:bCs/>
                <w:sz w:val="16"/>
                <w:szCs w:val="16"/>
                <w:lang w:eastAsia="en-US"/>
              </w:rPr>
            </w:pPr>
            <w:r w:rsidRPr="00B754C6">
              <w:rPr>
                <w:rFonts w:cs="Calibri"/>
                <w:b/>
                <w:bCs/>
                <w:sz w:val="16"/>
                <w:szCs w:val="16"/>
                <w:lang w:eastAsia="en-US"/>
              </w:rPr>
              <w:t>(ha)</w:t>
            </w:r>
          </w:p>
        </w:tc>
        <w:tc>
          <w:tcPr>
            <w:tcW w:w="1405" w:type="dxa"/>
            <w:tcBorders>
              <w:top w:val="dashSmallGap" w:sz="4" w:space="0" w:color="auto"/>
              <w:left w:val="nil"/>
              <w:bottom w:val="dashSmallGap" w:sz="4" w:space="0" w:color="auto"/>
              <w:right w:val="nil"/>
            </w:tcBorders>
            <w:noWrap/>
            <w:vAlign w:val="center"/>
            <w:hideMark/>
          </w:tcPr>
          <w:p w14:paraId="3CA7CD11" w14:textId="77777777" w:rsidR="005B4528" w:rsidRPr="00B754C6" w:rsidRDefault="005B4528" w:rsidP="00B53C19">
            <w:pPr>
              <w:spacing w:before="0" w:after="0" w:line="256" w:lineRule="auto"/>
              <w:ind w:left="0"/>
              <w:contextualSpacing/>
              <w:jc w:val="left"/>
              <w:rPr>
                <w:rFonts w:cs="Calibri"/>
                <w:b/>
                <w:bCs/>
                <w:sz w:val="16"/>
                <w:szCs w:val="16"/>
                <w:lang w:eastAsia="en-US"/>
              </w:rPr>
            </w:pPr>
            <w:r w:rsidRPr="00B754C6">
              <w:rPr>
                <w:rFonts w:cs="Calibri"/>
                <w:b/>
                <w:bCs/>
                <w:sz w:val="16"/>
                <w:szCs w:val="16"/>
                <w:lang w:eastAsia="en-US"/>
              </w:rPr>
              <w:t>třída ochrany ZPF</w:t>
            </w:r>
          </w:p>
        </w:tc>
      </w:tr>
      <w:tr w:rsidR="005B4528" w:rsidRPr="00127E5A" w14:paraId="1E171D13" w14:textId="77777777" w:rsidTr="005B4528">
        <w:trPr>
          <w:trHeight w:val="225"/>
        </w:trPr>
        <w:tc>
          <w:tcPr>
            <w:tcW w:w="1843" w:type="dxa"/>
            <w:tcBorders>
              <w:top w:val="dashSmallGap" w:sz="4" w:space="0" w:color="auto"/>
              <w:left w:val="nil"/>
              <w:bottom w:val="nil"/>
              <w:right w:val="nil"/>
            </w:tcBorders>
            <w:noWrap/>
            <w:vAlign w:val="center"/>
            <w:hideMark/>
          </w:tcPr>
          <w:p w14:paraId="49DA342C" w14:textId="77777777" w:rsidR="005B4528" w:rsidRPr="00127E5A" w:rsidRDefault="005B4528" w:rsidP="00B53C19">
            <w:pPr>
              <w:spacing w:line="256" w:lineRule="auto"/>
              <w:ind w:left="0"/>
              <w:contextualSpacing/>
              <w:jc w:val="left"/>
              <w:rPr>
                <w:rFonts w:cs="Calibri"/>
                <w:b/>
                <w:bCs/>
                <w:sz w:val="16"/>
                <w:szCs w:val="16"/>
                <w:lang w:eastAsia="en-US"/>
              </w:rPr>
            </w:pPr>
            <w:r w:rsidRPr="00127E5A">
              <w:rPr>
                <w:rFonts w:cs="Calibri"/>
                <w:b/>
                <w:bCs/>
                <w:sz w:val="16"/>
                <w:szCs w:val="16"/>
                <w:lang w:eastAsia="en-US"/>
              </w:rPr>
              <w:t>Z.02-1</w:t>
            </w:r>
          </w:p>
        </w:tc>
        <w:tc>
          <w:tcPr>
            <w:tcW w:w="1300" w:type="dxa"/>
            <w:tcBorders>
              <w:top w:val="dashSmallGap" w:sz="4" w:space="0" w:color="auto"/>
              <w:left w:val="nil"/>
              <w:bottom w:val="nil"/>
              <w:right w:val="nil"/>
            </w:tcBorders>
            <w:noWrap/>
            <w:vAlign w:val="center"/>
            <w:hideMark/>
          </w:tcPr>
          <w:p w14:paraId="53105479" w14:textId="77777777" w:rsidR="005B4528" w:rsidRPr="00127E5A" w:rsidRDefault="005B4528" w:rsidP="00B53C19">
            <w:pPr>
              <w:spacing w:line="256" w:lineRule="auto"/>
              <w:contextualSpacing/>
              <w:jc w:val="center"/>
              <w:rPr>
                <w:rFonts w:cs="Calibri"/>
                <w:b/>
                <w:bCs/>
                <w:sz w:val="16"/>
                <w:szCs w:val="16"/>
                <w:lang w:eastAsia="en-US"/>
              </w:rPr>
            </w:pPr>
            <w:r w:rsidRPr="00127E5A">
              <w:rPr>
                <w:rFonts w:cs="Calibri"/>
                <w:b/>
                <w:bCs/>
                <w:sz w:val="16"/>
                <w:szCs w:val="16"/>
                <w:lang w:eastAsia="en-US"/>
              </w:rPr>
              <w:t>SV</w:t>
            </w:r>
          </w:p>
        </w:tc>
        <w:tc>
          <w:tcPr>
            <w:tcW w:w="3378" w:type="dxa"/>
            <w:tcBorders>
              <w:top w:val="dashSmallGap" w:sz="4" w:space="0" w:color="auto"/>
              <w:left w:val="nil"/>
              <w:bottom w:val="nil"/>
              <w:right w:val="nil"/>
            </w:tcBorders>
            <w:noWrap/>
            <w:vAlign w:val="center"/>
            <w:hideMark/>
          </w:tcPr>
          <w:p w14:paraId="348593A7" w14:textId="77777777" w:rsidR="005B4528" w:rsidRPr="00127E5A" w:rsidRDefault="005B4528" w:rsidP="00B53C19">
            <w:pPr>
              <w:spacing w:line="256" w:lineRule="auto"/>
              <w:contextualSpacing/>
              <w:jc w:val="center"/>
              <w:rPr>
                <w:rFonts w:cs="Calibri"/>
                <w:b/>
                <w:bCs/>
                <w:sz w:val="16"/>
                <w:szCs w:val="16"/>
                <w:lang w:eastAsia="en-US"/>
              </w:rPr>
            </w:pPr>
            <w:r w:rsidRPr="00127E5A">
              <w:rPr>
                <w:rFonts w:cs="Calibri"/>
                <w:b/>
                <w:bCs/>
                <w:sz w:val="16"/>
                <w:szCs w:val="16"/>
                <w:lang w:eastAsia="en-US"/>
              </w:rPr>
              <w:t>9,982</w:t>
            </w:r>
          </w:p>
        </w:tc>
        <w:tc>
          <w:tcPr>
            <w:tcW w:w="1405" w:type="dxa"/>
            <w:tcBorders>
              <w:top w:val="dashSmallGap" w:sz="4" w:space="0" w:color="auto"/>
              <w:left w:val="nil"/>
              <w:bottom w:val="nil"/>
              <w:right w:val="nil"/>
            </w:tcBorders>
            <w:noWrap/>
            <w:vAlign w:val="center"/>
            <w:hideMark/>
          </w:tcPr>
          <w:p w14:paraId="037E4484" w14:textId="77777777" w:rsidR="005B4528" w:rsidRPr="00127E5A" w:rsidRDefault="005B4528" w:rsidP="00B53C19">
            <w:pPr>
              <w:spacing w:line="256" w:lineRule="auto"/>
              <w:contextualSpacing/>
              <w:jc w:val="center"/>
              <w:rPr>
                <w:rFonts w:cs="Calibri"/>
                <w:b/>
                <w:bCs/>
                <w:sz w:val="16"/>
                <w:szCs w:val="16"/>
                <w:lang w:eastAsia="en-US"/>
              </w:rPr>
            </w:pPr>
            <w:r w:rsidRPr="00127E5A">
              <w:rPr>
                <w:rFonts w:cs="Calibri"/>
                <w:b/>
                <w:bCs/>
                <w:sz w:val="16"/>
                <w:szCs w:val="16"/>
                <w:lang w:eastAsia="en-US"/>
              </w:rPr>
              <w:t>II., V.</w:t>
            </w:r>
          </w:p>
        </w:tc>
      </w:tr>
      <w:tr w:rsidR="005B4528" w:rsidRPr="00127E5A" w14:paraId="11D54045" w14:textId="77777777" w:rsidTr="005B4528">
        <w:trPr>
          <w:trHeight w:val="639"/>
        </w:trPr>
        <w:tc>
          <w:tcPr>
            <w:tcW w:w="7926" w:type="dxa"/>
            <w:gridSpan w:val="4"/>
            <w:tcBorders>
              <w:top w:val="nil"/>
              <w:left w:val="nil"/>
              <w:bottom w:val="dashSmallGap" w:sz="4" w:space="0" w:color="auto"/>
              <w:right w:val="nil"/>
            </w:tcBorders>
            <w:noWrap/>
            <w:vAlign w:val="center"/>
          </w:tcPr>
          <w:p w14:paraId="77C32051" w14:textId="77777777" w:rsidR="005B4528" w:rsidRPr="00175B3A" w:rsidRDefault="005B4528" w:rsidP="00B53C19">
            <w:pPr>
              <w:spacing w:line="256" w:lineRule="auto"/>
              <w:ind w:left="0"/>
              <w:contextualSpacing/>
              <w:jc w:val="left"/>
              <w:rPr>
                <w:rFonts w:cs="Calibri"/>
                <w:b/>
                <w:bCs/>
                <w:i/>
                <w:iCs/>
                <w:sz w:val="16"/>
                <w:szCs w:val="16"/>
              </w:rPr>
            </w:pPr>
            <w:r w:rsidRPr="00175B3A">
              <w:rPr>
                <w:rFonts w:cs="Calibri"/>
                <w:b/>
                <w:bCs/>
                <w:i/>
                <w:iCs/>
                <w:sz w:val="16"/>
                <w:szCs w:val="16"/>
              </w:rPr>
              <w:t xml:space="preserve">zdůvodnění vymezení: </w:t>
            </w:r>
          </w:p>
          <w:p w14:paraId="13BBA908" w14:textId="77777777" w:rsidR="005B4528" w:rsidRPr="00127E5A" w:rsidRDefault="005B4528">
            <w:pPr>
              <w:pStyle w:val="Odstavecseseznamem"/>
              <w:numPr>
                <w:ilvl w:val="0"/>
                <w:numId w:val="35"/>
              </w:numPr>
              <w:spacing w:before="0" w:after="0" w:line="256" w:lineRule="auto"/>
              <w:ind w:left="218" w:hanging="142"/>
              <w:jc w:val="left"/>
              <w:rPr>
                <w:rFonts w:cs="Calibri"/>
                <w:i/>
                <w:iCs/>
                <w:sz w:val="16"/>
                <w:szCs w:val="16"/>
              </w:rPr>
            </w:pPr>
            <w:r w:rsidRPr="00127E5A">
              <w:rPr>
                <w:rFonts w:cs="Calibri"/>
                <w:i/>
                <w:iCs/>
                <w:sz w:val="16"/>
                <w:szCs w:val="16"/>
              </w:rPr>
              <w:t xml:space="preserve">plocha je dlouhodobě vymezena jako hlavní rozvojová rezerva obce (plochy B3 a O1 v přechozím ÚP Hlubočky), </w:t>
            </w:r>
          </w:p>
          <w:p w14:paraId="21505713" w14:textId="77777777" w:rsidR="005B4528" w:rsidRPr="00127E5A" w:rsidRDefault="005B4528">
            <w:pPr>
              <w:pStyle w:val="Odstavecseseznamem"/>
              <w:numPr>
                <w:ilvl w:val="0"/>
                <w:numId w:val="35"/>
              </w:numPr>
              <w:spacing w:before="0" w:after="0" w:line="256" w:lineRule="auto"/>
              <w:ind w:left="218" w:hanging="142"/>
              <w:jc w:val="left"/>
              <w:rPr>
                <w:rFonts w:cs="Calibri"/>
                <w:i/>
                <w:iCs/>
                <w:sz w:val="16"/>
                <w:szCs w:val="16"/>
              </w:rPr>
            </w:pPr>
            <w:r w:rsidRPr="00127E5A">
              <w:rPr>
                <w:rFonts w:cs="Calibri"/>
                <w:i/>
                <w:iCs/>
                <w:sz w:val="16"/>
                <w:szCs w:val="16"/>
              </w:rPr>
              <w:t>plocha bezprostředně navazuje na zastavěné území obce,</w:t>
            </w:r>
          </w:p>
          <w:p w14:paraId="22292C1A" w14:textId="77777777" w:rsidR="005B4528" w:rsidRPr="00127E5A" w:rsidRDefault="005B4528">
            <w:pPr>
              <w:pStyle w:val="Odstavecseseznamem"/>
              <w:numPr>
                <w:ilvl w:val="0"/>
                <w:numId w:val="35"/>
              </w:numPr>
              <w:spacing w:before="0" w:after="0" w:line="256" w:lineRule="auto"/>
              <w:ind w:left="218" w:hanging="142"/>
              <w:jc w:val="left"/>
              <w:rPr>
                <w:rFonts w:cs="Calibri"/>
                <w:i/>
                <w:iCs/>
                <w:sz w:val="16"/>
                <w:szCs w:val="16"/>
              </w:rPr>
            </w:pPr>
            <w:r w:rsidRPr="00127E5A">
              <w:rPr>
                <w:rFonts w:cs="Calibri"/>
                <w:i/>
                <w:iCs/>
                <w:sz w:val="16"/>
                <w:szCs w:val="16"/>
              </w:rPr>
              <w:t>plocha je v souladu s urbanistickou koncepcí obce,</w:t>
            </w:r>
          </w:p>
          <w:p w14:paraId="208D9DC4" w14:textId="77777777" w:rsidR="005B4528" w:rsidRPr="00127E5A" w:rsidRDefault="005B4528">
            <w:pPr>
              <w:pStyle w:val="Odstavecseseznamem"/>
              <w:numPr>
                <w:ilvl w:val="0"/>
                <w:numId w:val="35"/>
              </w:numPr>
              <w:spacing w:before="0" w:after="0" w:line="256" w:lineRule="auto"/>
              <w:ind w:left="218" w:hanging="142"/>
              <w:jc w:val="left"/>
              <w:rPr>
                <w:rFonts w:cs="Calibri"/>
                <w:i/>
                <w:iCs/>
                <w:sz w:val="16"/>
                <w:szCs w:val="16"/>
              </w:rPr>
            </w:pPr>
            <w:r w:rsidRPr="00127E5A">
              <w:rPr>
                <w:rFonts w:cs="Calibri"/>
                <w:i/>
                <w:iCs/>
                <w:sz w:val="16"/>
                <w:szCs w:val="16"/>
              </w:rPr>
              <w:t>plocha je přímo napojena na veřejnou infrastrukturu obce,</w:t>
            </w:r>
          </w:p>
          <w:p w14:paraId="73EA2425" w14:textId="77777777" w:rsidR="005B4528" w:rsidRPr="00127E5A" w:rsidRDefault="005B4528">
            <w:pPr>
              <w:pStyle w:val="Odstavecseseznamem"/>
              <w:numPr>
                <w:ilvl w:val="0"/>
                <w:numId w:val="35"/>
              </w:numPr>
              <w:spacing w:before="0" w:after="0" w:line="256" w:lineRule="auto"/>
              <w:ind w:left="218" w:hanging="142"/>
              <w:jc w:val="left"/>
              <w:rPr>
                <w:rFonts w:cs="Calibri"/>
                <w:i/>
                <w:iCs/>
                <w:sz w:val="16"/>
                <w:szCs w:val="16"/>
              </w:rPr>
            </w:pPr>
            <w:r w:rsidRPr="00127E5A">
              <w:rPr>
                <w:rFonts w:cs="Calibri"/>
                <w:i/>
                <w:iCs/>
                <w:sz w:val="16"/>
                <w:szCs w:val="16"/>
              </w:rPr>
              <w:t>jižní část plochy je vymezena pro občanské vybavení veřejné pro potřeby obce,</w:t>
            </w:r>
          </w:p>
          <w:p w14:paraId="78798544" w14:textId="77777777" w:rsidR="005B4528" w:rsidRPr="00127E5A" w:rsidRDefault="005B4528">
            <w:pPr>
              <w:pStyle w:val="Odstavecseseznamem"/>
              <w:numPr>
                <w:ilvl w:val="0"/>
                <w:numId w:val="35"/>
              </w:numPr>
              <w:spacing w:before="0" w:after="0" w:line="256" w:lineRule="auto"/>
              <w:ind w:left="218" w:hanging="142"/>
              <w:jc w:val="left"/>
              <w:rPr>
                <w:rFonts w:cs="Calibri"/>
                <w:i/>
                <w:iCs/>
                <w:sz w:val="16"/>
                <w:szCs w:val="16"/>
              </w:rPr>
            </w:pPr>
            <w:r w:rsidRPr="00127E5A">
              <w:rPr>
                <w:rFonts w:cs="Calibri"/>
                <w:i/>
                <w:iCs/>
                <w:sz w:val="16"/>
                <w:szCs w:val="16"/>
              </w:rPr>
              <w:lastRenderedPageBreak/>
              <w:t>využití plochy je podmíněnou zpracováním územní studie, která prověří reálný rozsah nezbytných záborů ZPF, předkládá se, že zahrady budou zachovány jako součást ZPF,</w:t>
            </w:r>
          </w:p>
          <w:p w14:paraId="68FA7C35" w14:textId="77777777" w:rsidR="005B4528" w:rsidRPr="00127E5A" w:rsidRDefault="005B4528">
            <w:pPr>
              <w:pStyle w:val="Odstavecseseznamem"/>
              <w:numPr>
                <w:ilvl w:val="0"/>
                <w:numId w:val="35"/>
              </w:numPr>
              <w:spacing w:before="0" w:after="0" w:line="256" w:lineRule="auto"/>
              <w:ind w:left="218" w:hanging="142"/>
              <w:jc w:val="left"/>
              <w:rPr>
                <w:rFonts w:cs="Calibri"/>
                <w:i/>
                <w:iCs/>
                <w:sz w:val="16"/>
                <w:szCs w:val="16"/>
              </w:rPr>
            </w:pPr>
            <w:r w:rsidRPr="00127E5A">
              <w:rPr>
                <w:rFonts w:cs="Calibri"/>
                <w:i/>
                <w:iCs/>
                <w:sz w:val="16"/>
                <w:szCs w:val="16"/>
              </w:rPr>
              <w:t>89% plochy je vymezeno na velmi málo produkčních půdách (V. třída ochrany ZPF), pouze nezbytná část plochy, prostorově navazující na zastavěné území obce je vymezena na nadprůměrně produkčních půdách (II. třída ochrany ZPF),</w:t>
            </w:r>
          </w:p>
          <w:p w14:paraId="6C7BFCDB" w14:textId="27DE0A9F" w:rsidR="005B4528" w:rsidRPr="00127E5A" w:rsidRDefault="005B4528">
            <w:pPr>
              <w:pStyle w:val="Odstavecseseznamem"/>
              <w:numPr>
                <w:ilvl w:val="0"/>
                <w:numId w:val="35"/>
              </w:numPr>
              <w:spacing w:before="0" w:after="0" w:line="256" w:lineRule="auto"/>
              <w:ind w:left="218" w:hanging="142"/>
              <w:jc w:val="left"/>
              <w:rPr>
                <w:rFonts w:cs="Calibri"/>
                <w:i/>
                <w:iCs/>
                <w:sz w:val="16"/>
                <w:szCs w:val="16"/>
              </w:rPr>
            </w:pPr>
            <w:r w:rsidRPr="00127E5A">
              <w:rPr>
                <w:rFonts w:cs="Calibri"/>
                <w:i/>
                <w:iCs/>
                <w:sz w:val="16"/>
                <w:szCs w:val="16"/>
              </w:rPr>
              <w:t>plocha je v současné době prověřována územní studií v koordinaci s požadavky obce</w:t>
            </w:r>
            <w:r w:rsidR="00EB3687">
              <w:rPr>
                <w:rFonts w:cs="Calibri"/>
                <w:i/>
                <w:iCs/>
                <w:sz w:val="16"/>
                <w:szCs w:val="16"/>
              </w:rPr>
              <w:t>.</w:t>
            </w:r>
          </w:p>
          <w:p w14:paraId="6BA04435" w14:textId="77777777" w:rsidR="005B4528" w:rsidRPr="00127E5A" w:rsidRDefault="005B4528" w:rsidP="00B53C19">
            <w:pPr>
              <w:spacing w:line="256" w:lineRule="auto"/>
              <w:ind w:left="76"/>
              <w:contextualSpacing/>
              <w:jc w:val="left"/>
              <w:rPr>
                <w:rFonts w:cs="Calibri"/>
                <w:b/>
                <w:bCs/>
                <w:i/>
                <w:iCs/>
                <w:sz w:val="16"/>
                <w:szCs w:val="16"/>
              </w:rPr>
            </w:pPr>
            <w:r w:rsidRPr="00127E5A">
              <w:rPr>
                <w:rFonts w:cs="Calibri"/>
                <w:b/>
                <w:bCs/>
                <w:i/>
                <w:iCs/>
                <w:sz w:val="16"/>
                <w:szCs w:val="16"/>
              </w:rPr>
              <w:t>nezbytnost vymezení plochy:</w:t>
            </w:r>
          </w:p>
          <w:p w14:paraId="7E659FC2" w14:textId="77777777" w:rsidR="005B4528" w:rsidRPr="00127E5A" w:rsidRDefault="005B4528">
            <w:pPr>
              <w:pStyle w:val="Odstavecseseznamem"/>
              <w:numPr>
                <w:ilvl w:val="0"/>
                <w:numId w:val="35"/>
              </w:numPr>
              <w:spacing w:before="0" w:after="0" w:line="256" w:lineRule="auto"/>
              <w:ind w:left="218" w:hanging="142"/>
              <w:jc w:val="left"/>
              <w:rPr>
                <w:rFonts w:cs="Calibri"/>
                <w:i/>
                <w:iCs/>
                <w:sz w:val="16"/>
                <w:szCs w:val="16"/>
              </w:rPr>
            </w:pPr>
            <w:r w:rsidRPr="00127E5A">
              <w:rPr>
                <w:rFonts w:cs="Calibri"/>
                <w:i/>
                <w:iCs/>
                <w:sz w:val="16"/>
                <w:szCs w:val="16"/>
              </w:rPr>
              <w:t xml:space="preserve"> je dána potřebou alespoň minimálního rozvoje obce (rozvoj obce je v navržen v předpokládaném rozsahu +10-15% obyvatel).</w:t>
            </w:r>
          </w:p>
          <w:p w14:paraId="1BAED515" w14:textId="77777777" w:rsidR="005B4528" w:rsidRPr="00127E5A" w:rsidRDefault="005B4528" w:rsidP="00B53C19">
            <w:pPr>
              <w:spacing w:line="256" w:lineRule="auto"/>
              <w:ind w:left="76"/>
              <w:contextualSpacing/>
              <w:jc w:val="left"/>
              <w:rPr>
                <w:rFonts w:cs="Calibri"/>
                <w:b/>
                <w:bCs/>
                <w:i/>
                <w:iCs/>
                <w:sz w:val="16"/>
                <w:szCs w:val="16"/>
              </w:rPr>
            </w:pPr>
            <w:r w:rsidRPr="00127E5A">
              <w:rPr>
                <w:rFonts w:cs="Calibri"/>
                <w:b/>
                <w:bCs/>
                <w:i/>
                <w:iCs/>
                <w:sz w:val="16"/>
                <w:szCs w:val="16"/>
              </w:rPr>
              <w:t>veřejný zájem vymezení plochy:</w:t>
            </w:r>
          </w:p>
          <w:p w14:paraId="1D3146FF" w14:textId="77777777" w:rsidR="005B4528" w:rsidRPr="00127E5A" w:rsidRDefault="005B4528">
            <w:pPr>
              <w:pStyle w:val="Odstavecseseznamem"/>
              <w:numPr>
                <w:ilvl w:val="0"/>
                <w:numId w:val="35"/>
              </w:numPr>
              <w:spacing w:before="0" w:after="0" w:line="256" w:lineRule="auto"/>
              <w:ind w:left="218" w:hanging="142"/>
              <w:jc w:val="left"/>
              <w:rPr>
                <w:rFonts w:cs="Calibri"/>
                <w:i/>
                <w:iCs/>
                <w:sz w:val="16"/>
                <w:szCs w:val="16"/>
              </w:rPr>
            </w:pPr>
            <w:r w:rsidRPr="00127E5A">
              <w:rPr>
                <w:rFonts w:cs="Calibri"/>
                <w:i/>
                <w:iCs/>
                <w:sz w:val="16"/>
                <w:szCs w:val="16"/>
              </w:rPr>
              <w:t>součástí plochy je vymezena plocha pro rozvoj občanského vybavení obce, které prostorově navazuje na významové i správní centrum Hluboček, plocha pro rozvoj občanského vybavení je v navržené poloze dlouhodobě stabilizována</w:t>
            </w:r>
          </w:p>
          <w:p w14:paraId="067D593D" w14:textId="77777777" w:rsidR="005B4528" w:rsidRPr="00127E5A" w:rsidRDefault="005B4528">
            <w:pPr>
              <w:pStyle w:val="Odstavecseseznamem"/>
              <w:numPr>
                <w:ilvl w:val="0"/>
                <w:numId w:val="35"/>
              </w:numPr>
              <w:spacing w:before="0" w:after="0" w:line="256" w:lineRule="auto"/>
              <w:ind w:left="218" w:hanging="142"/>
              <w:jc w:val="left"/>
              <w:rPr>
                <w:rFonts w:cs="Calibri"/>
                <w:i/>
                <w:iCs/>
                <w:sz w:val="16"/>
                <w:szCs w:val="16"/>
              </w:rPr>
            </w:pPr>
            <w:r w:rsidRPr="00127E5A">
              <w:rPr>
                <w:rFonts w:cs="Calibri"/>
                <w:i/>
                <w:iCs/>
                <w:sz w:val="16"/>
                <w:szCs w:val="16"/>
              </w:rPr>
              <w:t>zájmem obce je také přiměřený rozvoj bydlení a polyfunkční venkovské zástavby včetně rozvoje služeb a podnikatelských aktivit tak, aby rozvoj počtu obyvatel vyvažoval náklady na provoz, údržbu a rozvoj veřejné infrastruktury obce.</w:t>
            </w:r>
          </w:p>
        </w:tc>
      </w:tr>
      <w:tr w:rsidR="005B4528" w:rsidRPr="00127E5A" w14:paraId="3EF07565" w14:textId="77777777" w:rsidTr="005B4528">
        <w:trPr>
          <w:trHeight w:val="225"/>
        </w:trPr>
        <w:tc>
          <w:tcPr>
            <w:tcW w:w="1843" w:type="dxa"/>
            <w:tcBorders>
              <w:top w:val="dashSmallGap" w:sz="4" w:space="0" w:color="auto"/>
              <w:left w:val="nil"/>
              <w:bottom w:val="nil"/>
              <w:right w:val="nil"/>
            </w:tcBorders>
            <w:noWrap/>
            <w:vAlign w:val="center"/>
            <w:hideMark/>
          </w:tcPr>
          <w:p w14:paraId="3D0F5901" w14:textId="77777777" w:rsidR="005B4528" w:rsidRPr="00127E5A" w:rsidRDefault="005B4528" w:rsidP="00B53C19">
            <w:pPr>
              <w:spacing w:line="256" w:lineRule="auto"/>
              <w:ind w:left="-66"/>
              <w:contextualSpacing/>
              <w:jc w:val="left"/>
              <w:rPr>
                <w:rFonts w:cs="Calibri"/>
                <w:b/>
                <w:bCs/>
                <w:sz w:val="16"/>
                <w:szCs w:val="16"/>
                <w:lang w:eastAsia="en-US"/>
              </w:rPr>
            </w:pPr>
            <w:r w:rsidRPr="00127E5A">
              <w:rPr>
                <w:rFonts w:cs="Calibri"/>
                <w:b/>
                <w:bCs/>
                <w:sz w:val="16"/>
                <w:szCs w:val="16"/>
                <w:lang w:eastAsia="en-US"/>
              </w:rPr>
              <w:t>Z.02-2</w:t>
            </w:r>
          </w:p>
        </w:tc>
        <w:tc>
          <w:tcPr>
            <w:tcW w:w="1300" w:type="dxa"/>
            <w:tcBorders>
              <w:top w:val="dashSmallGap" w:sz="4" w:space="0" w:color="auto"/>
              <w:left w:val="nil"/>
              <w:bottom w:val="nil"/>
              <w:right w:val="nil"/>
            </w:tcBorders>
            <w:noWrap/>
            <w:vAlign w:val="center"/>
            <w:hideMark/>
          </w:tcPr>
          <w:p w14:paraId="10D64F36" w14:textId="77777777" w:rsidR="005B4528" w:rsidRPr="00127E5A" w:rsidRDefault="005B4528" w:rsidP="00B53C19">
            <w:pPr>
              <w:spacing w:line="256" w:lineRule="auto"/>
              <w:contextualSpacing/>
              <w:jc w:val="center"/>
              <w:rPr>
                <w:rFonts w:cs="Calibri"/>
                <w:b/>
                <w:bCs/>
                <w:sz w:val="16"/>
                <w:szCs w:val="16"/>
                <w:lang w:eastAsia="en-US"/>
              </w:rPr>
            </w:pPr>
            <w:r w:rsidRPr="00127E5A">
              <w:rPr>
                <w:rFonts w:cs="Calibri"/>
                <w:b/>
                <w:bCs/>
                <w:sz w:val="16"/>
                <w:szCs w:val="16"/>
                <w:lang w:eastAsia="en-US"/>
              </w:rPr>
              <w:t>SV</w:t>
            </w:r>
          </w:p>
        </w:tc>
        <w:tc>
          <w:tcPr>
            <w:tcW w:w="3378" w:type="dxa"/>
            <w:tcBorders>
              <w:top w:val="dashSmallGap" w:sz="4" w:space="0" w:color="auto"/>
              <w:left w:val="nil"/>
              <w:bottom w:val="nil"/>
              <w:right w:val="nil"/>
            </w:tcBorders>
            <w:noWrap/>
            <w:vAlign w:val="center"/>
            <w:hideMark/>
          </w:tcPr>
          <w:p w14:paraId="08A987EA" w14:textId="77777777" w:rsidR="005B4528" w:rsidRPr="00127E5A" w:rsidRDefault="005B4528" w:rsidP="00B53C19">
            <w:pPr>
              <w:spacing w:line="256" w:lineRule="auto"/>
              <w:contextualSpacing/>
              <w:jc w:val="center"/>
              <w:rPr>
                <w:rFonts w:cs="Calibri"/>
                <w:b/>
                <w:bCs/>
                <w:sz w:val="16"/>
                <w:szCs w:val="16"/>
                <w:lang w:eastAsia="en-US"/>
              </w:rPr>
            </w:pPr>
            <w:r w:rsidRPr="00127E5A">
              <w:rPr>
                <w:rFonts w:cs="Calibri"/>
                <w:b/>
                <w:bCs/>
                <w:sz w:val="16"/>
                <w:szCs w:val="16"/>
                <w:lang w:eastAsia="en-US"/>
              </w:rPr>
              <w:t>0,670</w:t>
            </w:r>
          </w:p>
        </w:tc>
        <w:tc>
          <w:tcPr>
            <w:tcW w:w="1405" w:type="dxa"/>
            <w:tcBorders>
              <w:top w:val="dashSmallGap" w:sz="4" w:space="0" w:color="auto"/>
              <w:left w:val="nil"/>
              <w:bottom w:val="nil"/>
              <w:right w:val="nil"/>
            </w:tcBorders>
            <w:noWrap/>
            <w:vAlign w:val="center"/>
            <w:hideMark/>
          </w:tcPr>
          <w:p w14:paraId="6ACFBF72" w14:textId="77777777" w:rsidR="005B4528" w:rsidRPr="00127E5A" w:rsidRDefault="005B4528" w:rsidP="00B53C19">
            <w:pPr>
              <w:spacing w:line="256" w:lineRule="auto"/>
              <w:contextualSpacing/>
              <w:jc w:val="center"/>
              <w:rPr>
                <w:rFonts w:cs="Calibri"/>
                <w:b/>
                <w:bCs/>
                <w:sz w:val="16"/>
                <w:szCs w:val="16"/>
                <w:lang w:eastAsia="en-US"/>
              </w:rPr>
            </w:pPr>
            <w:r w:rsidRPr="00127E5A">
              <w:rPr>
                <w:rFonts w:cs="Calibri"/>
                <w:b/>
                <w:bCs/>
                <w:sz w:val="16"/>
                <w:szCs w:val="16"/>
                <w:lang w:eastAsia="en-US"/>
              </w:rPr>
              <w:t>V.</w:t>
            </w:r>
          </w:p>
        </w:tc>
      </w:tr>
      <w:tr w:rsidR="005B4528" w:rsidRPr="00127E5A" w14:paraId="7E85B161" w14:textId="77777777" w:rsidTr="005B4528">
        <w:trPr>
          <w:trHeight w:val="225"/>
        </w:trPr>
        <w:tc>
          <w:tcPr>
            <w:tcW w:w="7926" w:type="dxa"/>
            <w:gridSpan w:val="4"/>
            <w:tcBorders>
              <w:top w:val="nil"/>
              <w:left w:val="nil"/>
              <w:bottom w:val="dashSmallGap" w:sz="4" w:space="0" w:color="auto"/>
              <w:right w:val="nil"/>
            </w:tcBorders>
            <w:noWrap/>
            <w:vAlign w:val="center"/>
          </w:tcPr>
          <w:p w14:paraId="29D47CA2" w14:textId="77777777" w:rsidR="005B4528" w:rsidRPr="00175B3A" w:rsidRDefault="005B4528" w:rsidP="00B53C19">
            <w:pPr>
              <w:spacing w:line="256" w:lineRule="auto"/>
              <w:ind w:left="-66"/>
              <w:contextualSpacing/>
              <w:jc w:val="left"/>
              <w:rPr>
                <w:rFonts w:cs="Calibri"/>
                <w:b/>
                <w:bCs/>
                <w:i/>
                <w:iCs/>
                <w:sz w:val="16"/>
                <w:szCs w:val="16"/>
                <w:lang w:eastAsia="en-US"/>
              </w:rPr>
            </w:pPr>
            <w:r w:rsidRPr="00175B3A">
              <w:rPr>
                <w:rFonts w:cs="Calibri"/>
                <w:b/>
                <w:bCs/>
                <w:i/>
                <w:iCs/>
                <w:sz w:val="16"/>
                <w:szCs w:val="16"/>
                <w:lang w:eastAsia="en-US"/>
              </w:rPr>
              <w:t xml:space="preserve">zdůvodnění vymezení: </w:t>
            </w:r>
          </w:p>
          <w:p w14:paraId="57BE1DA1" w14:textId="77777777" w:rsidR="005B4528" w:rsidRPr="00127E5A" w:rsidRDefault="005B4528">
            <w:pPr>
              <w:pStyle w:val="Odstavecseseznamem"/>
              <w:numPr>
                <w:ilvl w:val="0"/>
                <w:numId w:val="35"/>
              </w:numPr>
              <w:spacing w:before="0" w:after="0" w:line="256" w:lineRule="auto"/>
              <w:ind w:left="218" w:hanging="142"/>
              <w:jc w:val="left"/>
              <w:rPr>
                <w:rFonts w:cs="Calibri"/>
                <w:i/>
                <w:iCs/>
                <w:sz w:val="16"/>
                <w:szCs w:val="16"/>
              </w:rPr>
            </w:pPr>
            <w:r w:rsidRPr="00127E5A">
              <w:rPr>
                <w:rFonts w:cs="Calibri"/>
                <w:i/>
                <w:iCs/>
                <w:sz w:val="16"/>
                <w:szCs w:val="16"/>
              </w:rPr>
              <w:t>plocha bezprostředně navazuje na zastavěné území obce,</w:t>
            </w:r>
          </w:p>
          <w:p w14:paraId="33838DF8" w14:textId="77777777" w:rsidR="005B4528" w:rsidRPr="00127E5A" w:rsidRDefault="005B4528">
            <w:pPr>
              <w:pStyle w:val="Odstavecseseznamem"/>
              <w:numPr>
                <w:ilvl w:val="0"/>
                <w:numId w:val="35"/>
              </w:numPr>
              <w:spacing w:before="0" w:after="0" w:line="256" w:lineRule="auto"/>
              <w:ind w:left="218" w:hanging="142"/>
              <w:jc w:val="left"/>
              <w:rPr>
                <w:rFonts w:cs="Calibri"/>
                <w:i/>
                <w:iCs/>
                <w:sz w:val="16"/>
                <w:szCs w:val="16"/>
              </w:rPr>
            </w:pPr>
            <w:r w:rsidRPr="00127E5A">
              <w:rPr>
                <w:rFonts w:cs="Calibri"/>
                <w:i/>
                <w:iCs/>
                <w:sz w:val="16"/>
                <w:szCs w:val="16"/>
              </w:rPr>
              <w:t>plocha je v souladu s urbanistickou koncepcí obce,</w:t>
            </w:r>
          </w:p>
          <w:p w14:paraId="58EA2CD2" w14:textId="77777777" w:rsidR="005B4528" w:rsidRPr="00127E5A" w:rsidRDefault="005B4528">
            <w:pPr>
              <w:pStyle w:val="Odstavecseseznamem"/>
              <w:numPr>
                <w:ilvl w:val="0"/>
                <w:numId w:val="35"/>
              </w:numPr>
              <w:spacing w:before="0" w:after="0" w:line="256" w:lineRule="auto"/>
              <w:ind w:left="218" w:hanging="142"/>
              <w:jc w:val="left"/>
              <w:rPr>
                <w:rFonts w:cs="Calibri"/>
                <w:i/>
                <w:iCs/>
                <w:sz w:val="16"/>
                <w:szCs w:val="16"/>
              </w:rPr>
            </w:pPr>
            <w:r w:rsidRPr="00127E5A">
              <w:rPr>
                <w:rFonts w:cs="Calibri"/>
                <w:i/>
                <w:iCs/>
                <w:sz w:val="16"/>
                <w:szCs w:val="16"/>
              </w:rPr>
              <w:t>plocha je přímo napojena na veřejnou infrastrukturu obce,</w:t>
            </w:r>
          </w:p>
          <w:p w14:paraId="2AC66A4E" w14:textId="77777777" w:rsidR="005B4528" w:rsidRPr="00127E5A" w:rsidRDefault="005B4528">
            <w:pPr>
              <w:pStyle w:val="Odstavecseseznamem"/>
              <w:numPr>
                <w:ilvl w:val="0"/>
                <w:numId w:val="35"/>
              </w:numPr>
              <w:spacing w:before="0" w:after="0" w:line="256" w:lineRule="auto"/>
              <w:ind w:left="218" w:hanging="142"/>
              <w:jc w:val="left"/>
              <w:rPr>
                <w:rFonts w:cs="Calibri"/>
                <w:i/>
                <w:iCs/>
                <w:sz w:val="16"/>
                <w:szCs w:val="16"/>
              </w:rPr>
            </w:pPr>
            <w:r w:rsidRPr="00127E5A">
              <w:rPr>
                <w:rFonts w:cs="Calibri"/>
                <w:i/>
                <w:iCs/>
                <w:sz w:val="16"/>
                <w:szCs w:val="16"/>
              </w:rPr>
              <w:t>plocha je vymezena na pozemcích ve vlastnictví ČR a je vymezena pro rozvoj občanského vybavení, případně jiných obecních priorit (např. dostupné bydlení) ve vazbě na plochu T.02-2,</w:t>
            </w:r>
          </w:p>
          <w:p w14:paraId="18E8E909" w14:textId="77777777" w:rsidR="005B4528" w:rsidRPr="00127E5A" w:rsidRDefault="005B4528">
            <w:pPr>
              <w:pStyle w:val="Odstavecseseznamem"/>
              <w:numPr>
                <w:ilvl w:val="0"/>
                <w:numId w:val="35"/>
              </w:numPr>
              <w:spacing w:before="0" w:after="0" w:line="256" w:lineRule="auto"/>
              <w:ind w:left="218" w:hanging="142"/>
              <w:jc w:val="left"/>
              <w:rPr>
                <w:rFonts w:cs="Calibri"/>
                <w:i/>
                <w:iCs/>
                <w:sz w:val="16"/>
                <w:szCs w:val="16"/>
              </w:rPr>
            </w:pPr>
            <w:r w:rsidRPr="00127E5A">
              <w:rPr>
                <w:rFonts w:cs="Calibri"/>
                <w:i/>
                <w:iCs/>
                <w:sz w:val="16"/>
                <w:szCs w:val="16"/>
              </w:rPr>
              <w:t>plocha tvoří zábor pouze velmi málo produkčních půd (V. třída ochrany ZPF).</w:t>
            </w:r>
          </w:p>
          <w:p w14:paraId="3A40C8AD" w14:textId="77777777" w:rsidR="005B4528" w:rsidRPr="00127E5A" w:rsidRDefault="005B4528" w:rsidP="00B53C19">
            <w:pPr>
              <w:spacing w:line="256" w:lineRule="auto"/>
              <w:ind w:left="-66"/>
              <w:contextualSpacing/>
              <w:jc w:val="left"/>
              <w:rPr>
                <w:rFonts w:cs="Calibri"/>
                <w:b/>
                <w:bCs/>
                <w:i/>
                <w:iCs/>
                <w:sz w:val="16"/>
                <w:szCs w:val="16"/>
              </w:rPr>
            </w:pPr>
            <w:r w:rsidRPr="00127E5A">
              <w:rPr>
                <w:rFonts w:cs="Calibri"/>
                <w:b/>
                <w:bCs/>
                <w:i/>
                <w:iCs/>
                <w:sz w:val="16"/>
                <w:szCs w:val="16"/>
              </w:rPr>
              <w:t>nezbytnost vymezení plochy:</w:t>
            </w:r>
          </w:p>
          <w:p w14:paraId="625F567C" w14:textId="77777777" w:rsidR="005B4528" w:rsidRPr="00127E5A" w:rsidRDefault="005B4528">
            <w:pPr>
              <w:pStyle w:val="Odstavecseseznamem"/>
              <w:numPr>
                <w:ilvl w:val="0"/>
                <w:numId w:val="35"/>
              </w:numPr>
              <w:spacing w:before="0" w:after="0" w:line="256" w:lineRule="auto"/>
              <w:ind w:left="218" w:hanging="142"/>
              <w:jc w:val="left"/>
              <w:rPr>
                <w:rFonts w:cs="Calibri"/>
                <w:i/>
                <w:iCs/>
                <w:sz w:val="16"/>
                <w:szCs w:val="16"/>
              </w:rPr>
            </w:pPr>
            <w:r w:rsidRPr="00127E5A">
              <w:rPr>
                <w:rFonts w:cs="Calibri"/>
                <w:i/>
                <w:iCs/>
                <w:sz w:val="16"/>
                <w:szCs w:val="16"/>
              </w:rPr>
              <w:t xml:space="preserve"> je dána potřebou alespoň minimálního rozvoje obce (rozvoj obce je v navržen v předpokládaném rozsahu +10-15% obyvatel) a dále potřebou prostorové rezervy pro rozvoj občanského vybavení v návaznosti na kapacitní veřejnou infrastrukturu obce a dopravní obsluhu území.</w:t>
            </w:r>
          </w:p>
        </w:tc>
      </w:tr>
      <w:tr w:rsidR="005B4528" w:rsidRPr="00127E5A" w14:paraId="4DEE05F3" w14:textId="77777777" w:rsidTr="005B4528">
        <w:trPr>
          <w:trHeight w:val="225"/>
        </w:trPr>
        <w:tc>
          <w:tcPr>
            <w:tcW w:w="1843" w:type="dxa"/>
            <w:tcBorders>
              <w:top w:val="dashSmallGap" w:sz="4" w:space="0" w:color="auto"/>
              <w:left w:val="nil"/>
              <w:bottom w:val="nil"/>
              <w:right w:val="nil"/>
            </w:tcBorders>
            <w:noWrap/>
            <w:vAlign w:val="center"/>
            <w:hideMark/>
          </w:tcPr>
          <w:p w14:paraId="69F2CA60" w14:textId="77777777" w:rsidR="005B4528" w:rsidRPr="00127E5A" w:rsidRDefault="005B4528" w:rsidP="00B53C19">
            <w:pPr>
              <w:spacing w:line="256" w:lineRule="auto"/>
              <w:ind w:left="-66"/>
              <w:contextualSpacing/>
              <w:jc w:val="left"/>
              <w:rPr>
                <w:rFonts w:cs="Calibri"/>
                <w:b/>
                <w:bCs/>
                <w:sz w:val="16"/>
                <w:szCs w:val="16"/>
                <w:lang w:eastAsia="en-US"/>
              </w:rPr>
            </w:pPr>
            <w:r w:rsidRPr="00127E5A">
              <w:rPr>
                <w:rFonts w:cs="Calibri"/>
                <w:b/>
                <w:bCs/>
                <w:sz w:val="16"/>
                <w:szCs w:val="16"/>
                <w:lang w:eastAsia="en-US"/>
              </w:rPr>
              <w:t>Z.04-1</w:t>
            </w:r>
          </w:p>
        </w:tc>
        <w:tc>
          <w:tcPr>
            <w:tcW w:w="1300" w:type="dxa"/>
            <w:tcBorders>
              <w:top w:val="dashSmallGap" w:sz="4" w:space="0" w:color="auto"/>
              <w:left w:val="nil"/>
              <w:bottom w:val="nil"/>
              <w:right w:val="nil"/>
            </w:tcBorders>
            <w:noWrap/>
            <w:vAlign w:val="center"/>
            <w:hideMark/>
          </w:tcPr>
          <w:p w14:paraId="224AB3B2" w14:textId="77777777" w:rsidR="005B4528" w:rsidRPr="00127E5A" w:rsidRDefault="005B4528" w:rsidP="00B53C19">
            <w:pPr>
              <w:spacing w:line="256" w:lineRule="auto"/>
              <w:contextualSpacing/>
              <w:jc w:val="center"/>
              <w:rPr>
                <w:rFonts w:cs="Calibri"/>
                <w:b/>
                <w:bCs/>
                <w:sz w:val="16"/>
                <w:szCs w:val="16"/>
                <w:lang w:eastAsia="en-US"/>
              </w:rPr>
            </w:pPr>
            <w:r w:rsidRPr="00127E5A">
              <w:rPr>
                <w:rFonts w:cs="Calibri"/>
                <w:b/>
                <w:bCs/>
                <w:sz w:val="16"/>
                <w:szCs w:val="16"/>
                <w:lang w:eastAsia="en-US"/>
              </w:rPr>
              <w:t>SV</w:t>
            </w:r>
          </w:p>
        </w:tc>
        <w:tc>
          <w:tcPr>
            <w:tcW w:w="3378" w:type="dxa"/>
            <w:tcBorders>
              <w:top w:val="dashSmallGap" w:sz="4" w:space="0" w:color="auto"/>
              <w:left w:val="nil"/>
              <w:bottom w:val="nil"/>
              <w:right w:val="nil"/>
            </w:tcBorders>
            <w:noWrap/>
            <w:vAlign w:val="center"/>
            <w:hideMark/>
          </w:tcPr>
          <w:p w14:paraId="26DC7FF1" w14:textId="77777777" w:rsidR="005B4528" w:rsidRPr="00127E5A" w:rsidRDefault="005B4528" w:rsidP="00B53C19">
            <w:pPr>
              <w:spacing w:line="256" w:lineRule="auto"/>
              <w:contextualSpacing/>
              <w:jc w:val="center"/>
              <w:rPr>
                <w:rFonts w:cs="Calibri"/>
                <w:b/>
                <w:bCs/>
                <w:sz w:val="16"/>
                <w:szCs w:val="16"/>
                <w:lang w:eastAsia="en-US"/>
              </w:rPr>
            </w:pPr>
            <w:r w:rsidRPr="00127E5A">
              <w:rPr>
                <w:rFonts w:cs="Calibri"/>
                <w:b/>
                <w:bCs/>
                <w:sz w:val="16"/>
                <w:szCs w:val="16"/>
                <w:lang w:eastAsia="en-US"/>
              </w:rPr>
              <w:t>0,586</w:t>
            </w:r>
          </w:p>
        </w:tc>
        <w:tc>
          <w:tcPr>
            <w:tcW w:w="1405" w:type="dxa"/>
            <w:tcBorders>
              <w:top w:val="dashSmallGap" w:sz="4" w:space="0" w:color="auto"/>
              <w:left w:val="nil"/>
              <w:bottom w:val="nil"/>
              <w:right w:val="nil"/>
            </w:tcBorders>
            <w:noWrap/>
            <w:vAlign w:val="center"/>
            <w:hideMark/>
          </w:tcPr>
          <w:p w14:paraId="742516F1" w14:textId="77777777" w:rsidR="005B4528" w:rsidRPr="00127E5A" w:rsidRDefault="005B4528" w:rsidP="00B53C19">
            <w:pPr>
              <w:spacing w:line="256" w:lineRule="auto"/>
              <w:contextualSpacing/>
              <w:jc w:val="center"/>
              <w:rPr>
                <w:rFonts w:cs="Calibri"/>
                <w:b/>
                <w:bCs/>
                <w:sz w:val="16"/>
                <w:szCs w:val="16"/>
                <w:lang w:eastAsia="en-US"/>
              </w:rPr>
            </w:pPr>
            <w:r w:rsidRPr="00127E5A">
              <w:rPr>
                <w:rFonts w:cs="Calibri"/>
                <w:b/>
                <w:bCs/>
                <w:sz w:val="16"/>
                <w:szCs w:val="16"/>
                <w:lang w:eastAsia="en-US"/>
              </w:rPr>
              <w:t>II.</w:t>
            </w:r>
          </w:p>
        </w:tc>
      </w:tr>
      <w:tr w:rsidR="005B4528" w:rsidRPr="00127E5A" w14:paraId="7B00927B" w14:textId="77777777" w:rsidTr="005B4528">
        <w:trPr>
          <w:trHeight w:val="225"/>
        </w:trPr>
        <w:tc>
          <w:tcPr>
            <w:tcW w:w="7926" w:type="dxa"/>
            <w:gridSpan w:val="4"/>
            <w:tcBorders>
              <w:top w:val="nil"/>
              <w:left w:val="nil"/>
              <w:bottom w:val="dashSmallGap" w:sz="4" w:space="0" w:color="auto"/>
              <w:right w:val="nil"/>
            </w:tcBorders>
            <w:noWrap/>
            <w:vAlign w:val="center"/>
          </w:tcPr>
          <w:p w14:paraId="3F67126B" w14:textId="77777777" w:rsidR="005B4528" w:rsidRPr="00B53C19" w:rsidRDefault="005B4528" w:rsidP="00B53C19">
            <w:pPr>
              <w:spacing w:line="256" w:lineRule="auto"/>
              <w:ind w:left="-66"/>
              <w:contextualSpacing/>
              <w:jc w:val="left"/>
              <w:rPr>
                <w:rFonts w:cs="Calibri"/>
                <w:b/>
                <w:bCs/>
                <w:i/>
                <w:iCs/>
                <w:sz w:val="16"/>
                <w:szCs w:val="16"/>
                <w:lang w:eastAsia="en-US"/>
              </w:rPr>
            </w:pPr>
            <w:r w:rsidRPr="00B53C19">
              <w:rPr>
                <w:rFonts w:cs="Calibri"/>
                <w:b/>
                <w:bCs/>
                <w:i/>
                <w:iCs/>
                <w:sz w:val="16"/>
                <w:szCs w:val="16"/>
                <w:lang w:eastAsia="en-US"/>
              </w:rPr>
              <w:t xml:space="preserve">zdůvodnění vymezení: </w:t>
            </w:r>
          </w:p>
          <w:p w14:paraId="703A7639" w14:textId="77777777" w:rsidR="005B4528" w:rsidRPr="00127E5A" w:rsidRDefault="005B4528">
            <w:pPr>
              <w:pStyle w:val="Odstavecseseznamem"/>
              <w:numPr>
                <w:ilvl w:val="0"/>
                <w:numId w:val="38"/>
              </w:numPr>
              <w:spacing w:before="0" w:after="0" w:line="256" w:lineRule="auto"/>
              <w:ind w:left="218" w:hanging="141"/>
              <w:jc w:val="left"/>
              <w:rPr>
                <w:rFonts w:cs="Calibri"/>
                <w:i/>
                <w:iCs/>
                <w:sz w:val="16"/>
                <w:szCs w:val="16"/>
              </w:rPr>
            </w:pPr>
            <w:r w:rsidRPr="00127E5A">
              <w:rPr>
                <w:rFonts w:cs="Calibri"/>
                <w:i/>
                <w:iCs/>
                <w:sz w:val="16"/>
                <w:szCs w:val="16"/>
              </w:rPr>
              <w:t>plocha bezprostředně navazuje na zastavěné území obce,</w:t>
            </w:r>
          </w:p>
          <w:p w14:paraId="0DD6635E" w14:textId="77777777" w:rsidR="005B4528" w:rsidRPr="00127E5A" w:rsidRDefault="005B4528">
            <w:pPr>
              <w:pStyle w:val="Odstavecseseznamem"/>
              <w:numPr>
                <w:ilvl w:val="0"/>
                <w:numId w:val="38"/>
              </w:numPr>
              <w:spacing w:before="0" w:after="0" w:line="256" w:lineRule="auto"/>
              <w:ind w:left="218" w:hanging="141"/>
              <w:jc w:val="left"/>
              <w:rPr>
                <w:rFonts w:cs="Calibri"/>
                <w:i/>
                <w:iCs/>
                <w:sz w:val="16"/>
                <w:szCs w:val="16"/>
              </w:rPr>
            </w:pPr>
            <w:r w:rsidRPr="00127E5A">
              <w:rPr>
                <w:rFonts w:cs="Calibri"/>
                <w:i/>
                <w:iCs/>
                <w:sz w:val="16"/>
                <w:szCs w:val="16"/>
              </w:rPr>
              <w:t>plocha je v souladu s urbanistickou koncepcí obce, vhodně doplňuje a uzavírá centrální kompozici sídla Posluchov,</w:t>
            </w:r>
          </w:p>
          <w:p w14:paraId="74AECDF5" w14:textId="77777777" w:rsidR="005B4528" w:rsidRPr="00127E5A" w:rsidRDefault="005B4528">
            <w:pPr>
              <w:pStyle w:val="Odstavecseseznamem"/>
              <w:numPr>
                <w:ilvl w:val="0"/>
                <w:numId w:val="38"/>
              </w:numPr>
              <w:spacing w:before="0" w:after="0" w:line="256" w:lineRule="auto"/>
              <w:ind w:left="218" w:hanging="141"/>
              <w:jc w:val="left"/>
              <w:rPr>
                <w:rFonts w:cs="Calibri"/>
                <w:i/>
                <w:iCs/>
                <w:sz w:val="16"/>
                <w:szCs w:val="16"/>
              </w:rPr>
            </w:pPr>
            <w:r w:rsidRPr="00127E5A">
              <w:rPr>
                <w:rFonts w:cs="Calibri"/>
                <w:i/>
                <w:iCs/>
                <w:sz w:val="16"/>
                <w:szCs w:val="16"/>
              </w:rPr>
              <w:t>plocha je přímo napojena na veřejnou infrastrukturu obce,</w:t>
            </w:r>
          </w:p>
          <w:p w14:paraId="712034C6" w14:textId="77777777" w:rsidR="005B4528" w:rsidRPr="00127E5A" w:rsidRDefault="005B4528">
            <w:pPr>
              <w:pStyle w:val="Odstavecseseznamem"/>
              <w:numPr>
                <w:ilvl w:val="0"/>
                <w:numId w:val="38"/>
              </w:numPr>
              <w:spacing w:before="0" w:after="0" w:line="256" w:lineRule="auto"/>
              <w:ind w:left="218" w:hanging="141"/>
              <w:jc w:val="left"/>
              <w:rPr>
                <w:rFonts w:cs="Calibri"/>
                <w:i/>
                <w:iCs/>
                <w:sz w:val="16"/>
                <w:szCs w:val="16"/>
              </w:rPr>
            </w:pPr>
            <w:r w:rsidRPr="00127E5A">
              <w:rPr>
                <w:rFonts w:cs="Calibri"/>
                <w:i/>
                <w:iCs/>
                <w:sz w:val="16"/>
                <w:szCs w:val="16"/>
              </w:rPr>
              <w:t>plocha je dlouhodobě vymezena jako prostorová rezerva rozvoje místní části Posluchov (plocha B8 v předchozím ÚP Hlubočky),</w:t>
            </w:r>
          </w:p>
          <w:p w14:paraId="7B958B09" w14:textId="77777777" w:rsidR="005B4528" w:rsidRPr="00127E5A" w:rsidRDefault="005B4528">
            <w:pPr>
              <w:pStyle w:val="Odstavecseseznamem"/>
              <w:numPr>
                <w:ilvl w:val="0"/>
                <w:numId w:val="38"/>
              </w:numPr>
              <w:spacing w:before="0" w:after="0" w:line="256" w:lineRule="auto"/>
              <w:ind w:left="218" w:hanging="141"/>
              <w:jc w:val="left"/>
              <w:rPr>
                <w:rFonts w:cs="Calibri"/>
                <w:i/>
                <w:iCs/>
                <w:sz w:val="16"/>
                <w:szCs w:val="16"/>
              </w:rPr>
            </w:pPr>
            <w:r w:rsidRPr="00127E5A">
              <w:rPr>
                <w:rFonts w:cs="Calibri"/>
                <w:i/>
                <w:iCs/>
                <w:sz w:val="16"/>
                <w:szCs w:val="16"/>
              </w:rPr>
              <w:t>s ohledem na vymezení na půdách II. třídy ochrany ZPF se předkládá, že zahrady budou zachovány jako součást ZPF.</w:t>
            </w:r>
          </w:p>
          <w:p w14:paraId="3303C2E5" w14:textId="77777777" w:rsidR="005B4528" w:rsidRPr="00127E5A" w:rsidRDefault="005B4528" w:rsidP="00B53C19">
            <w:pPr>
              <w:spacing w:line="256" w:lineRule="auto"/>
              <w:ind w:left="0"/>
              <w:contextualSpacing/>
              <w:jc w:val="left"/>
              <w:rPr>
                <w:rFonts w:cs="Calibri"/>
                <w:b/>
                <w:bCs/>
                <w:i/>
                <w:iCs/>
                <w:sz w:val="16"/>
                <w:szCs w:val="16"/>
              </w:rPr>
            </w:pPr>
            <w:r w:rsidRPr="00127E5A">
              <w:rPr>
                <w:rFonts w:cs="Calibri"/>
                <w:b/>
                <w:bCs/>
                <w:i/>
                <w:iCs/>
                <w:sz w:val="16"/>
                <w:szCs w:val="16"/>
              </w:rPr>
              <w:t>nezbytnost vymezení plochy:</w:t>
            </w:r>
          </w:p>
          <w:p w14:paraId="325890F3" w14:textId="77777777" w:rsidR="005B4528" w:rsidRPr="00127E5A" w:rsidRDefault="005B4528">
            <w:pPr>
              <w:pStyle w:val="Odstavecseseznamem"/>
              <w:numPr>
                <w:ilvl w:val="0"/>
                <w:numId w:val="38"/>
              </w:numPr>
              <w:spacing w:before="0" w:after="0" w:line="256" w:lineRule="auto"/>
              <w:ind w:left="218" w:hanging="141"/>
              <w:jc w:val="left"/>
              <w:rPr>
                <w:rFonts w:cs="Calibri"/>
                <w:i/>
                <w:iCs/>
                <w:sz w:val="16"/>
                <w:szCs w:val="16"/>
              </w:rPr>
            </w:pPr>
            <w:r w:rsidRPr="00127E5A">
              <w:rPr>
                <w:rFonts w:cs="Calibri"/>
                <w:i/>
                <w:iCs/>
                <w:sz w:val="16"/>
                <w:szCs w:val="16"/>
              </w:rPr>
              <w:t xml:space="preserve"> je dána potřebou alespoň minimálního rozvoje obce (rozvoj obce je v navržen v předpokládaném rozsahu +10-15% obyvatel) a dále potřebou umožnit přiměřený rozvoj obce i v jednotlivých místních částech,</w:t>
            </w:r>
          </w:p>
          <w:p w14:paraId="0ABD983E" w14:textId="77777777" w:rsidR="005B4528" w:rsidRPr="00127E5A" w:rsidRDefault="005B4528">
            <w:pPr>
              <w:pStyle w:val="Odstavecseseznamem"/>
              <w:numPr>
                <w:ilvl w:val="0"/>
                <w:numId w:val="38"/>
              </w:numPr>
              <w:spacing w:before="0" w:after="0" w:line="256" w:lineRule="auto"/>
              <w:ind w:left="218" w:hanging="141"/>
              <w:jc w:val="left"/>
              <w:rPr>
                <w:rFonts w:cs="Calibri"/>
                <w:i/>
                <w:iCs/>
                <w:sz w:val="16"/>
                <w:szCs w:val="16"/>
              </w:rPr>
            </w:pPr>
            <w:r w:rsidRPr="00127E5A">
              <w:rPr>
                <w:rFonts w:cs="Calibri"/>
                <w:i/>
                <w:iCs/>
                <w:sz w:val="16"/>
                <w:szCs w:val="16"/>
              </w:rPr>
              <w:t>plocha představuje nárůst ploch smíšených obytných místní části Posluchov o cca 7%, tedy ve zcela minimálním rozsahu.</w:t>
            </w:r>
          </w:p>
          <w:p w14:paraId="26862D76" w14:textId="77777777" w:rsidR="005B4528" w:rsidRPr="00127E5A" w:rsidRDefault="005B4528" w:rsidP="00B53C19">
            <w:pPr>
              <w:spacing w:line="256" w:lineRule="auto"/>
              <w:ind w:left="76"/>
              <w:contextualSpacing/>
              <w:jc w:val="left"/>
              <w:rPr>
                <w:rFonts w:cs="Calibri"/>
                <w:b/>
                <w:bCs/>
                <w:i/>
                <w:iCs/>
                <w:sz w:val="16"/>
                <w:szCs w:val="16"/>
              </w:rPr>
            </w:pPr>
            <w:r w:rsidRPr="00127E5A">
              <w:rPr>
                <w:rFonts w:cs="Calibri"/>
                <w:b/>
                <w:bCs/>
                <w:i/>
                <w:iCs/>
                <w:sz w:val="16"/>
                <w:szCs w:val="16"/>
              </w:rPr>
              <w:t>veřejný zájem vymezení plochy:</w:t>
            </w:r>
          </w:p>
          <w:p w14:paraId="048ABE6B" w14:textId="77777777" w:rsidR="005B4528" w:rsidRPr="00127E5A" w:rsidRDefault="005B4528">
            <w:pPr>
              <w:pStyle w:val="Odstavecseseznamem"/>
              <w:numPr>
                <w:ilvl w:val="0"/>
                <w:numId w:val="38"/>
              </w:numPr>
              <w:spacing w:before="0" w:after="0" w:line="256" w:lineRule="auto"/>
              <w:ind w:left="218" w:hanging="141"/>
              <w:jc w:val="left"/>
              <w:rPr>
                <w:rFonts w:cs="Calibri"/>
                <w:i/>
                <w:iCs/>
                <w:sz w:val="16"/>
                <w:szCs w:val="16"/>
              </w:rPr>
            </w:pPr>
            <w:r w:rsidRPr="00127E5A">
              <w:rPr>
                <w:rFonts w:cs="Calibri"/>
                <w:i/>
                <w:iCs/>
                <w:sz w:val="16"/>
                <w:szCs w:val="16"/>
              </w:rPr>
              <w:t>plocha je vymezena jako smíšená obytná tak, aby umožňovala vznik i vybavení a služeb pro obyvatele a uživatele území,</w:t>
            </w:r>
          </w:p>
          <w:p w14:paraId="59B7CB56" w14:textId="77777777" w:rsidR="005B4528" w:rsidRPr="00127E5A" w:rsidRDefault="005B4528">
            <w:pPr>
              <w:pStyle w:val="Odstavecseseznamem"/>
              <w:numPr>
                <w:ilvl w:val="0"/>
                <w:numId w:val="38"/>
              </w:numPr>
              <w:spacing w:before="0" w:after="0" w:line="256" w:lineRule="auto"/>
              <w:ind w:left="218" w:hanging="141"/>
              <w:jc w:val="left"/>
              <w:rPr>
                <w:rFonts w:cs="Calibri"/>
                <w:i/>
                <w:iCs/>
                <w:sz w:val="16"/>
                <w:szCs w:val="16"/>
              </w:rPr>
            </w:pPr>
            <w:r w:rsidRPr="00127E5A">
              <w:rPr>
                <w:rFonts w:cs="Calibri"/>
                <w:i/>
                <w:iCs/>
                <w:sz w:val="16"/>
                <w:szCs w:val="16"/>
              </w:rPr>
              <w:t>zájmem obce je také přiměřený rozvoj bydlení a polyfunkční venkovské zástavby včetně rozvoje služeb a podnikatelských aktivit tak, aby rozvoj počtu obyvatel vyvažoval náklady na provoz, údržbu a rozvoj veřejné infrastruktury obce.</w:t>
            </w:r>
          </w:p>
        </w:tc>
      </w:tr>
      <w:tr w:rsidR="005B4528" w:rsidRPr="00127E5A" w14:paraId="55F0B5AC" w14:textId="77777777" w:rsidTr="005B4528">
        <w:trPr>
          <w:trHeight w:val="225"/>
        </w:trPr>
        <w:tc>
          <w:tcPr>
            <w:tcW w:w="1843" w:type="dxa"/>
            <w:tcBorders>
              <w:top w:val="dashSmallGap" w:sz="4" w:space="0" w:color="auto"/>
              <w:left w:val="nil"/>
              <w:bottom w:val="nil"/>
              <w:right w:val="nil"/>
            </w:tcBorders>
            <w:noWrap/>
            <w:vAlign w:val="center"/>
            <w:hideMark/>
          </w:tcPr>
          <w:p w14:paraId="60007CA1" w14:textId="77777777" w:rsidR="005B4528" w:rsidRPr="00127E5A" w:rsidRDefault="005B4528" w:rsidP="00B53C19">
            <w:pPr>
              <w:spacing w:line="256" w:lineRule="auto"/>
              <w:ind w:left="-66"/>
              <w:contextualSpacing/>
              <w:jc w:val="left"/>
              <w:rPr>
                <w:rFonts w:cs="Calibri"/>
                <w:b/>
                <w:bCs/>
                <w:sz w:val="16"/>
                <w:szCs w:val="16"/>
                <w:lang w:eastAsia="en-US"/>
              </w:rPr>
            </w:pPr>
            <w:r w:rsidRPr="00127E5A">
              <w:rPr>
                <w:rFonts w:cs="Calibri"/>
                <w:b/>
                <w:bCs/>
                <w:sz w:val="16"/>
                <w:szCs w:val="16"/>
                <w:lang w:eastAsia="en-US"/>
              </w:rPr>
              <w:t>Z.08-1</w:t>
            </w:r>
          </w:p>
        </w:tc>
        <w:tc>
          <w:tcPr>
            <w:tcW w:w="1300" w:type="dxa"/>
            <w:tcBorders>
              <w:top w:val="dashSmallGap" w:sz="4" w:space="0" w:color="auto"/>
              <w:left w:val="nil"/>
              <w:bottom w:val="nil"/>
              <w:right w:val="nil"/>
            </w:tcBorders>
            <w:noWrap/>
            <w:vAlign w:val="center"/>
            <w:hideMark/>
          </w:tcPr>
          <w:p w14:paraId="0DBA27C0" w14:textId="77777777" w:rsidR="005B4528" w:rsidRPr="00127E5A" w:rsidRDefault="005B4528" w:rsidP="00B53C19">
            <w:pPr>
              <w:spacing w:line="256" w:lineRule="auto"/>
              <w:contextualSpacing/>
              <w:jc w:val="center"/>
              <w:rPr>
                <w:rFonts w:cs="Calibri"/>
                <w:b/>
                <w:bCs/>
                <w:sz w:val="16"/>
                <w:szCs w:val="16"/>
                <w:lang w:eastAsia="en-US"/>
              </w:rPr>
            </w:pPr>
            <w:r w:rsidRPr="00127E5A">
              <w:rPr>
                <w:rFonts w:cs="Calibri"/>
                <w:b/>
                <w:bCs/>
                <w:sz w:val="16"/>
                <w:szCs w:val="16"/>
                <w:lang w:eastAsia="en-US"/>
              </w:rPr>
              <w:t>SV</w:t>
            </w:r>
          </w:p>
        </w:tc>
        <w:tc>
          <w:tcPr>
            <w:tcW w:w="3378" w:type="dxa"/>
            <w:tcBorders>
              <w:top w:val="dashSmallGap" w:sz="4" w:space="0" w:color="auto"/>
              <w:left w:val="nil"/>
              <w:bottom w:val="nil"/>
              <w:right w:val="nil"/>
            </w:tcBorders>
            <w:noWrap/>
            <w:vAlign w:val="center"/>
            <w:hideMark/>
          </w:tcPr>
          <w:p w14:paraId="39939C82" w14:textId="358DEA75" w:rsidR="005B4528" w:rsidRPr="00127E5A" w:rsidRDefault="005B4528" w:rsidP="00B53C19">
            <w:pPr>
              <w:spacing w:line="256" w:lineRule="auto"/>
              <w:contextualSpacing/>
              <w:jc w:val="center"/>
              <w:rPr>
                <w:rFonts w:cs="Calibri"/>
                <w:b/>
                <w:bCs/>
                <w:sz w:val="16"/>
                <w:szCs w:val="16"/>
                <w:lang w:eastAsia="en-US"/>
              </w:rPr>
            </w:pPr>
            <w:r w:rsidRPr="00127E5A">
              <w:rPr>
                <w:rFonts w:cs="Calibri"/>
                <w:b/>
                <w:bCs/>
                <w:sz w:val="16"/>
                <w:szCs w:val="16"/>
                <w:lang w:eastAsia="en-US"/>
              </w:rPr>
              <w:t>0,</w:t>
            </w:r>
            <w:r w:rsidR="00543E89">
              <w:rPr>
                <w:rFonts w:cs="Calibri"/>
                <w:b/>
                <w:bCs/>
                <w:sz w:val="16"/>
                <w:szCs w:val="16"/>
                <w:lang w:eastAsia="en-US"/>
              </w:rPr>
              <w:t>423</w:t>
            </w:r>
          </w:p>
        </w:tc>
        <w:tc>
          <w:tcPr>
            <w:tcW w:w="1405" w:type="dxa"/>
            <w:tcBorders>
              <w:top w:val="dashSmallGap" w:sz="4" w:space="0" w:color="auto"/>
              <w:left w:val="nil"/>
              <w:bottom w:val="nil"/>
              <w:right w:val="nil"/>
            </w:tcBorders>
            <w:noWrap/>
            <w:vAlign w:val="center"/>
            <w:hideMark/>
          </w:tcPr>
          <w:p w14:paraId="6EE8040F" w14:textId="77777777" w:rsidR="005B4528" w:rsidRPr="00127E5A" w:rsidRDefault="005B4528" w:rsidP="00B53C19">
            <w:pPr>
              <w:spacing w:line="256" w:lineRule="auto"/>
              <w:contextualSpacing/>
              <w:jc w:val="center"/>
              <w:rPr>
                <w:rFonts w:cs="Calibri"/>
                <w:b/>
                <w:bCs/>
                <w:sz w:val="16"/>
                <w:szCs w:val="16"/>
                <w:lang w:eastAsia="en-US"/>
              </w:rPr>
            </w:pPr>
            <w:r w:rsidRPr="00127E5A">
              <w:rPr>
                <w:rFonts w:cs="Calibri"/>
                <w:b/>
                <w:bCs/>
                <w:sz w:val="16"/>
                <w:szCs w:val="16"/>
                <w:lang w:eastAsia="en-US"/>
              </w:rPr>
              <w:t>V.</w:t>
            </w:r>
          </w:p>
        </w:tc>
      </w:tr>
      <w:tr w:rsidR="005B4528" w:rsidRPr="00127E5A" w14:paraId="6E9C1635" w14:textId="77777777" w:rsidTr="005B4528">
        <w:trPr>
          <w:trHeight w:val="225"/>
        </w:trPr>
        <w:tc>
          <w:tcPr>
            <w:tcW w:w="7926" w:type="dxa"/>
            <w:gridSpan w:val="4"/>
            <w:tcBorders>
              <w:top w:val="nil"/>
              <w:left w:val="nil"/>
              <w:bottom w:val="dashSmallGap" w:sz="4" w:space="0" w:color="auto"/>
              <w:right w:val="nil"/>
            </w:tcBorders>
            <w:noWrap/>
            <w:vAlign w:val="center"/>
          </w:tcPr>
          <w:p w14:paraId="0E767C00" w14:textId="77777777" w:rsidR="005B4528" w:rsidRPr="00175B3A" w:rsidRDefault="005B4528" w:rsidP="00B53C19">
            <w:pPr>
              <w:spacing w:line="256" w:lineRule="auto"/>
              <w:ind w:left="-66"/>
              <w:contextualSpacing/>
              <w:jc w:val="left"/>
              <w:rPr>
                <w:rFonts w:cs="Calibri"/>
                <w:b/>
                <w:bCs/>
                <w:i/>
                <w:iCs/>
                <w:sz w:val="16"/>
                <w:szCs w:val="16"/>
                <w:lang w:eastAsia="en-US"/>
              </w:rPr>
            </w:pPr>
            <w:r w:rsidRPr="00175B3A">
              <w:rPr>
                <w:rFonts w:cs="Calibri"/>
                <w:b/>
                <w:bCs/>
                <w:i/>
                <w:iCs/>
                <w:sz w:val="16"/>
                <w:szCs w:val="16"/>
                <w:lang w:eastAsia="en-US"/>
              </w:rPr>
              <w:t xml:space="preserve">zdůvodnění vymezení: </w:t>
            </w:r>
          </w:p>
          <w:p w14:paraId="727FD0C8" w14:textId="77777777" w:rsidR="005B4528" w:rsidRPr="00127E5A" w:rsidRDefault="005B4528">
            <w:pPr>
              <w:pStyle w:val="Odstavecseseznamem"/>
              <w:numPr>
                <w:ilvl w:val="0"/>
                <w:numId w:val="38"/>
              </w:numPr>
              <w:spacing w:before="0" w:after="0" w:line="256" w:lineRule="auto"/>
              <w:ind w:left="218" w:hanging="141"/>
              <w:jc w:val="left"/>
              <w:rPr>
                <w:rFonts w:cs="Calibri"/>
                <w:b/>
                <w:bCs/>
                <w:sz w:val="16"/>
                <w:szCs w:val="16"/>
              </w:rPr>
            </w:pPr>
            <w:r w:rsidRPr="00127E5A">
              <w:rPr>
                <w:rFonts w:cs="Calibri"/>
                <w:i/>
                <w:iCs/>
                <w:sz w:val="16"/>
                <w:szCs w:val="16"/>
              </w:rPr>
              <w:t>plocha bezprostředně navazuje na zastavěné území obce,</w:t>
            </w:r>
          </w:p>
          <w:p w14:paraId="2C797F1F" w14:textId="77777777" w:rsidR="005B4528" w:rsidRPr="00127E5A" w:rsidRDefault="005B4528">
            <w:pPr>
              <w:pStyle w:val="Odstavecseseznamem"/>
              <w:numPr>
                <w:ilvl w:val="0"/>
                <w:numId w:val="38"/>
              </w:numPr>
              <w:spacing w:before="0" w:after="0" w:line="256" w:lineRule="auto"/>
              <w:ind w:left="218" w:hanging="141"/>
              <w:jc w:val="left"/>
              <w:rPr>
                <w:rFonts w:cs="Calibri"/>
                <w:b/>
                <w:bCs/>
                <w:sz w:val="16"/>
                <w:szCs w:val="16"/>
              </w:rPr>
            </w:pPr>
            <w:r w:rsidRPr="00127E5A">
              <w:rPr>
                <w:rFonts w:cs="Calibri"/>
                <w:i/>
                <w:iCs/>
                <w:sz w:val="16"/>
                <w:szCs w:val="16"/>
              </w:rPr>
              <w:t>plocha je v souladu s urbanistickou koncepcí obce</w:t>
            </w:r>
            <w:r>
              <w:rPr>
                <w:rFonts w:cs="Calibri"/>
                <w:i/>
                <w:iCs/>
                <w:sz w:val="16"/>
                <w:szCs w:val="16"/>
              </w:rPr>
              <w:t xml:space="preserve"> doplněním oboustranné zástavby ulice Mírová,</w:t>
            </w:r>
          </w:p>
          <w:p w14:paraId="4C0E827B" w14:textId="77777777" w:rsidR="005B4528" w:rsidRPr="00FD0D2F" w:rsidRDefault="005B4528">
            <w:pPr>
              <w:pStyle w:val="Odstavecseseznamem"/>
              <w:numPr>
                <w:ilvl w:val="0"/>
                <w:numId w:val="38"/>
              </w:numPr>
              <w:spacing w:before="0" w:after="0" w:line="256" w:lineRule="auto"/>
              <w:ind w:left="218" w:hanging="141"/>
              <w:jc w:val="left"/>
              <w:rPr>
                <w:rFonts w:cs="Calibri"/>
                <w:b/>
                <w:bCs/>
                <w:sz w:val="16"/>
                <w:szCs w:val="16"/>
              </w:rPr>
            </w:pPr>
            <w:r>
              <w:rPr>
                <w:rFonts w:cs="Calibri"/>
                <w:i/>
                <w:iCs/>
                <w:sz w:val="16"/>
                <w:szCs w:val="16"/>
              </w:rPr>
              <w:t>plocha je dlouhodobě vymezena jako rozvojová rezerva (plocha B11 v předchozím ÚP Hlubočky),</w:t>
            </w:r>
          </w:p>
          <w:p w14:paraId="63B087B1" w14:textId="77777777" w:rsidR="005B4528" w:rsidRPr="00FD0D2F" w:rsidRDefault="005B4528">
            <w:pPr>
              <w:pStyle w:val="Odstavecseseznamem"/>
              <w:numPr>
                <w:ilvl w:val="0"/>
                <w:numId w:val="38"/>
              </w:numPr>
              <w:spacing w:before="0" w:after="0" w:line="256" w:lineRule="auto"/>
              <w:ind w:left="218" w:hanging="141"/>
              <w:jc w:val="left"/>
              <w:rPr>
                <w:rFonts w:cs="Calibri"/>
                <w:b/>
                <w:bCs/>
                <w:sz w:val="16"/>
                <w:szCs w:val="16"/>
              </w:rPr>
            </w:pPr>
            <w:r w:rsidRPr="00127E5A">
              <w:rPr>
                <w:rFonts w:cs="Calibri"/>
                <w:i/>
                <w:iCs/>
                <w:sz w:val="16"/>
                <w:szCs w:val="16"/>
              </w:rPr>
              <w:t>plocha tvoří zábor pouze velmi málo produkčních půd (V. třída ochrany ZPF).</w:t>
            </w:r>
          </w:p>
          <w:p w14:paraId="0652776F" w14:textId="77777777" w:rsidR="005B4528" w:rsidRPr="00127E5A" w:rsidRDefault="005B4528" w:rsidP="00B53C19">
            <w:pPr>
              <w:spacing w:line="256" w:lineRule="auto"/>
              <w:ind w:left="0"/>
              <w:contextualSpacing/>
              <w:jc w:val="left"/>
              <w:rPr>
                <w:rFonts w:cs="Calibri"/>
                <w:b/>
                <w:bCs/>
                <w:i/>
                <w:iCs/>
                <w:sz w:val="16"/>
                <w:szCs w:val="16"/>
              </w:rPr>
            </w:pPr>
            <w:r w:rsidRPr="00127E5A">
              <w:rPr>
                <w:rFonts w:cs="Calibri"/>
                <w:b/>
                <w:bCs/>
                <w:i/>
                <w:iCs/>
                <w:sz w:val="16"/>
                <w:szCs w:val="16"/>
              </w:rPr>
              <w:t>nezbytnost vymezení plochy:</w:t>
            </w:r>
          </w:p>
          <w:p w14:paraId="24BC808B" w14:textId="77777777" w:rsidR="005B4528" w:rsidRPr="00127E5A" w:rsidRDefault="005B4528">
            <w:pPr>
              <w:pStyle w:val="Odstavecseseznamem"/>
              <w:numPr>
                <w:ilvl w:val="0"/>
                <w:numId w:val="38"/>
              </w:numPr>
              <w:spacing w:before="0" w:after="0" w:line="256" w:lineRule="auto"/>
              <w:ind w:left="218" w:hanging="141"/>
              <w:jc w:val="left"/>
              <w:rPr>
                <w:rFonts w:cs="Calibri"/>
                <w:b/>
                <w:bCs/>
                <w:sz w:val="16"/>
                <w:szCs w:val="16"/>
              </w:rPr>
            </w:pPr>
            <w:r w:rsidRPr="00127E5A">
              <w:rPr>
                <w:rFonts w:cs="Calibri"/>
                <w:i/>
                <w:iCs/>
                <w:sz w:val="16"/>
                <w:szCs w:val="16"/>
              </w:rPr>
              <w:t xml:space="preserve"> je dána potřebou alespoň minimálního rozvoje obce (rozvoj obce je v navržen v předpokládaném rozsahu +10-15% obyvatel).</w:t>
            </w:r>
          </w:p>
        </w:tc>
      </w:tr>
      <w:tr w:rsidR="005B4528" w14:paraId="281444A4" w14:textId="77777777" w:rsidTr="005B4528">
        <w:trPr>
          <w:trHeight w:val="225"/>
        </w:trPr>
        <w:tc>
          <w:tcPr>
            <w:tcW w:w="1843" w:type="dxa"/>
            <w:tcBorders>
              <w:top w:val="dashSmallGap" w:sz="4" w:space="0" w:color="auto"/>
              <w:left w:val="nil"/>
              <w:bottom w:val="dashSmallGap" w:sz="4" w:space="0" w:color="auto"/>
              <w:right w:val="nil"/>
            </w:tcBorders>
            <w:noWrap/>
            <w:vAlign w:val="center"/>
            <w:hideMark/>
          </w:tcPr>
          <w:p w14:paraId="750CD48E" w14:textId="77777777" w:rsidR="005B4528" w:rsidRPr="00127E5A" w:rsidRDefault="005B4528" w:rsidP="00B53C19">
            <w:pPr>
              <w:spacing w:line="256" w:lineRule="auto"/>
              <w:ind w:left="0"/>
              <w:contextualSpacing/>
              <w:jc w:val="left"/>
              <w:rPr>
                <w:rFonts w:cs="Calibri"/>
                <w:b/>
                <w:bCs/>
                <w:sz w:val="16"/>
                <w:szCs w:val="16"/>
                <w:lang w:eastAsia="en-US"/>
              </w:rPr>
            </w:pPr>
            <w:r w:rsidRPr="00127E5A">
              <w:rPr>
                <w:rFonts w:cs="Calibri"/>
                <w:b/>
                <w:bCs/>
                <w:sz w:val="16"/>
                <w:szCs w:val="16"/>
                <w:lang w:eastAsia="en-US"/>
              </w:rPr>
              <w:t>Celkem</w:t>
            </w:r>
          </w:p>
        </w:tc>
        <w:tc>
          <w:tcPr>
            <w:tcW w:w="1300" w:type="dxa"/>
            <w:tcBorders>
              <w:top w:val="dashSmallGap" w:sz="4" w:space="0" w:color="auto"/>
              <w:left w:val="nil"/>
              <w:bottom w:val="dashSmallGap" w:sz="4" w:space="0" w:color="auto"/>
              <w:right w:val="nil"/>
            </w:tcBorders>
            <w:noWrap/>
            <w:vAlign w:val="center"/>
          </w:tcPr>
          <w:p w14:paraId="08433B9C" w14:textId="77777777" w:rsidR="005B4528" w:rsidRPr="00127E5A" w:rsidRDefault="005B4528" w:rsidP="00B53C19">
            <w:pPr>
              <w:spacing w:line="256" w:lineRule="auto"/>
              <w:contextualSpacing/>
              <w:jc w:val="center"/>
              <w:rPr>
                <w:rFonts w:cs="Calibri"/>
                <w:b/>
                <w:bCs/>
                <w:sz w:val="16"/>
                <w:szCs w:val="16"/>
                <w:lang w:eastAsia="en-US"/>
              </w:rPr>
            </w:pPr>
          </w:p>
        </w:tc>
        <w:tc>
          <w:tcPr>
            <w:tcW w:w="3378" w:type="dxa"/>
            <w:tcBorders>
              <w:top w:val="dashSmallGap" w:sz="4" w:space="0" w:color="auto"/>
              <w:left w:val="nil"/>
              <w:bottom w:val="dashSmallGap" w:sz="4" w:space="0" w:color="auto"/>
              <w:right w:val="nil"/>
            </w:tcBorders>
            <w:noWrap/>
            <w:vAlign w:val="center"/>
            <w:hideMark/>
          </w:tcPr>
          <w:p w14:paraId="16527211" w14:textId="1E85DDDB" w:rsidR="005B4528" w:rsidRDefault="005B4528" w:rsidP="00B53C19">
            <w:pPr>
              <w:spacing w:line="256" w:lineRule="auto"/>
              <w:contextualSpacing/>
              <w:jc w:val="center"/>
              <w:rPr>
                <w:rFonts w:cs="Calibri"/>
                <w:b/>
                <w:bCs/>
                <w:sz w:val="16"/>
                <w:szCs w:val="16"/>
                <w:lang w:eastAsia="en-US"/>
              </w:rPr>
            </w:pPr>
            <w:r w:rsidRPr="00127E5A">
              <w:rPr>
                <w:rFonts w:cs="Calibri"/>
                <w:b/>
                <w:bCs/>
                <w:sz w:val="16"/>
                <w:szCs w:val="16"/>
                <w:lang w:eastAsia="en-US"/>
              </w:rPr>
              <w:t>11,</w:t>
            </w:r>
            <w:r w:rsidR="00543E89">
              <w:rPr>
                <w:rFonts w:cs="Calibri"/>
                <w:b/>
                <w:bCs/>
                <w:sz w:val="16"/>
                <w:szCs w:val="16"/>
                <w:lang w:eastAsia="en-US"/>
              </w:rPr>
              <w:t>661</w:t>
            </w:r>
          </w:p>
        </w:tc>
        <w:tc>
          <w:tcPr>
            <w:tcW w:w="1405" w:type="dxa"/>
            <w:tcBorders>
              <w:top w:val="dashSmallGap" w:sz="4" w:space="0" w:color="auto"/>
              <w:left w:val="nil"/>
              <w:bottom w:val="dashSmallGap" w:sz="4" w:space="0" w:color="auto"/>
              <w:right w:val="nil"/>
            </w:tcBorders>
            <w:noWrap/>
            <w:vAlign w:val="center"/>
          </w:tcPr>
          <w:p w14:paraId="73EEB7F6" w14:textId="77777777" w:rsidR="005B4528" w:rsidRDefault="005B4528" w:rsidP="00B53C19">
            <w:pPr>
              <w:spacing w:line="256" w:lineRule="auto"/>
              <w:contextualSpacing/>
              <w:jc w:val="center"/>
              <w:rPr>
                <w:rFonts w:cs="Calibri"/>
                <w:b/>
                <w:bCs/>
                <w:sz w:val="16"/>
                <w:szCs w:val="16"/>
                <w:lang w:eastAsia="en-US"/>
              </w:rPr>
            </w:pPr>
          </w:p>
        </w:tc>
      </w:tr>
    </w:tbl>
    <w:p w14:paraId="2C9A0D30" w14:textId="77777777" w:rsidR="005B4528" w:rsidRDefault="005B4528" w:rsidP="005B4528">
      <w:pPr>
        <w:ind w:hanging="425"/>
      </w:pPr>
    </w:p>
    <w:p w14:paraId="2CF8BA76" w14:textId="77777777" w:rsidR="005B4528" w:rsidRDefault="005B4528" w:rsidP="005B4528">
      <w:pPr>
        <w:ind w:hanging="425"/>
        <w:rPr>
          <w:u w:val="single"/>
        </w:rPr>
      </w:pPr>
      <w:r>
        <w:lastRenderedPageBreak/>
        <w:t>.2</w:t>
      </w:r>
      <w:r>
        <w:tab/>
      </w:r>
      <w:r>
        <w:rPr>
          <w:u w:val="single"/>
        </w:rPr>
        <w:t>Plochy rekreace</w:t>
      </w:r>
    </w:p>
    <w:p w14:paraId="33FFE3F2" w14:textId="77777777" w:rsidR="005B4528" w:rsidRDefault="005B4528" w:rsidP="005B4528">
      <w:pPr>
        <w:ind w:hanging="425"/>
      </w:pPr>
      <w:r>
        <w:t>.2.1</w:t>
      </w:r>
      <w:r>
        <w:tab/>
        <w:t>plochy transformační</w:t>
      </w:r>
    </w:p>
    <w:p w14:paraId="5E76E853" w14:textId="77777777" w:rsidR="005B4528" w:rsidRDefault="005B4528" w:rsidP="005B4528">
      <w:r>
        <w:t>Plochy transformační pro rekreaci jsou vymezeny tak, aby kvalitativně rozvíjely rekreaci v zastavěném území.</w:t>
      </w:r>
    </w:p>
    <w:p w14:paraId="40DC8EF2" w14:textId="77777777" w:rsidR="005B4528" w:rsidRDefault="005B4528" w:rsidP="005B4528">
      <w:r>
        <w:t xml:space="preserve">Zábory ZPF jsou převážně na půdách I. třídy ochrany, tedy s nejvyšším stupněm ochrany. </w:t>
      </w:r>
    </w:p>
    <w:p w14:paraId="71F3B110" w14:textId="02B4B3A6" w:rsidR="005B4528" w:rsidRDefault="005B4528" w:rsidP="005B4528">
      <w:r>
        <w:t xml:space="preserve">Celkem je pro plochy přestavby pro rekreaci (rekreace jiná – RX) vymezen zábor ZPF </w:t>
      </w:r>
      <w:r>
        <w:rPr>
          <w:b/>
          <w:bCs/>
        </w:rPr>
        <w:t>0,809 ha</w:t>
      </w:r>
      <w:r>
        <w:t xml:space="preserve">. </w:t>
      </w:r>
    </w:p>
    <w:p w14:paraId="2CDCA53B" w14:textId="77777777" w:rsidR="005B4528" w:rsidRDefault="005B4528" w:rsidP="005B4528">
      <w:pPr>
        <w:rPr>
          <w:highlight w:val="cyan"/>
        </w:rPr>
      </w:pPr>
    </w:p>
    <w:tbl>
      <w:tblPr>
        <w:tblW w:w="7921" w:type="dxa"/>
        <w:tblInd w:w="709" w:type="dxa"/>
        <w:tblBorders>
          <w:top w:val="dashSmallGap" w:sz="4" w:space="0" w:color="auto"/>
          <w:bottom w:val="dashSmallGap" w:sz="4" w:space="0" w:color="auto"/>
          <w:insideH w:val="dashSmallGap" w:sz="4" w:space="0" w:color="auto"/>
        </w:tblBorders>
        <w:tblCellMar>
          <w:left w:w="70" w:type="dxa"/>
          <w:right w:w="70" w:type="dxa"/>
        </w:tblCellMar>
        <w:tblLook w:val="04A0" w:firstRow="1" w:lastRow="0" w:firstColumn="1" w:lastColumn="0" w:noHBand="0" w:noVBand="1"/>
      </w:tblPr>
      <w:tblGrid>
        <w:gridCol w:w="1984"/>
        <w:gridCol w:w="1300"/>
        <w:gridCol w:w="3237"/>
        <w:gridCol w:w="1262"/>
        <w:gridCol w:w="138"/>
      </w:tblGrid>
      <w:tr w:rsidR="005B4528" w:rsidRPr="00B53C19" w14:paraId="26FD604B" w14:textId="77777777" w:rsidTr="00B53C19">
        <w:trPr>
          <w:trHeight w:val="225"/>
        </w:trPr>
        <w:tc>
          <w:tcPr>
            <w:tcW w:w="1984" w:type="dxa"/>
            <w:tcBorders>
              <w:top w:val="dashSmallGap" w:sz="4" w:space="0" w:color="auto"/>
              <w:left w:val="nil"/>
              <w:bottom w:val="dashSmallGap" w:sz="4" w:space="0" w:color="auto"/>
              <w:right w:val="nil"/>
            </w:tcBorders>
            <w:vAlign w:val="center"/>
            <w:hideMark/>
          </w:tcPr>
          <w:p w14:paraId="27BB89FF" w14:textId="77777777" w:rsidR="005B4528" w:rsidRPr="00B53C19" w:rsidRDefault="005B4528" w:rsidP="00B53C19">
            <w:pPr>
              <w:spacing w:line="257" w:lineRule="auto"/>
              <w:ind w:left="-66"/>
              <w:contextualSpacing/>
              <w:jc w:val="left"/>
              <w:rPr>
                <w:rFonts w:cs="Calibri"/>
                <w:b/>
                <w:bCs/>
                <w:sz w:val="16"/>
                <w:szCs w:val="16"/>
                <w:lang w:eastAsia="en-US"/>
              </w:rPr>
            </w:pPr>
            <w:r w:rsidRPr="00B53C19">
              <w:rPr>
                <w:rFonts w:cs="Calibri"/>
                <w:b/>
                <w:bCs/>
                <w:sz w:val="16"/>
                <w:szCs w:val="16"/>
                <w:lang w:eastAsia="en-US"/>
              </w:rPr>
              <w:t>označení plochy</w:t>
            </w:r>
          </w:p>
        </w:tc>
        <w:tc>
          <w:tcPr>
            <w:tcW w:w="1300" w:type="dxa"/>
            <w:tcBorders>
              <w:top w:val="dashSmallGap" w:sz="4" w:space="0" w:color="auto"/>
              <w:left w:val="nil"/>
              <w:bottom w:val="dashSmallGap" w:sz="4" w:space="0" w:color="auto"/>
              <w:right w:val="nil"/>
            </w:tcBorders>
            <w:vAlign w:val="center"/>
            <w:hideMark/>
          </w:tcPr>
          <w:p w14:paraId="60A9D300" w14:textId="77777777" w:rsidR="005B4528" w:rsidRPr="00B53C19" w:rsidRDefault="005B4528" w:rsidP="00B53C19">
            <w:pPr>
              <w:spacing w:line="257" w:lineRule="auto"/>
              <w:contextualSpacing/>
              <w:jc w:val="center"/>
              <w:rPr>
                <w:rFonts w:cs="Calibri"/>
                <w:b/>
                <w:bCs/>
                <w:sz w:val="16"/>
                <w:szCs w:val="16"/>
                <w:lang w:eastAsia="en-US"/>
              </w:rPr>
            </w:pPr>
            <w:r w:rsidRPr="00B53C19">
              <w:rPr>
                <w:rFonts w:cs="Calibri"/>
                <w:b/>
                <w:bCs/>
                <w:sz w:val="16"/>
                <w:szCs w:val="16"/>
                <w:lang w:eastAsia="en-US"/>
              </w:rPr>
              <w:t>využití</w:t>
            </w:r>
          </w:p>
        </w:tc>
        <w:tc>
          <w:tcPr>
            <w:tcW w:w="3237" w:type="dxa"/>
            <w:tcBorders>
              <w:top w:val="dashSmallGap" w:sz="4" w:space="0" w:color="auto"/>
              <w:left w:val="nil"/>
              <w:bottom w:val="dashSmallGap" w:sz="4" w:space="0" w:color="auto"/>
              <w:right w:val="nil"/>
            </w:tcBorders>
            <w:vAlign w:val="center"/>
            <w:hideMark/>
          </w:tcPr>
          <w:p w14:paraId="6E109F42" w14:textId="77777777" w:rsidR="005B4528" w:rsidRPr="00B53C19" w:rsidRDefault="005B4528" w:rsidP="00B53C19">
            <w:pPr>
              <w:spacing w:line="257" w:lineRule="auto"/>
              <w:contextualSpacing/>
              <w:jc w:val="center"/>
              <w:rPr>
                <w:rFonts w:cs="Calibri"/>
                <w:b/>
                <w:bCs/>
                <w:sz w:val="16"/>
                <w:szCs w:val="16"/>
                <w:lang w:eastAsia="en-US"/>
              </w:rPr>
            </w:pPr>
            <w:r w:rsidRPr="00B53C19">
              <w:rPr>
                <w:rFonts w:cs="Calibri"/>
                <w:b/>
                <w:bCs/>
                <w:sz w:val="16"/>
                <w:szCs w:val="16"/>
                <w:lang w:eastAsia="en-US"/>
              </w:rPr>
              <w:t>(ha)</w:t>
            </w:r>
          </w:p>
        </w:tc>
        <w:tc>
          <w:tcPr>
            <w:tcW w:w="1400" w:type="dxa"/>
            <w:gridSpan w:val="2"/>
            <w:tcBorders>
              <w:top w:val="dashSmallGap" w:sz="4" w:space="0" w:color="auto"/>
              <w:left w:val="nil"/>
              <w:bottom w:val="dashSmallGap" w:sz="4" w:space="0" w:color="auto"/>
              <w:right w:val="nil"/>
            </w:tcBorders>
            <w:noWrap/>
            <w:vAlign w:val="bottom"/>
            <w:hideMark/>
          </w:tcPr>
          <w:p w14:paraId="0EBA9546" w14:textId="77777777" w:rsidR="005B4528" w:rsidRPr="00B53C19" w:rsidRDefault="005B4528" w:rsidP="00B53C19">
            <w:pPr>
              <w:spacing w:line="257" w:lineRule="auto"/>
              <w:ind w:left="-69"/>
              <w:contextualSpacing/>
              <w:jc w:val="left"/>
              <w:rPr>
                <w:rFonts w:cs="Calibri"/>
                <w:b/>
                <w:bCs/>
                <w:sz w:val="16"/>
                <w:szCs w:val="16"/>
                <w:lang w:eastAsia="en-US"/>
              </w:rPr>
            </w:pPr>
            <w:r w:rsidRPr="00B53C19">
              <w:rPr>
                <w:rFonts w:cs="Calibri"/>
                <w:b/>
                <w:bCs/>
                <w:sz w:val="16"/>
                <w:szCs w:val="16"/>
                <w:lang w:eastAsia="en-US"/>
              </w:rPr>
              <w:t>třída ochrany ZPF</w:t>
            </w:r>
          </w:p>
        </w:tc>
      </w:tr>
      <w:tr w:rsidR="005B4528" w14:paraId="5E6956D2" w14:textId="77777777" w:rsidTr="00B53C19">
        <w:trPr>
          <w:trHeight w:val="225"/>
        </w:trPr>
        <w:tc>
          <w:tcPr>
            <w:tcW w:w="1984" w:type="dxa"/>
            <w:tcBorders>
              <w:top w:val="dashSmallGap" w:sz="4" w:space="0" w:color="auto"/>
              <w:left w:val="nil"/>
              <w:bottom w:val="nil"/>
              <w:right w:val="nil"/>
            </w:tcBorders>
            <w:noWrap/>
            <w:vAlign w:val="bottom"/>
            <w:hideMark/>
          </w:tcPr>
          <w:p w14:paraId="6163EA1F" w14:textId="77777777" w:rsidR="005B4528" w:rsidRDefault="005B4528" w:rsidP="00B53C19">
            <w:pPr>
              <w:spacing w:line="257" w:lineRule="auto"/>
              <w:ind w:left="-66"/>
              <w:contextualSpacing/>
              <w:jc w:val="left"/>
              <w:rPr>
                <w:rFonts w:cs="Calibri"/>
                <w:b/>
                <w:bCs/>
                <w:sz w:val="16"/>
                <w:szCs w:val="16"/>
                <w:lang w:eastAsia="en-US"/>
              </w:rPr>
            </w:pPr>
            <w:r>
              <w:rPr>
                <w:rFonts w:cs="Calibri"/>
                <w:b/>
                <w:bCs/>
                <w:sz w:val="16"/>
                <w:szCs w:val="16"/>
                <w:lang w:eastAsia="en-US"/>
              </w:rPr>
              <w:t>T.01-1</w:t>
            </w:r>
          </w:p>
        </w:tc>
        <w:tc>
          <w:tcPr>
            <w:tcW w:w="1300" w:type="dxa"/>
            <w:tcBorders>
              <w:top w:val="dashSmallGap" w:sz="4" w:space="0" w:color="auto"/>
              <w:left w:val="nil"/>
              <w:bottom w:val="nil"/>
              <w:right w:val="nil"/>
            </w:tcBorders>
            <w:noWrap/>
            <w:vAlign w:val="bottom"/>
            <w:hideMark/>
          </w:tcPr>
          <w:p w14:paraId="51198F09" w14:textId="77777777" w:rsidR="005B4528" w:rsidRDefault="005B4528" w:rsidP="00B53C19">
            <w:pPr>
              <w:spacing w:line="257" w:lineRule="auto"/>
              <w:contextualSpacing/>
              <w:jc w:val="center"/>
              <w:rPr>
                <w:rFonts w:cs="Calibri"/>
                <w:b/>
                <w:bCs/>
                <w:sz w:val="16"/>
                <w:szCs w:val="16"/>
                <w:lang w:eastAsia="en-US"/>
              </w:rPr>
            </w:pPr>
            <w:r>
              <w:rPr>
                <w:rFonts w:cs="Calibri"/>
                <w:b/>
                <w:bCs/>
                <w:sz w:val="16"/>
                <w:szCs w:val="16"/>
                <w:lang w:eastAsia="en-US"/>
              </w:rPr>
              <w:t>RX</w:t>
            </w:r>
          </w:p>
        </w:tc>
        <w:tc>
          <w:tcPr>
            <w:tcW w:w="3237" w:type="dxa"/>
            <w:tcBorders>
              <w:top w:val="dashSmallGap" w:sz="4" w:space="0" w:color="auto"/>
              <w:left w:val="nil"/>
              <w:bottom w:val="nil"/>
              <w:right w:val="nil"/>
            </w:tcBorders>
            <w:noWrap/>
            <w:vAlign w:val="bottom"/>
            <w:hideMark/>
          </w:tcPr>
          <w:p w14:paraId="5C913C10" w14:textId="77777777" w:rsidR="005B4528" w:rsidRDefault="005B4528" w:rsidP="00B53C19">
            <w:pPr>
              <w:spacing w:line="257" w:lineRule="auto"/>
              <w:contextualSpacing/>
              <w:jc w:val="center"/>
              <w:rPr>
                <w:rFonts w:cs="Calibri"/>
                <w:b/>
                <w:bCs/>
                <w:sz w:val="16"/>
                <w:szCs w:val="16"/>
                <w:lang w:eastAsia="en-US"/>
              </w:rPr>
            </w:pPr>
            <w:r>
              <w:rPr>
                <w:rFonts w:cs="Calibri"/>
                <w:b/>
                <w:bCs/>
                <w:sz w:val="16"/>
                <w:szCs w:val="16"/>
                <w:lang w:eastAsia="en-US"/>
              </w:rPr>
              <w:t>0,809</w:t>
            </w:r>
          </w:p>
        </w:tc>
        <w:tc>
          <w:tcPr>
            <w:tcW w:w="1400" w:type="dxa"/>
            <w:gridSpan w:val="2"/>
            <w:tcBorders>
              <w:top w:val="dashSmallGap" w:sz="4" w:space="0" w:color="auto"/>
              <w:left w:val="nil"/>
              <w:bottom w:val="nil"/>
              <w:right w:val="nil"/>
            </w:tcBorders>
            <w:noWrap/>
            <w:vAlign w:val="bottom"/>
            <w:hideMark/>
          </w:tcPr>
          <w:p w14:paraId="4ABA0BF3" w14:textId="77777777" w:rsidR="005B4528" w:rsidRDefault="005B4528" w:rsidP="00B53C19">
            <w:pPr>
              <w:spacing w:line="257" w:lineRule="auto"/>
              <w:contextualSpacing/>
              <w:jc w:val="center"/>
              <w:rPr>
                <w:rFonts w:cs="Calibri"/>
                <w:b/>
                <w:bCs/>
                <w:sz w:val="16"/>
                <w:szCs w:val="16"/>
                <w:lang w:eastAsia="en-US"/>
              </w:rPr>
            </w:pPr>
            <w:r>
              <w:rPr>
                <w:rFonts w:cs="Calibri"/>
                <w:b/>
                <w:bCs/>
                <w:sz w:val="16"/>
                <w:szCs w:val="16"/>
                <w:lang w:eastAsia="en-US"/>
              </w:rPr>
              <w:t>I.</w:t>
            </w:r>
          </w:p>
        </w:tc>
      </w:tr>
      <w:tr w:rsidR="005B4528" w14:paraId="2F8BDC2C" w14:textId="77777777" w:rsidTr="00B53C19">
        <w:trPr>
          <w:gridAfter w:val="1"/>
          <w:wAfter w:w="138" w:type="dxa"/>
          <w:trHeight w:val="225"/>
        </w:trPr>
        <w:tc>
          <w:tcPr>
            <w:tcW w:w="7783" w:type="dxa"/>
            <w:gridSpan w:val="4"/>
            <w:tcBorders>
              <w:top w:val="nil"/>
              <w:left w:val="nil"/>
              <w:bottom w:val="dashSmallGap" w:sz="4" w:space="0" w:color="auto"/>
              <w:right w:val="nil"/>
            </w:tcBorders>
            <w:noWrap/>
            <w:vAlign w:val="center"/>
          </w:tcPr>
          <w:p w14:paraId="0A34A590" w14:textId="77777777" w:rsidR="005B4528" w:rsidRPr="00175B3A" w:rsidRDefault="005B4528" w:rsidP="00B53C19">
            <w:pPr>
              <w:spacing w:line="257" w:lineRule="auto"/>
              <w:ind w:left="-66"/>
              <w:contextualSpacing/>
              <w:jc w:val="left"/>
              <w:rPr>
                <w:rFonts w:cs="Calibri"/>
                <w:b/>
                <w:bCs/>
                <w:i/>
                <w:iCs/>
                <w:sz w:val="16"/>
                <w:szCs w:val="16"/>
                <w:lang w:eastAsia="en-US"/>
              </w:rPr>
            </w:pPr>
            <w:r w:rsidRPr="00175B3A">
              <w:rPr>
                <w:rFonts w:cs="Calibri"/>
                <w:b/>
                <w:bCs/>
                <w:i/>
                <w:iCs/>
                <w:sz w:val="16"/>
                <w:szCs w:val="16"/>
                <w:lang w:eastAsia="en-US"/>
              </w:rPr>
              <w:t xml:space="preserve">zdůvodnění vymezení: </w:t>
            </w:r>
          </w:p>
          <w:p w14:paraId="20C02EAD" w14:textId="77777777" w:rsidR="005B4528" w:rsidRDefault="005B4528">
            <w:pPr>
              <w:pStyle w:val="Odstavecseseznamem"/>
              <w:numPr>
                <w:ilvl w:val="0"/>
                <w:numId w:val="35"/>
              </w:numPr>
              <w:spacing w:before="0" w:after="0" w:line="257" w:lineRule="auto"/>
              <w:ind w:left="218" w:hanging="142"/>
              <w:jc w:val="left"/>
              <w:rPr>
                <w:rFonts w:cs="Calibri"/>
                <w:i/>
                <w:iCs/>
                <w:sz w:val="16"/>
                <w:szCs w:val="16"/>
              </w:rPr>
            </w:pPr>
            <w:r w:rsidRPr="00B754C6">
              <w:rPr>
                <w:rFonts w:cs="Calibri"/>
                <w:i/>
                <w:iCs/>
                <w:sz w:val="16"/>
                <w:szCs w:val="16"/>
              </w:rPr>
              <w:t>plocha je součástí zastavěného území obce,</w:t>
            </w:r>
          </w:p>
          <w:p w14:paraId="07CB6084" w14:textId="77777777" w:rsidR="005B4528" w:rsidRDefault="005B4528">
            <w:pPr>
              <w:pStyle w:val="Odstavecseseznamem"/>
              <w:numPr>
                <w:ilvl w:val="0"/>
                <w:numId w:val="35"/>
              </w:numPr>
              <w:spacing w:before="0" w:after="0" w:line="257" w:lineRule="auto"/>
              <w:ind w:left="218" w:hanging="142"/>
              <w:jc w:val="left"/>
              <w:rPr>
                <w:rFonts w:cs="Calibri"/>
                <w:i/>
                <w:iCs/>
                <w:sz w:val="16"/>
                <w:szCs w:val="16"/>
              </w:rPr>
            </w:pPr>
            <w:r w:rsidRPr="00B77212">
              <w:rPr>
                <w:rFonts w:cs="Calibri"/>
                <w:i/>
                <w:iCs/>
                <w:sz w:val="16"/>
                <w:szCs w:val="16"/>
              </w:rPr>
              <w:t xml:space="preserve">plocha je vymezena jako </w:t>
            </w:r>
            <w:r>
              <w:rPr>
                <w:rFonts w:cs="Calibri"/>
                <w:i/>
                <w:iCs/>
                <w:sz w:val="16"/>
                <w:szCs w:val="16"/>
              </w:rPr>
              <w:t>návrhová plocha pro rekreaci, sport a občanské vybavení</w:t>
            </w:r>
            <w:r w:rsidRPr="00B77212">
              <w:rPr>
                <w:rFonts w:cs="Calibri"/>
                <w:i/>
                <w:iCs/>
                <w:sz w:val="16"/>
                <w:szCs w:val="16"/>
              </w:rPr>
              <w:t xml:space="preserve"> předchozím ÚP Hlubočky (</w:t>
            </w:r>
            <w:r>
              <w:rPr>
                <w:rFonts w:cs="Calibri"/>
                <w:i/>
                <w:iCs/>
                <w:sz w:val="16"/>
                <w:szCs w:val="16"/>
              </w:rPr>
              <w:t>O6</w:t>
            </w:r>
            <w:r w:rsidRPr="00B77212">
              <w:rPr>
                <w:rFonts w:cs="Calibri"/>
                <w:i/>
                <w:iCs/>
                <w:sz w:val="16"/>
                <w:szCs w:val="16"/>
              </w:rPr>
              <w:t>),</w:t>
            </w:r>
          </w:p>
          <w:p w14:paraId="20426E3D" w14:textId="77777777" w:rsidR="005B4528" w:rsidRPr="00B77212" w:rsidRDefault="005B4528">
            <w:pPr>
              <w:pStyle w:val="Odstavecseseznamem"/>
              <w:numPr>
                <w:ilvl w:val="0"/>
                <w:numId w:val="35"/>
              </w:numPr>
              <w:spacing w:before="0" w:after="0" w:line="257" w:lineRule="auto"/>
              <w:ind w:left="218" w:hanging="142"/>
              <w:jc w:val="left"/>
              <w:rPr>
                <w:rFonts w:cs="Calibri"/>
                <w:i/>
                <w:iCs/>
                <w:sz w:val="16"/>
                <w:szCs w:val="16"/>
              </w:rPr>
            </w:pPr>
            <w:r>
              <w:rPr>
                <w:rFonts w:cs="Calibri"/>
                <w:i/>
                <w:iCs/>
                <w:sz w:val="16"/>
                <w:szCs w:val="16"/>
              </w:rPr>
              <w:t>změna využití plochy je stanovena z důvodu rozvoje nadmístního rekreačního areálu Mariánské Údolí a navazuje na areál přírodního koupaliště Burk, rozvoj nadmístního rekreačního areálu představuje veřejný zájem obce.</w:t>
            </w:r>
          </w:p>
        </w:tc>
      </w:tr>
      <w:tr w:rsidR="005B4528" w14:paraId="1215BCC2" w14:textId="77777777" w:rsidTr="00B53C19">
        <w:trPr>
          <w:trHeight w:val="225"/>
        </w:trPr>
        <w:tc>
          <w:tcPr>
            <w:tcW w:w="1984" w:type="dxa"/>
            <w:tcBorders>
              <w:top w:val="dashSmallGap" w:sz="4" w:space="0" w:color="auto"/>
              <w:left w:val="nil"/>
              <w:bottom w:val="dashSmallGap" w:sz="4" w:space="0" w:color="auto"/>
              <w:right w:val="nil"/>
            </w:tcBorders>
            <w:noWrap/>
            <w:vAlign w:val="bottom"/>
            <w:hideMark/>
          </w:tcPr>
          <w:p w14:paraId="238A5ECD" w14:textId="77777777" w:rsidR="005B4528" w:rsidRDefault="005B4528" w:rsidP="00B53C19">
            <w:pPr>
              <w:spacing w:line="257" w:lineRule="auto"/>
              <w:ind w:left="-66"/>
              <w:contextualSpacing/>
              <w:jc w:val="left"/>
              <w:rPr>
                <w:rFonts w:cs="Calibri"/>
                <w:b/>
                <w:bCs/>
                <w:sz w:val="16"/>
                <w:szCs w:val="16"/>
                <w:lang w:eastAsia="en-US"/>
              </w:rPr>
            </w:pPr>
            <w:r>
              <w:rPr>
                <w:rFonts w:cs="Calibri"/>
                <w:b/>
                <w:bCs/>
                <w:sz w:val="16"/>
                <w:szCs w:val="16"/>
                <w:lang w:eastAsia="en-US"/>
              </w:rPr>
              <w:t>Celkem</w:t>
            </w:r>
          </w:p>
        </w:tc>
        <w:tc>
          <w:tcPr>
            <w:tcW w:w="1300" w:type="dxa"/>
            <w:tcBorders>
              <w:top w:val="dashSmallGap" w:sz="4" w:space="0" w:color="auto"/>
              <w:left w:val="nil"/>
              <w:bottom w:val="dashSmallGap" w:sz="4" w:space="0" w:color="auto"/>
              <w:right w:val="nil"/>
            </w:tcBorders>
            <w:noWrap/>
            <w:vAlign w:val="bottom"/>
            <w:hideMark/>
          </w:tcPr>
          <w:p w14:paraId="0E6397A5" w14:textId="77777777" w:rsidR="005B4528" w:rsidRDefault="005B4528" w:rsidP="00B53C19">
            <w:pPr>
              <w:spacing w:line="257" w:lineRule="auto"/>
              <w:contextualSpacing/>
              <w:jc w:val="center"/>
              <w:rPr>
                <w:rFonts w:cs="Calibri"/>
                <w:b/>
                <w:bCs/>
                <w:sz w:val="16"/>
                <w:szCs w:val="16"/>
                <w:lang w:eastAsia="en-US"/>
              </w:rPr>
            </w:pPr>
            <w:r>
              <w:rPr>
                <w:rFonts w:cs="Calibri"/>
                <w:b/>
                <w:bCs/>
                <w:sz w:val="16"/>
                <w:szCs w:val="16"/>
                <w:lang w:eastAsia="en-US"/>
              </w:rPr>
              <w:t> </w:t>
            </w:r>
          </w:p>
        </w:tc>
        <w:tc>
          <w:tcPr>
            <w:tcW w:w="3237" w:type="dxa"/>
            <w:tcBorders>
              <w:top w:val="dashSmallGap" w:sz="4" w:space="0" w:color="auto"/>
              <w:left w:val="nil"/>
              <w:bottom w:val="dashSmallGap" w:sz="4" w:space="0" w:color="auto"/>
              <w:right w:val="nil"/>
            </w:tcBorders>
            <w:noWrap/>
            <w:vAlign w:val="bottom"/>
            <w:hideMark/>
          </w:tcPr>
          <w:p w14:paraId="1DBD5F1F" w14:textId="77777777" w:rsidR="005B4528" w:rsidRDefault="005B4528" w:rsidP="00B53C19">
            <w:pPr>
              <w:spacing w:line="257" w:lineRule="auto"/>
              <w:contextualSpacing/>
              <w:jc w:val="center"/>
              <w:rPr>
                <w:rFonts w:cs="Calibri"/>
                <w:b/>
                <w:bCs/>
                <w:sz w:val="16"/>
                <w:szCs w:val="16"/>
                <w:lang w:eastAsia="en-US"/>
              </w:rPr>
            </w:pPr>
            <w:r>
              <w:rPr>
                <w:rFonts w:cs="Calibri"/>
                <w:b/>
                <w:bCs/>
                <w:sz w:val="16"/>
                <w:szCs w:val="16"/>
                <w:lang w:eastAsia="en-US"/>
              </w:rPr>
              <w:t>0,809</w:t>
            </w:r>
          </w:p>
        </w:tc>
        <w:tc>
          <w:tcPr>
            <w:tcW w:w="1400" w:type="dxa"/>
            <w:gridSpan w:val="2"/>
            <w:tcBorders>
              <w:top w:val="dashSmallGap" w:sz="4" w:space="0" w:color="auto"/>
              <w:left w:val="nil"/>
              <w:bottom w:val="dashSmallGap" w:sz="4" w:space="0" w:color="auto"/>
              <w:right w:val="nil"/>
            </w:tcBorders>
            <w:noWrap/>
            <w:vAlign w:val="bottom"/>
            <w:hideMark/>
          </w:tcPr>
          <w:p w14:paraId="04F6FB5C" w14:textId="77777777" w:rsidR="005B4528" w:rsidRDefault="005B4528" w:rsidP="00B53C19">
            <w:pPr>
              <w:spacing w:line="257" w:lineRule="auto"/>
              <w:contextualSpacing/>
              <w:jc w:val="center"/>
              <w:rPr>
                <w:rFonts w:cs="Calibri"/>
                <w:sz w:val="16"/>
                <w:szCs w:val="16"/>
                <w:lang w:eastAsia="en-US"/>
              </w:rPr>
            </w:pPr>
            <w:r>
              <w:rPr>
                <w:rFonts w:cs="Calibri"/>
                <w:sz w:val="16"/>
                <w:szCs w:val="16"/>
                <w:lang w:eastAsia="en-US"/>
              </w:rPr>
              <w:t> </w:t>
            </w:r>
          </w:p>
        </w:tc>
      </w:tr>
    </w:tbl>
    <w:p w14:paraId="66F72B20" w14:textId="77777777" w:rsidR="005B4528" w:rsidRDefault="005B4528" w:rsidP="005B4528">
      <w:pPr>
        <w:rPr>
          <w:highlight w:val="cyan"/>
        </w:rPr>
      </w:pPr>
    </w:p>
    <w:p w14:paraId="333E63DC" w14:textId="77777777" w:rsidR="005B4528" w:rsidRDefault="005B4528" w:rsidP="005B4528">
      <w:pPr>
        <w:ind w:hanging="425"/>
      </w:pPr>
      <w:r>
        <w:t>.2.2</w:t>
      </w:r>
      <w:r>
        <w:tab/>
        <w:t>zastavitelné plochy</w:t>
      </w:r>
    </w:p>
    <w:p w14:paraId="6F4C797E" w14:textId="77777777" w:rsidR="005B4528" w:rsidRDefault="005B4528" w:rsidP="005B4528">
      <w:r>
        <w:t>Zastavitelné plochy pro rekreaci jsou vymezeny v návaznosti na stávající plochy rekreace, a tím rozvíjejí rekreační potenciál sídel. Zastavitelné plochy pro rekreaci jsou převážně převzaty z předchozího ÚP a vhodně doplněny jejich návaznosti a řešení.</w:t>
      </w:r>
    </w:p>
    <w:p w14:paraId="4F569489" w14:textId="77777777" w:rsidR="005B4528" w:rsidRDefault="005B4528" w:rsidP="005B4528">
      <w:r>
        <w:t>Zábory ZPF jsou jenom na půdách V. třídy ochrany, teda podprůměrné půdy, vhodné pro realizaci zastavitelných ploch. Pro zábor ZPF jsou tyto půdy nejvýhodnější.</w:t>
      </w:r>
    </w:p>
    <w:p w14:paraId="0B98527A" w14:textId="77777777" w:rsidR="005B4528" w:rsidRDefault="005B4528" w:rsidP="005B4528">
      <w:r>
        <w:t xml:space="preserve">Celkem je pro zastavitelné plochy pro rekreaci (rekreace jiná – RX) vymezen zábor ZPF </w:t>
      </w:r>
      <w:r>
        <w:rPr>
          <w:b/>
          <w:bCs/>
        </w:rPr>
        <w:t>1,779 ha</w:t>
      </w:r>
      <w:r>
        <w:t>.</w:t>
      </w:r>
    </w:p>
    <w:p w14:paraId="6DA0DB26" w14:textId="77777777" w:rsidR="005B4528" w:rsidRDefault="005B4528" w:rsidP="005B4528">
      <w:pPr>
        <w:rPr>
          <w:highlight w:val="cyan"/>
        </w:rPr>
      </w:pPr>
    </w:p>
    <w:tbl>
      <w:tblPr>
        <w:tblW w:w="7924" w:type="dxa"/>
        <w:tblInd w:w="709" w:type="dxa"/>
        <w:tblBorders>
          <w:top w:val="dashSmallGap" w:sz="4" w:space="0" w:color="auto"/>
          <w:bottom w:val="dashSmallGap" w:sz="4" w:space="0" w:color="auto"/>
          <w:insideH w:val="dashSmallGap" w:sz="4" w:space="0" w:color="auto"/>
        </w:tblBorders>
        <w:tblCellMar>
          <w:left w:w="70" w:type="dxa"/>
          <w:right w:w="70" w:type="dxa"/>
        </w:tblCellMar>
        <w:tblLook w:val="04A0" w:firstRow="1" w:lastRow="0" w:firstColumn="1" w:lastColumn="0" w:noHBand="0" w:noVBand="1"/>
      </w:tblPr>
      <w:tblGrid>
        <w:gridCol w:w="1984"/>
        <w:gridCol w:w="1300"/>
        <w:gridCol w:w="3237"/>
        <w:gridCol w:w="1403"/>
      </w:tblGrid>
      <w:tr w:rsidR="005B4528" w:rsidRPr="00B53C19" w14:paraId="46476F25" w14:textId="77777777" w:rsidTr="00B53C19">
        <w:trPr>
          <w:trHeight w:val="225"/>
        </w:trPr>
        <w:tc>
          <w:tcPr>
            <w:tcW w:w="1984" w:type="dxa"/>
            <w:tcBorders>
              <w:top w:val="dashSmallGap" w:sz="4" w:space="0" w:color="auto"/>
              <w:left w:val="nil"/>
              <w:bottom w:val="dashSmallGap" w:sz="4" w:space="0" w:color="auto"/>
              <w:right w:val="nil"/>
            </w:tcBorders>
            <w:vAlign w:val="center"/>
            <w:hideMark/>
          </w:tcPr>
          <w:p w14:paraId="4F042FEC" w14:textId="77777777" w:rsidR="005B4528" w:rsidRPr="00B53C19" w:rsidRDefault="005B4528" w:rsidP="00B53C19">
            <w:pPr>
              <w:spacing w:line="257" w:lineRule="auto"/>
              <w:ind w:left="0"/>
              <w:contextualSpacing/>
              <w:jc w:val="left"/>
              <w:rPr>
                <w:rFonts w:cs="Calibri"/>
                <w:b/>
                <w:bCs/>
                <w:sz w:val="16"/>
                <w:szCs w:val="16"/>
                <w:lang w:eastAsia="en-US"/>
              </w:rPr>
            </w:pPr>
            <w:r w:rsidRPr="00B53C19">
              <w:rPr>
                <w:rFonts w:cs="Calibri"/>
                <w:b/>
                <w:bCs/>
                <w:sz w:val="16"/>
                <w:szCs w:val="16"/>
                <w:lang w:eastAsia="en-US"/>
              </w:rPr>
              <w:t>označení plochy</w:t>
            </w:r>
          </w:p>
        </w:tc>
        <w:tc>
          <w:tcPr>
            <w:tcW w:w="1300" w:type="dxa"/>
            <w:tcBorders>
              <w:top w:val="dashSmallGap" w:sz="4" w:space="0" w:color="auto"/>
              <w:left w:val="nil"/>
              <w:bottom w:val="dashSmallGap" w:sz="4" w:space="0" w:color="auto"/>
              <w:right w:val="nil"/>
            </w:tcBorders>
            <w:vAlign w:val="center"/>
            <w:hideMark/>
          </w:tcPr>
          <w:p w14:paraId="6EAF58F5" w14:textId="77777777" w:rsidR="005B4528" w:rsidRPr="00B53C19" w:rsidRDefault="005B4528" w:rsidP="00B53C19">
            <w:pPr>
              <w:spacing w:line="257" w:lineRule="auto"/>
              <w:contextualSpacing/>
              <w:jc w:val="center"/>
              <w:rPr>
                <w:rFonts w:cs="Calibri"/>
                <w:b/>
                <w:bCs/>
                <w:sz w:val="16"/>
                <w:szCs w:val="16"/>
                <w:lang w:eastAsia="en-US"/>
              </w:rPr>
            </w:pPr>
            <w:r w:rsidRPr="00B53C19">
              <w:rPr>
                <w:rFonts w:cs="Calibri"/>
                <w:b/>
                <w:bCs/>
                <w:sz w:val="16"/>
                <w:szCs w:val="16"/>
                <w:lang w:eastAsia="en-US"/>
              </w:rPr>
              <w:t>využití</w:t>
            </w:r>
          </w:p>
        </w:tc>
        <w:tc>
          <w:tcPr>
            <w:tcW w:w="3237" w:type="dxa"/>
            <w:tcBorders>
              <w:top w:val="dashSmallGap" w:sz="4" w:space="0" w:color="auto"/>
              <w:left w:val="nil"/>
              <w:bottom w:val="dashSmallGap" w:sz="4" w:space="0" w:color="auto"/>
              <w:right w:val="nil"/>
            </w:tcBorders>
            <w:vAlign w:val="center"/>
            <w:hideMark/>
          </w:tcPr>
          <w:p w14:paraId="57F4A23E" w14:textId="77777777" w:rsidR="005B4528" w:rsidRPr="00B53C19" w:rsidRDefault="005B4528" w:rsidP="00B53C19">
            <w:pPr>
              <w:spacing w:line="257" w:lineRule="auto"/>
              <w:contextualSpacing/>
              <w:jc w:val="center"/>
              <w:rPr>
                <w:rFonts w:cs="Calibri"/>
                <w:b/>
                <w:bCs/>
                <w:sz w:val="16"/>
                <w:szCs w:val="16"/>
                <w:lang w:eastAsia="en-US"/>
              </w:rPr>
            </w:pPr>
            <w:r w:rsidRPr="00B53C19">
              <w:rPr>
                <w:rFonts w:cs="Calibri"/>
                <w:b/>
                <w:bCs/>
                <w:sz w:val="16"/>
                <w:szCs w:val="16"/>
                <w:lang w:eastAsia="en-US"/>
              </w:rPr>
              <w:t>(ha)</w:t>
            </w:r>
          </w:p>
        </w:tc>
        <w:tc>
          <w:tcPr>
            <w:tcW w:w="1400" w:type="dxa"/>
            <w:tcBorders>
              <w:top w:val="dashSmallGap" w:sz="4" w:space="0" w:color="auto"/>
              <w:left w:val="nil"/>
              <w:bottom w:val="dashSmallGap" w:sz="4" w:space="0" w:color="auto"/>
              <w:right w:val="nil"/>
            </w:tcBorders>
            <w:noWrap/>
            <w:vAlign w:val="bottom"/>
            <w:hideMark/>
          </w:tcPr>
          <w:p w14:paraId="5F010C73" w14:textId="77777777" w:rsidR="005B4528" w:rsidRPr="00B53C19" w:rsidRDefault="005B4528" w:rsidP="00B53C19">
            <w:pPr>
              <w:spacing w:line="257" w:lineRule="auto"/>
              <w:ind w:left="0"/>
              <w:contextualSpacing/>
              <w:jc w:val="left"/>
              <w:rPr>
                <w:rFonts w:cs="Calibri"/>
                <w:b/>
                <w:bCs/>
                <w:sz w:val="16"/>
                <w:szCs w:val="16"/>
                <w:lang w:eastAsia="en-US"/>
              </w:rPr>
            </w:pPr>
            <w:r w:rsidRPr="00B53C19">
              <w:rPr>
                <w:rFonts w:cs="Calibri"/>
                <w:b/>
                <w:bCs/>
                <w:sz w:val="16"/>
                <w:szCs w:val="16"/>
                <w:lang w:eastAsia="en-US"/>
              </w:rPr>
              <w:t>třída ochrany ZPF</w:t>
            </w:r>
          </w:p>
        </w:tc>
      </w:tr>
      <w:tr w:rsidR="005B4528" w:rsidRPr="00B53C19" w14:paraId="67258C5D" w14:textId="77777777" w:rsidTr="00B53C19">
        <w:trPr>
          <w:trHeight w:val="225"/>
        </w:trPr>
        <w:tc>
          <w:tcPr>
            <w:tcW w:w="1984" w:type="dxa"/>
            <w:tcBorders>
              <w:top w:val="dashSmallGap" w:sz="4" w:space="0" w:color="auto"/>
              <w:left w:val="nil"/>
              <w:bottom w:val="nil"/>
              <w:right w:val="nil"/>
            </w:tcBorders>
            <w:noWrap/>
            <w:vAlign w:val="bottom"/>
            <w:hideMark/>
          </w:tcPr>
          <w:p w14:paraId="3D7FB057" w14:textId="77777777" w:rsidR="005B4528" w:rsidRPr="00B53C19" w:rsidRDefault="005B4528" w:rsidP="00B53C19">
            <w:pPr>
              <w:spacing w:line="257" w:lineRule="auto"/>
              <w:ind w:left="0"/>
              <w:contextualSpacing/>
              <w:jc w:val="left"/>
              <w:rPr>
                <w:rFonts w:cs="Calibri"/>
                <w:b/>
                <w:bCs/>
                <w:sz w:val="16"/>
                <w:szCs w:val="16"/>
                <w:lang w:eastAsia="en-US"/>
              </w:rPr>
            </w:pPr>
            <w:r w:rsidRPr="00B53C19">
              <w:rPr>
                <w:rFonts w:cs="Calibri"/>
                <w:b/>
                <w:bCs/>
                <w:sz w:val="16"/>
                <w:szCs w:val="16"/>
                <w:lang w:eastAsia="en-US"/>
              </w:rPr>
              <w:t>Z.02-3</w:t>
            </w:r>
          </w:p>
        </w:tc>
        <w:tc>
          <w:tcPr>
            <w:tcW w:w="1300" w:type="dxa"/>
            <w:tcBorders>
              <w:top w:val="dashSmallGap" w:sz="4" w:space="0" w:color="auto"/>
              <w:left w:val="nil"/>
              <w:bottom w:val="nil"/>
              <w:right w:val="nil"/>
            </w:tcBorders>
            <w:noWrap/>
            <w:vAlign w:val="bottom"/>
            <w:hideMark/>
          </w:tcPr>
          <w:p w14:paraId="669CC189" w14:textId="77777777" w:rsidR="005B4528" w:rsidRPr="00B53C19" w:rsidRDefault="005B4528" w:rsidP="00B53C19">
            <w:pPr>
              <w:spacing w:line="257" w:lineRule="auto"/>
              <w:contextualSpacing/>
              <w:jc w:val="center"/>
              <w:rPr>
                <w:rFonts w:cs="Calibri"/>
                <w:b/>
                <w:bCs/>
                <w:sz w:val="16"/>
                <w:szCs w:val="16"/>
                <w:lang w:eastAsia="en-US"/>
              </w:rPr>
            </w:pPr>
            <w:r w:rsidRPr="00B53C19">
              <w:rPr>
                <w:rFonts w:cs="Calibri"/>
                <w:b/>
                <w:bCs/>
                <w:sz w:val="16"/>
                <w:szCs w:val="16"/>
                <w:lang w:eastAsia="en-US"/>
              </w:rPr>
              <w:t>RX</w:t>
            </w:r>
          </w:p>
        </w:tc>
        <w:tc>
          <w:tcPr>
            <w:tcW w:w="3237" w:type="dxa"/>
            <w:tcBorders>
              <w:top w:val="dashSmallGap" w:sz="4" w:space="0" w:color="auto"/>
              <w:left w:val="nil"/>
              <w:bottom w:val="nil"/>
              <w:right w:val="nil"/>
            </w:tcBorders>
            <w:noWrap/>
            <w:vAlign w:val="bottom"/>
            <w:hideMark/>
          </w:tcPr>
          <w:p w14:paraId="26B98CFF" w14:textId="77777777" w:rsidR="005B4528" w:rsidRPr="00B53C19" w:rsidRDefault="005B4528" w:rsidP="00B53C19">
            <w:pPr>
              <w:spacing w:line="257" w:lineRule="auto"/>
              <w:contextualSpacing/>
              <w:jc w:val="center"/>
              <w:rPr>
                <w:rFonts w:cs="Calibri"/>
                <w:b/>
                <w:bCs/>
                <w:sz w:val="16"/>
                <w:szCs w:val="16"/>
                <w:lang w:eastAsia="en-US"/>
              </w:rPr>
            </w:pPr>
            <w:r w:rsidRPr="00B53C19">
              <w:rPr>
                <w:rFonts w:cs="Calibri"/>
                <w:b/>
                <w:bCs/>
                <w:sz w:val="16"/>
                <w:szCs w:val="16"/>
                <w:lang w:eastAsia="en-US"/>
              </w:rPr>
              <w:t>1,016</w:t>
            </w:r>
          </w:p>
        </w:tc>
        <w:tc>
          <w:tcPr>
            <w:tcW w:w="1400" w:type="dxa"/>
            <w:tcBorders>
              <w:top w:val="dashSmallGap" w:sz="4" w:space="0" w:color="auto"/>
              <w:left w:val="nil"/>
              <w:bottom w:val="nil"/>
              <w:right w:val="nil"/>
            </w:tcBorders>
            <w:noWrap/>
            <w:vAlign w:val="bottom"/>
            <w:hideMark/>
          </w:tcPr>
          <w:p w14:paraId="3762DF84" w14:textId="77777777" w:rsidR="005B4528" w:rsidRPr="00B53C19" w:rsidRDefault="005B4528" w:rsidP="00B53C19">
            <w:pPr>
              <w:spacing w:line="257" w:lineRule="auto"/>
              <w:contextualSpacing/>
              <w:jc w:val="center"/>
              <w:rPr>
                <w:rFonts w:cs="Calibri"/>
                <w:b/>
                <w:bCs/>
                <w:sz w:val="16"/>
                <w:szCs w:val="16"/>
                <w:lang w:eastAsia="en-US"/>
              </w:rPr>
            </w:pPr>
            <w:r w:rsidRPr="00B53C19">
              <w:rPr>
                <w:rFonts w:cs="Calibri"/>
                <w:b/>
                <w:bCs/>
                <w:sz w:val="16"/>
                <w:szCs w:val="16"/>
                <w:lang w:eastAsia="en-US"/>
              </w:rPr>
              <w:t>V.</w:t>
            </w:r>
          </w:p>
        </w:tc>
      </w:tr>
      <w:tr w:rsidR="005B4528" w:rsidRPr="00727D6C" w14:paraId="406B2220" w14:textId="77777777" w:rsidTr="00B53C19">
        <w:trPr>
          <w:trHeight w:val="225"/>
        </w:trPr>
        <w:tc>
          <w:tcPr>
            <w:tcW w:w="7924" w:type="dxa"/>
            <w:gridSpan w:val="4"/>
            <w:tcBorders>
              <w:top w:val="nil"/>
              <w:left w:val="nil"/>
              <w:bottom w:val="dashSmallGap" w:sz="4" w:space="0" w:color="auto"/>
              <w:right w:val="nil"/>
            </w:tcBorders>
            <w:noWrap/>
            <w:vAlign w:val="bottom"/>
          </w:tcPr>
          <w:p w14:paraId="2686BB94" w14:textId="77777777" w:rsidR="005B4528" w:rsidRPr="00175B3A" w:rsidRDefault="005B4528" w:rsidP="00B53C19">
            <w:pPr>
              <w:spacing w:line="257" w:lineRule="auto"/>
              <w:ind w:left="0"/>
              <w:contextualSpacing/>
              <w:jc w:val="left"/>
              <w:rPr>
                <w:rFonts w:cs="Calibri"/>
                <w:b/>
                <w:bCs/>
                <w:i/>
                <w:iCs/>
                <w:sz w:val="16"/>
                <w:szCs w:val="16"/>
                <w:lang w:eastAsia="en-US"/>
              </w:rPr>
            </w:pPr>
            <w:r w:rsidRPr="00175B3A">
              <w:rPr>
                <w:rFonts w:cs="Calibri"/>
                <w:b/>
                <w:bCs/>
                <w:i/>
                <w:iCs/>
                <w:sz w:val="16"/>
                <w:szCs w:val="16"/>
                <w:lang w:eastAsia="en-US"/>
              </w:rPr>
              <w:t xml:space="preserve">zdůvodnění vymezení: </w:t>
            </w:r>
          </w:p>
          <w:p w14:paraId="19D6F6E8" w14:textId="77777777" w:rsidR="005B4528" w:rsidRPr="00727D6C" w:rsidRDefault="005B4528">
            <w:pPr>
              <w:pStyle w:val="Odstavecseseznamem"/>
              <w:numPr>
                <w:ilvl w:val="0"/>
                <w:numId w:val="39"/>
              </w:numPr>
              <w:spacing w:before="0" w:after="0" w:line="257" w:lineRule="auto"/>
              <w:ind w:left="218" w:hanging="141"/>
              <w:jc w:val="left"/>
              <w:rPr>
                <w:rFonts w:cs="Calibri"/>
                <w:b/>
                <w:bCs/>
                <w:sz w:val="16"/>
                <w:szCs w:val="16"/>
              </w:rPr>
            </w:pPr>
            <w:r w:rsidRPr="00727D6C">
              <w:rPr>
                <w:rFonts w:cs="Calibri"/>
                <w:i/>
                <w:iCs/>
                <w:sz w:val="16"/>
                <w:szCs w:val="16"/>
              </w:rPr>
              <w:t>plocha je dlouhodobě vymezena pro rozvoj nadmístního rekreačního areálu Hlubočky (plocha R7 předchozího ÚP Hlubočky),</w:t>
            </w:r>
          </w:p>
          <w:p w14:paraId="66CAE976" w14:textId="77777777" w:rsidR="005B4528" w:rsidRPr="00727D6C" w:rsidRDefault="005B4528">
            <w:pPr>
              <w:pStyle w:val="Odstavecseseznamem"/>
              <w:numPr>
                <w:ilvl w:val="0"/>
                <w:numId w:val="39"/>
              </w:numPr>
              <w:spacing w:before="0" w:after="0" w:line="257" w:lineRule="auto"/>
              <w:ind w:left="218" w:hanging="141"/>
              <w:jc w:val="left"/>
              <w:rPr>
                <w:rFonts w:cs="Calibri"/>
                <w:i/>
                <w:iCs/>
                <w:sz w:val="16"/>
                <w:szCs w:val="16"/>
              </w:rPr>
            </w:pPr>
            <w:r w:rsidRPr="00727D6C">
              <w:rPr>
                <w:rFonts w:cs="Calibri"/>
                <w:i/>
                <w:iCs/>
                <w:sz w:val="16"/>
                <w:szCs w:val="16"/>
              </w:rPr>
              <w:t>plocha je v souladu s urbanistickou koncepcí vymezena pro rozvoj nadmístního rekreačního areálu Hlubočky pro zimní sporty,</w:t>
            </w:r>
          </w:p>
          <w:p w14:paraId="116B4324" w14:textId="77777777" w:rsidR="005B4528" w:rsidRPr="00727D6C" w:rsidRDefault="005B4528">
            <w:pPr>
              <w:pStyle w:val="Odstavecseseznamem"/>
              <w:numPr>
                <w:ilvl w:val="0"/>
                <w:numId w:val="39"/>
              </w:numPr>
              <w:spacing w:before="0" w:after="0" w:line="257" w:lineRule="auto"/>
              <w:ind w:left="218" w:hanging="141"/>
              <w:jc w:val="left"/>
              <w:rPr>
                <w:rFonts w:cs="Calibri"/>
                <w:b/>
                <w:bCs/>
                <w:sz w:val="16"/>
                <w:szCs w:val="16"/>
              </w:rPr>
            </w:pPr>
            <w:r w:rsidRPr="00727D6C">
              <w:rPr>
                <w:rFonts w:cs="Calibri"/>
                <w:i/>
                <w:iCs/>
                <w:sz w:val="16"/>
                <w:szCs w:val="16"/>
              </w:rPr>
              <w:t>plocha tvoří zábor pouze velmi málo produkčních půd (V. třída ochrany ZPF).</w:t>
            </w:r>
          </w:p>
          <w:p w14:paraId="5AFB6570" w14:textId="77777777" w:rsidR="005B4528" w:rsidRPr="00727D6C" w:rsidRDefault="005B4528" w:rsidP="00B53C19">
            <w:pPr>
              <w:spacing w:line="257" w:lineRule="auto"/>
              <w:ind w:left="0"/>
              <w:contextualSpacing/>
              <w:jc w:val="left"/>
              <w:rPr>
                <w:rFonts w:cs="Calibri"/>
                <w:b/>
                <w:bCs/>
                <w:i/>
                <w:iCs/>
                <w:sz w:val="16"/>
                <w:szCs w:val="16"/>
              </w:rPr>
            </w:pPr>
            <w:r w:rsidRPr="00727D6C">
              <w:rPr>
                <w:rFonts w:cs="Calibri"/>
                <w:b/>
                <w:bCs/>
                <w:i/>
                <w:iCs/>
                <w:sz w:val="16"/>
                <w:szCs w:val="16"/>
              </w:rPr>
              <w:t>nezbytnost vymezení plochy:</w:t>
            </w:r>
          </w:p>
          <w:p w14:paraId="796F5DB7" w14:textId="567F02D1" w:rsidR="00B53C19" w:rsidRPr="00C43737" w:rsidRDefault="005B4528">
            <w:pPr>
              <w:pStyle w:val="Odstavecseseznamem"/>
              <w:numPr>
                <w:ilvl w:val="0"/>
                <w:numId w:val="40"/>
              </w:numPr>
              <w:spacing w:before="0" w:after="0" w:line="257" w:lineRule="auto"/>
              <w:ind w:left="218" w:hanging="153"/>
              <w:jc w:val="left"/>
              <w:rPr>
                <w:rFonts w:cs="Calibri"/>
                <w:b/>
                <w:bCs/>
                <w:sz w:val="16"/>
                <w:szCs w:val="16"/>
              </w:rPr>
            </w:pPr>
            <w:r w:rsidRPr="00727D6C">
              <w:rPr>
                <w:rFonts w:cs="Calibri"/>
                <w:i/>
                <w:iCs/>
                <w:sz w:val="16"/>
                <w:szCs w:val="16"/>
              </w:rPr>
              <w:t>je dána potřebou prostorové rezervy pro rozvoj ploch sjezdovek, jejich zázemí a souvisejícího vybavení nadmístního rekreačního areálu pro zimní sporty.</w:t>
            </w:r>
          </w:p>
        </w:tc>
      </w:tr>
      <w:tr w:rsidR="005B4528" w:rsidRPr="00727D6C" w14:paraId="64FAA42C" w14:textId="77777777" w:rsidTr="00B53C19">
        <w:trPr>
          <w:trHeight w:val="225"/>
        </w:trPr>
        <w:tc>
          <w:tcPr>
            <w:tcW w:w="1984" w:type="dxa"/>
            <w:tcBorders>
              <w:top w:val="dashSmallGap" w:sz="4" w:space="0" w:color="auto"/>
              <w:left w:val="nil"/>
              <w:bottom w:val="nil"/>
              <w:right w:val="nil"/>
            </w:tcBorders>
            <w:noWrap/>
            <w:vAlign w:val="bottom"/>
            <w:hideMark/>
          </w:tcPr>
          <w:p w14:paraId="69090E26" w14:textId="77777777" w:rsidR="005B4528" w:rsidRPr="00B53C19" w:rsidRDefault="005B4528" w:rsidP="00B53C19">
            <w:pPr>
              <w:spacing w:line="257" w:lineRule="auto"/>
              <w:ind w:left="0"/>
              <w:contextualSpacing/>
              <w:jc w:val="left"/>
              <w:rPr>
                <w:rFonts w:cs="Calibri"/>
                <w:b/>
                <w:bCs/>
                <w:sz w:val="16"/>
                <w:szCs w:val="16"/>
                <w:lang w:eastAsia="en-US"/>
              </w:rPr>
            </w:pPr>
            <w:r w:rsidRPr="00B53C19">
              <w:rPr>
                <w:rFonts w:cs="Calibri"/>
                <w:b/>
                <w:bCs/>
                <w:sz w:val="16"/>
                <w:szCs w:val="16"/>
                <w:lang w:eastAsia="en-US"/>
              </w:rPr>
              <w:t>Z.02-4</w:t>
            </w:r>
          </w:p>
        </w:tc>
        <w:tc>
          <w:tcPr>
            <w:tcW w:w="1300" w:type="dxa"/>
            <w:tcBorders>
              <w:top w:val="dashSmallGap" w:sz="4" w:space="0" w:color="auto"/>
              <w:left w:val="nil"/>
              <w:bottom w:val="nil"/>
              <w:right w:val="nil"/>
            </w:tcBorders>
            <w:noWrap/>
            <w:vAlign w:val="bottom"/>
            <w:hideMark/>
          </w:tcPr>
          <w:p w14:paraId="1B70B08F" w14:textId="77777777" w:rsidR="005B4528" w:rsidRPr="00727D6C" w:rsidRDefault="005B4528" w:rsidP="00B53C19">
            <w:pPr>
              <w:spacing w:line="257" w:lineRule="auto"/>
              <w:contextualSpacing/>
              <w:jc w:val="center"/>
              <w:rPr>
                <w:rFonts w:cs="Calibri"/>
                <w:b/>
                <w:bCs/>
                <w:sz w:val="16"/>
                <w:szCs w:val="16"/>
                <w:lang w:eastAsia="en-US"/>
              </w:rPr>
            </w:pPr>
            <w:r w:rsidRPr="00727D6C">
              <w:rPr>
                <w:rFonts w:cs="Calibri"/>
                <w:b/>
                <w:bCs/>
                <w:sz w:val="16"/>
                <w:szCs w:val="16"/>
                <w:lang w:eastAsia="en-US"/>
              </w:rPr>
              <w:t>RX</w:t>
            </w:r>
          </w:p>
        </w:tc>
        <w:tc>
          <w:tcPr>
            <w:tcW w:w="3237" w:type="dxa"/>
            <w:tcBorders>
              <w:top w:val="dashSmallGap" w:sz="4" w:space="0" w:color="auto"/>
              <w:left w:val="nil"/>
              <w:bottom w:val="nil"/>
              <w:right w:val="nil"/>
            </w:tcBorders>
            <w:noWrap/>
            <w:vAlign w:val="bottom"/>
            <w:hideMark/>
          </w:tcPr>
          <w:p w14:paraId="4D320EE0" w14:textId="77777777" w:rsidR="005B4528" w:rsidRPr="00727D6C" w:rsidRDefault="005B4528" w:rsidP="00B53C19">
            <w:pPr>
              <w:spacing w:line="257" w:lineRule="auto"/>
              <w:contextualSpacing/>
              <w:jc w:val="center"/>
              <w:rPr>
                <w:rFonts w:cs="Calibri"/>
                <w:b/>
                <w:bCs/>
                <w:sz w:val="16"/>
                <w:szCs w:val="16"/>
                <w:lang w:eastAsia="en-US"/>
              </w:rPr>
            </w:pPr>
            <w:r w:rsidRPr="00727D6C">
              <w:rPr>
                <w:rFonts w:cs="Calibri"/>
                <w:b/>
                <w:bCs/>
                <w:sz w:val="16"/>
                <w:szCs w:val="16"/>
                <w:lang w:eastAsia="en-US"/>
              </w:rPr>
              <w:t>0,763</w:t>
            </w:r>
          </w:p>
        </w:tc>
        <w:tc>
          <w:tcPr>
            <w:tcW w:w="1400" w:type="dxa"/>
            <w:tcBorders>
              <w:top w:val="dashSmallGap" w:sz="4" w:space="0" w:color="auto"/>
              <w:left w:val="nil"/>
              <w:bottom w:val="nil"/>
              <w:right w:val="nil"/>
            </w:tcBorders>
            <w:noWrap/>
            <w:vAlign w:val="bottom"/>
            <w:hideMark/>
          </w:tcPr>
          <w:p w14:paraId="147198AB" w14:textId="77777777" w:rsidR="005B4528" w:rsidRPr="00727D6C" w:rsidRDefault="005B4528" w:rsidP="00B53C19">
            <w:pPr>
              <w:spacing w:line="257" w:lineRule="auto"/>
              <w:contextualSpacing/>
              <w:jc w:val="center"/>
              <w:rPr>
                <w:rFonts w:cs="Calibri"/>
                <w:b/>
                <w:bCs/>
                <w:sz w:val="16"/>
                <w:szCs w:val="16"/>
                <w:lang w:eastAsia="en-US"/>
              </w:rPr>
            </w:pPr>
            <w:r w:rsidRPr="00727D6C">
              <w:rPr>
                <w:rFonts w:cs="Calibri"/>
                <w:b/>
                <w:bCs/>
                <w:sz w:val="16"/>
                <w:szCs w:val="16"/>
                <w:lang w:eastAsia="en-US"/>
              </w:rPr>
              <w:t>V.</w:t>
            </w:r>
          </w:p>
        </w:tc>
      </w:tr>
      <w:tr w:rsidR="005B4528" w:rsidRPr="00727D6C" w14:paraId="7585CA0E" w14:textId="77777777" w:rsidTr="00B53C19">
        <w:trPr>
          <w:trHeight w:val="225"/>
        </w:trPr>
        <w:tc>
          <w:tcPr>
            <w:tcW w:w="7924" w:type="dxa"/>
            <w:gridSpan w:val="4"/>
            <w:tcBorders>
              <w:top w:val="nil"/>
              <w:left w:val="nil"/>
              <w:bottom w:val="dashSmallGap" w:sz="4" w:space="0" w:color="auto"/>
              <w:right w:val="nil"/>
            </w:tcBorders>
            <w:noWrap/>
            <w:vAlign w:val="center"/>
          </w:tcPr>
          <w:p w14:paraId="7E7913D5" w14:textId="77777777" w:rsidR="005B4528" w:rsidRPr="00175B3A" w:rsidRDefault="005B4528" w:rsidP="00B53C19">
            <w:pPr>
              <w:spacing w:line="257" w:lineRule="auto"/>
              <w:ind w:left="0"/>
              <w:contextualSpacing/>
              <w:jc w:val="left"/>
              <w:rPr>
                <w:rFonts w:cs="Calibri"/>
                <w:b/>
                <w:bCs/>
                <w:i/>
                <w:iCs/>
                <w:sz w:val="16"/>
                <w:szCs w:val="16"/>
                <w:lang w:eastAsia="en-US"/>
              </w:rPr>
            </w:pPr>
            <w:r w:rsidRPr="00175B3A">
              <w:rPr>
                <w:rFonts w:cs="Calibri"/>
                <w:b/>
                <w:bCs/>
                <w:i/>
                <w:iCs/>
                <w:sz w:val="16"/>
                <w:szCs w:val="16"/>
                <w:lang w:eastAsia="en-US"/>
              </w:rPr>
              <w:t xml:space="preserve">zdůvodnění vymezení: </w:t>
            </w:r>
          </w:p>
          <w:p w14:paraId="05FAC925" w14:textId="77777777" w:rsidR="005B4528" w:rsidRPr="00727D6C" w:rsidRDefault="005B4528">
            <w:pPr>
              <w:pStyle w:val="Odstavecseseznamem"/>
              <w:numPr>
                <w:ilvl w:val="0"/>
                <w:numId w:val="39"/>
              </w:numPr>
              <w:spacing w:before="0" w:after="0" w:line="257" w:lineRule="auto"/>
              <w:ind w:left="218" w:hanging="141"/>
              <w:jc w:val="left"/>
              <w:rPr>
                <w:rFonts w:cs="Calibri"/>
                <w:b/>
                <w:bCs/>
                <w:sz w:val="16"/>
                <w:szCs w:val="16"/>
              </w:rPr>
            </w:pPr>
            <w:r w:rsidRPr="00727D6C">
              <w:rPr>
                <w:rFonts w:cs="Calibri"/>
                <w:i/>
                <w:iCs/>
                <w:sz w:val="16"/>
                <w:szCs w:val="16"/>
              </w:rPr>
              <w:t>plocha je dlouhodobě vymezena pro rozvoj nadmístního rekreačního areálu Hlubočky (plocha R</w:t>
            </w:r>
            <w:r>
              <w:rPr>
                <w:rFonts w:cs="Calibri"/>
                <w:i/>
                <w:iCs/>
                <w:sz w:val="16"/>
                <w:szCs w:val="16"/>
              </w:rPr>
              <w:t>8</w:t>
            </w:r>
            <w:r w:rsidRPr="00727D6C">
              <w:rPr>
                <w:rFonts w:cs="Calibri"/>
                <w:i/>
                <w:iCs/>
                <w:sz w:val="16"/>
                <w:szCs w:val="16"/>
              </w:rPr>
              <w:t xml:space="preserve"> předchozího ÚP Hlubočky),</w:t>
            </w:r>
          </w:p>
          <w:p w14:paraId="0103402D" w14:textId="77777777" w:rsidR="005B4528" w:rsidRPr="00727D6C" w:rsidRDefault="005B4528">
            <w:pPr>
              <w:pStyle w:val="Odstavecseseznamem"/>
              <w:numPr>
                <w:ilvl w:val="0"/>
                <w:numId w:val="39"/>
              </w:numPr>
              <w:spacing w:before="0" w:after="0" w:line="257" w:lineRule="auto"/>
              <w:ind w:left="218" w:hanging="141"/>
              <w:jc w:val="left"/>
              <w:rPr>
                <w:rFonts w:cs="Calibri"/>
                <w:i/>
                <w:iCs/>
                <w:sz w:val="16"/>
                <w:szCs w:val="16"/>
              </w:rPr>
            </w:pPr>
            <w:r w:rsidRPr="00727D6C">
              <w:rPr>
                <w:rFonts w:cs="Calibri"/>
                <w:i/>
                <w:iCs/>
                <w:sz w:val="16"/>
                <w:szCs w:val="16"/>
              </w:rPr>
              <w:t>plocha je v souladu s urbanistickou koncepcí vymezena pro rozvoj nadmístního rekreačního areálu Hlubočky pro zimní sporty,</w:t>
            </w:r>
          </w:p>
          <w:p w14:paraId="74C1A682" w14:textId="77777777" w:rsidR="005B4528" w:rsidRPr="00727D6C" w:rsidRDefault="005B4528">
            <w:pPr>
              <w:pStyle w:val="Odstavecseseznamem"/>
              <w:numPr>
                <w:ilvl w:val="0"/>
                <w:numId w:val="39"/>
              </w:numPr>
              <w:spacing w:before="0" w:after="0" w:line="257" w:lineRule="auto"/>
              <w:ind w:left="218" w:hanging="141"/>
              <w:jc w:val="left"/>
              <w:rPr>
                <w:rFonts w:cs="Calibri"/>
                <w:b/>
                <w:bCs/>
                <w:sz w:val="16"/>
                <w:szCs w:val="16"/>
              </w:rPr>
            </w:pPr>
            <w:r w:rsidRPr="00727D6C">
              <w:rPr>
                <w:rFonts w:cs="Calibri"/>
                <w:i/>
                <w:iCs/>
                <w:sz w:val="16"/>
                <w:szCs w:val="16"/>
              </w:rPr>
              <w:t>plocha tvoří zábor pouze velmi málo produkčních půd (V. třída ochrany ZPF).</w:t>
            </w:r>
          </w:p>
          <w:p w14:paraId="441DB0DB" w14:textId="77777777" w:rsidR="005B4528" w:rsidRPr="00727D6C" w:rsidRDefault="005B4528" w:rsidP="00B53C19">
            <w:pPr>
              <w:spacing w:line="257" w:lineRule="auto"/>
              <w:ind w:left="0"/>
              <w:contextualSpacing/>
              <w:jc w:val="left"/>
              <w:rPr>
                <w:rFonts w:cs="Calibri"/>
                <w:b/>
                <w:bCs/>
                <w:i/>
                <w:iCs/>
                <w:sz w:val="16"/>
                <w:szCs w:val="16"/>
              </w:rPr>
            </w:pPr>
            <w:r w:rsidRPr="00727D6C">
              <w:rPr>
                <w:rFonts w:cs="Calibri"/>
                <w:b/>
                <w:bCs/>
                <w:i/>
                <w:iCs/>
                <w:sz w:val="16"/>
                <w:szCs w:val="16"/>
              </w:rPr>
              <w:t>nezbytnost vymezení plochy:</w:t>
            </w:r>
          </w:p>
          <w:p w14:paraId="421688AA" w14:textId="77777777" w:rsidR="005B4528" w:rsidRPr="00727D6C" w:rsidRDefault="005B4528">
            <w:pPr>
              <w:pStyle w:val="Odstavecseseznamem"/>
              <w:numPr>
                <w:ilvl w:val="0"/>
                <w:numId w:val="41"/>
              </w:numPr>
              <w:spacing w:before="0" w:after="0" w:line="257" w:lineRule="auto"/>
              <w:ind w:left="218" w:hanging="141"/>
              <w:jc w:val="left"/>
              <w:rPr>
                <w:rFonts w:cs="Calibri"/>
                <w:i/>
                <w:iCs/>
                <w:sz w:val="16"/>
                <w:szCs w:val="16"/>
              </w:rPr>
            </w:pPr>
            <w:r w:rsidRPr="00727D6C">
              <w:rPr>
                <w:rFonts w:cs="Calibri"/>
                <w:i/>
                <w:iCs/>
                <w:sz w:val="16"/>
                <w:szCs w:val="16"/>
              </w:rPr>
              <w:t>je dána potřebou prostorové rezervy pro rozvoj ploch sjezdovek, jejich zázemí a souvisejícího vybavení nadmístního rekreačního areálu pro zimní sporty.</w:t>
            </w:r>
          </w:p>
        </w:tc>
      </w:tr>
      <w:tr w:rsidR="005B4528" w14:paraId="53577E89" w14:textId="77777777" w:rsidTr="00B53C19">
        <w:trPr>
          <w:trHeight w:val="225"/>
        </w:trPr>
        <w:tc>
          <w:tcPr>
            <w:tcW w:w="1984" w:type="dxa"/>
            <w:tcBorders>
              <w:top w:val="dashSmallGap" w:sz="4" w:space="0" w:color="auto"/>
              <w:left w:val="nil"/>
              <w:bottom w:val="dashSmallGap" w:sz="4" w:space="0" w:color="auto"/>
              <w:right w:val="nil"/>
            </w:tcBorders>
            <w:noWrap/>
            <w:vAlign w:val="bottom"/>
            <w:hideMark/>
          </w:tcPr>
          <w:p w14:paraId="28A5754C" w14:textId="77777777" w:rsidR="005B4528" w:rsidRPr="00727D6C" w:rsidRDefault="005B4528" w:rsidP="00B53C19">
            <w:pPr>
              <w:spacing w:line="257" w:lineRule="auto"/>
              <w:ind w:left="0"/>
              <w:contextualSpacing/>
              <w:jc w:val="left"/>
              <w:rPr>
                <w:rFonts w:cs="Calibri"/>
                <w:b/>
                <w:bCs/>
                <w:sz w:val="16"/>
                <w:szCs w:val="16"/>
                <w:lang w:eastAsia="en-US"/>
              </w:rPr>
            </w:pPr>
            <w:r w:rsidRPr="00727D6C">
              <w:rPr>
                <w:rFonts w:cs="Calibri"/>
                <w:b/>
                <w:bCs/>
                <w:sz w:val="16"/>
                <w:szCs w:val="16"/>
                <w:lang w:eastAsia="en-US"/>
              </w:rPr>
              <w:t>Celkem</w:t>
            </w:r>
          </w:p>
        </w:tc>
        <w:tc>
          <w:tcPr>
            <w:tcW w:w="1300" w:type="dxa"/>
            <w:tcBorders>
              <w:top w:val="dashSmallGap" w:sz="4" w:space="0" w:color="auto"/>
              <w:left w:val="nil"/>
              <w:bottom w:val="dashSmallGap" w:sz="4" w:space="0" w:color="auto"/>
              <w:right w:val="nil"/>
            </w:tcBorders>
            <w:noWrap/>
            <w:vAlign w:val="bottom"/>
            <w:hideMark/>
          </w:tcPr>
          <w:p w14:paraId="6E91A1F9" w14:textId="77777777" w:rsidR="005B4528" w:rsidRPr="00727D6C" w:rsidRDefault="005B4528" w:rsidP="00B53C19">
            <w:pPr>
              <w:spacing w:line="257" w:lineRule="auto"/>
              <w:contextualSpacing/>
              <w:jc w:val="center"/>
              <w:rPr>
                <w:rFonts w:cs="Calibri"/>
                <w:b/>
                <w:bCs/>
                <w:sz w:val="16"/>
                <w:szCs w:val="16"/>
                <w:lang w:eastAsia="en-US"/>
              </w:rPr>
            </w:pPr>
            <w:r w:rsidRPr="00727D6C">
              <w:rPr>
                <w:rFonts w:cs="Calibri"/>
                <w:b/>
                <w:bCs/>
                <w:sz w:val="16"/>
                <w:szCs w:val="16"/>
                <w:lang w:eastAsia="en-US"/>
              </w:rPr>
              <w:t> </w:t>
            </w:r>
          </w:p>
        </w:tc>
        <w:tc>
          <w:tcPr>
            <w:tcW w:w="3237" w:type="dxa"/>
            <w:tcBorders>
              <w:top w:val="dashSmallGap" w:sz="4" w:space="0" w:color="auto"/>
              <w:left w:val="nil"/>
              <w:bottom w:val="dashSmallGap" w:sz="4" w:space="0" w:color="auto"/>
              <w:right w:val="nil"/>
            </w:tcBorders>
            <w:noWrap/>
            <w:vAlign w:val="bottom"/>
            <w:hideMark/>
          </w:tcPr>
          <w:p w14:paraId="63FFC497" w14:textId="77777777" w:rsidR="005B4528" w:rsidRDefault="005B4528" w:rsidP="00B53C19">
            <w:pPr>
              <w:spacing w:line="257" w:lineRule="auto"/>
              <w:contextualSpacing/>
              <w:jc w:val="center"/>
              <w:rPr>
                <w:rFonts w:cs="Calibri"/>
                <w:b/>
                <w:bCs/>
                <w:sz w:val="16"/>
                <w:szCs w:val="16"/>
                <w:lang w:eastAsia="en-US"/>
              </w:rPr>
            </w:pPr>
            <w:r w:rsidRPr="00727D6C">
              <w:rPr>
                <w:rFonts w:cs="Calibri"/>
                <w:b/>
                <w:bCs/>
                <w:sz w:val="16"/>
                <w:szCs w:val="16"/>
                <w:lang w:eastAsia="en-US"/>
              </w:rPr>
              <w:t>1,779</w:t>
            </w:r>
          </w:p>
        </w:tc>
        <w:tc>
          <w:tcPr>
            <w:tcW w:w="1400" w:type="dxa"/>
            <w:tcBorders>
              <w:top w:val="dashSmallGap" w:sz="4" w:space="0" w:color="auto"/>
              <w:left w:val="nil"/>
              <w:bottom w:val="dashSmallGap" w:sz="4" w:space="0" w:color="auto"/>
              <w:right w:val="nil"/>
            </w:tcBorders>
            <w:noWrap/>
            <w:vAlign w:val="bottom"/>
          </w:tcPr>
          <w:p w14:paraId="6625CDDD" w14:textId="77777777" w:rsidR="005B4528" w:rsidRDefault="005B4528" w:rsidP="00B53C19">
            <w:pPr>
              <w:spacing w:line="257" w:lineRule="auto"/>
              <w:contextualSpacing/>
              <w:jc w:val="center"/>
              <w:rPr>
                <w:rFonts w:cs="Calibri"/>
                <w:sz w:val="16"/>
                <w:szCs w:val="16"/>
                <w:lang w:eastAsia="en-US"/>
              </w:rPr>
            </w:pPr>
          </w:p>
        </w:tc>
      </w:tr>
    </w:tbl>
    <w:p w14:paraId="5E9E3325" w14:textId="039ED638" w:rsidR="00C43737" w:rsidRDefault="00C43737" w:rsidP="005B4528">
      <w:pPr>
        <w:rPr>
          <w:highlight w:val="cyan"/>
        </w:rPr>
      </w:pPr>
    </w:p>
    <w:p w14:paraId="7F8CE57A" w14:textId="77777777" w:rsidR="00C43737" w:rsidRDefault="00C43737">
      <w:pPr>
        <w:spacing w:before="0" w:after="0"/>
        <w:ind w:left="0"/>
        <w:jc w:val="left"/>
        <w:rPr>
          <w:highlight w:val="cyan"/>
        </w:rPr>
      </w:pPr>
      <w:r>
        <w:rPr>
          <w:highlight w:val="cyan"/>
        </w:rPr>
        <w:br w:type="page"/>
      </w:r>
    </w:p>
    <w:p w14:paraId="761D096D" w14:textId="77777777" w:rsidR="005B4528" w:rsidRDefault="005B4528" w:rsidP="005B4528">
      <w:pPr>
        <w:ind w:hanging="425"/>
        <w:rPr>
          <w:u w:val="single"/>
        </w:rPr>
      </w:pPr>
      <w:r>
        <w:lastRenderedPageBreak/>
        <w:t>.3</w:t>
      </w:r>
      <w:r>
        <w:tab/>
      </w:r>
      <w:r>
        <w:rPr>
          <w:u w:val="single"/>
        </w:rPr>
        <w:t xml:space="preserve">Plochy veřejných prostranství </w:t>
      </w:r>
    </w:p>
    <w:p w14:paraId="2FB220F3" w14:textId="77777777" w:rsidR="005B4528" w:rsidRDefault="005B4528" w:rsidP="005B4528">
      <w:r>
        <w:t xml:space="preserve">Plochy transformační jsou vymezeny v návaznosti na stávající plochy veřejných prostranství a návrhové plochy zabezpečující jejich napojení na veřejnou infrastrukturu. </w:t>
      </w:r>
    </w:p>
    <w:p w14:paraId="1EAFD9E9" w14:textId="77777777" w:rsidR="005B4528" w:rsidRDefault="005B4528" w:rsidP="005B4528">
      <w:r>
        <w:t>Zábory ZPF jsou na půdách II. a V. třídy ochrany, teda průměrné a podprůměrné půdy.</w:t>
      </w:r>
    </w:p>
    <w:p w14:paraId="63316EBA" w14:textId="77777777" w:rsidR="005B4528" w:rsidRDefault="005B4528" w:rsidP="005B4528">
      <w:pPr>
        <w:rPr>
          <w:highlight w:val="cyan"/>
        </w:rPr>
      </w:pPr>
      <w:r>
        <w:t xml:space="preserve">Celkem je pro zastavitelné veřejné infrastruktury všeobecné (PU) vymezen zábor ZPF </w:t>
      </w:r>
      <w:r>
        <w:rPr>
          <w:b/>
          <w:bCs/>
        </w:rPr>
        <w:t>0,208 ha</w:t>
      </w:r>
      <w:r>
        <w:t>.</w:t>
      </w:r>
    </w:p>
    <w:p w14:paraId="7A71CD4D" w14:textId="77777777" w:rsidR="005B4528" w:rsidRDefault="005B4528" w:rsidP="005B4528">
      <w:pPr>
        <w:rPr>
          <w:highlight w:val="cyan"/>
        </w:rPr>
      </w:pPr>
    </w:p>
    <w:tbl>
      <w:tblPr>
        <w:tblW w:w="7780" w:type="dxa"/>
        <w:tblInd w:w="851" w:type="dxa"/>
        <w:tblBorders>
          <w:top w:val="dashSmallGap" w:sz="4" w:space="0" w:color="auto"/>
          <w:bottom w:val="dashSmallGap" w:sz="4" w:space="0" w:color="auto"/>
          <w:insideH w:val="dashSmallGap" w:sz="4" w:space="0" w:color="auto"/>
        </w:tblBorders>
        <w:tblCellMar>
          <w:left w:w="70" w:type="dxa"/>
          <w:right w:w="70" w:type="dxa"/>
        </w:tblCellMar>
        <w:tblLook w:val="04A0" w:firstRow="1" w:lastRow="0" w:firstColumn="1" w:lastColumn="0" w:noHBand="0" w:noVBand="1"/>
      </w:tblPr>
      <w:tblGrid>
        <w:gridCol w:w="1984"/>
        <w:gridCol w:w="1300"/>
        <w:gridCol w:w="3095"/>
        <w:gridCol w:w="1401"/>
      </w:tblGrid>
      <w:tr w:rsidR="005B4528" w:rsidRPr="00B53C19" w14:paraId="60BF76F9" w14:textId="77777777" w:rsidTr="00B53C19">
        <w:trPr>
          <w:trHeight w:val="225"/>
        </w:trPr>
        <w:tc>
          <w:tcPr>
            <w:tcW w:w="1984" w:type="dxa"/>
            <w:tcBorders>
              <w:top w:val="dashSmallGap" w:sz="4" w:space="0" w:color="auto"/>
              <w:left w:val="nil"/>
              <w:bottom w:val="dashSmallGap" w:sz="4" w:space="0" w:color="auto"/>
              <w:right w:val="nil"/>
            </w:tcBorders>
            <w:vAlign w:val="center"/>
            <w:hideMark/>
          </w:tcPr>
          <w:p w14:paraId="7ADE0D36" w14:textId="77777777" w:rsidR="005B4528" w:rsidRPr="00B53C19" w:rsidRDefault="005B4528" w:rsidP="00B53C19">
            <w:pPr>
              <w:spacing w:line="257" w:lineRule="auto"/>
              <w:ind w:left="0"/>
              <w:contextualSpacing/>
              <w:jc w:val="left"/>
              <w:rPr>
                <w:rFonts w:cs="Calibri"/>
                <w:b/>
                <w:bCs/>
                <w:sz w:val="16"/>
                <w:szCs w:val="16"/>
                <w:lang w:eastAsia="en-US"/>
              </w:rPr>
            </w:pPr>
            <w:r w:rsidRPr="00B53C19">
              <w:rPr>
                <w:rFonts w:cs="Calibri"/>
                <w:b/>
                <w:bCs/>
                <w:sz w:val="16"/>
                <w:szCs w:val="16"/>
                <w:lang w:eastAsia="en-US"/>
              </w:rPr>
              <w:t>označení plochy</w:t>
            </w:r>
          </w:p>
        </w:tc>
        <w:tc>
          <w:tcPr>
            <w:tcW w:w="1300" w:type="dxa"/>
            <w:tcBorders>
              <w:top w:val="dashSmallGap" w:sz="4" w:space="0" w:color="auto"/>
              <w:left w:val="nil"/>
              <w:bottom w:val="dashSmallGap" w:sz="4" w:space="0" w:color="auto"/>
              <w:right w:val="nil"/>
            </w:tcBorders>
            <w:vAlign w:val="center"/>
            <w:hideMark/>
          </w:tcPr>
          <w:p w14:paraId="33ADD5C4" w14:textId="77777777" w:rsidR="005B4528" w:rsidRPr="00B53C19" w:rsidRDefault="005B4528" w:rsidP="00B53C19">
            <w:pPr>
              <w:spacing w:line="257" w:lineRule="auto"/>
              <w:contextualSpacing/>
              <w:jc w:val="center"/>
              <w:rPr>
                <w:rFonts w:cs="Calibri"/>
                <w:b/>
                <w:bCs/>
                <w:sz w:val="16"/>
                <w:szCs w:val="16"/>
                <w:lang w:eastAsia="en-US"/>
              </w:rPr>
            </w:pPr>
            <w:r w:rsidRPr="00B53C19">
              <w:rPr>
                <w:rFonts w:cs="Calibri"/>
                <w:b/>
                <w:bCs/>
                <w:sz w:val="16"/>
                <w:szCs w:val="16"/>
                <w:lang w:eastAsia="en-US"/>
              </w:rPr>
              <w:t>využití</w:t>
            </w:r>
          </w:p>
        </w:tc>
        <w:tc>
          <w:tcPr>
            <w:tcW w:w="3095" w:type="dxa"/>
            <w:tcBorders>
              <w:top w:val="dashSmallGap" w:sz="4" w:space="0" w:color="auto"/>
              <w:left w:val="nil"/>
              <w:bottom w:val="dashSmallGap" w:sz="4" w:space="0" w:color="auto"/>
              <w:right w:val="nil"/>
            </w:tcBorders>
            <w:vAlign w:val="center"/>
            <w:hideMark/>
          </w:tcPr>
          <w:p w14:paraId="2EEE9180" w14:textId="77777777" w:rsidR="005B4528" w:rsidRPr="00B53C19" w:rsidRDefault="005B4528" w:rsidP="00B53C19">
            <w:pPr>
              <w:spacing w:line="257" w:lineRule="auto"/>
              <w:contextualSpacing/>
              <w:jc w:val="center"/>
              <w:rPr>
                <w:rFonts w:cs="Calibri"/>
                <w:b/>
                <w:bCs/>
                <w:sz w:val="16"/>
                <w:szCs w:val="16"/>
                <w:lang w:eastAsia="en-US"/>
              </w:rPr>
            </w:pPr>
            <w:r w:rsidRPr="00B53C19">
              <w:rPr>
                <w:rFonts w:cs="Calibri"/>
                <w:b/>
                <w:bCs/>
                <w:sz w:val="16"/>
                <w:szCs w:val="16"/>
                <w:lang w:eastAsia="en-US"/>
              </w:rPr>
              <w:t>(ha)</w:t>
            </w:r>
          </w:p>
        </w:tc>
        <w:tc>
          <w:tcPr>
            <w:tcW w:w="1400" w:type="dxa"/>
            <w:tcBorders>
              <w:top w:val="dashSmallGap" w:sz="4" w:space="0" w:color="auto"/>
              <w:left w:val="nil"/>
              <w:bottom w:val="dashSmallGap" w:sz="4" w:space="0" w:color="auto"/>
              <w:right w:val="nil"/>
            </w:tcBorders>
            <w:noWrap/>
            <w:vAlign w:val="bottom"/>
            <w:hideMark/>
          </w:tcPr>
          <w:p w14:paraId="1150B86A" w14:textId="77777777" w:rsidR="005B4528" w:rsidRPr="00B53C19" w:rsidRDefault="005B4528" w:rsidP="00B53C19">
            <w:pPr>
              <w:spacing w:line="257" w:lineRule="auto"/>
              <w:ind w:left="0"/>
              <w:contextualSpacing/>
              <w:jc w:val="left"/>
              <w:rPr>
                <w:rFonts w:cs="Calibri"/>
                <w:b/>
                <w:bCs/>
                <w:sz w:val="16"/>
                <w:szCs w:val="16"/>
                <w:lang w:eastAsia="en-US"/>
              </w:rPr>
            </w:pPr>
            <w:r w:rsidRPr="00B53C19">
              <w:rPr>
                <w:rFonts w:cs="Calibri"/>
                <w:b/>
                <w:bCs/>
                <w:sz w:val="16"/>
                <w:szCs w:val="16"/>
                <w:lang w:eastAsia="en-US"/>
              </w:rPr>
              <w:t>třída ochrany ZPF</w:t>
            </w:r>
          </w:p>
        </w:tc>
      </w:tr>
      <w:tr w:rsidR="005B4528" w:rsidRPr="00B53C19" w14:paraId="30913413" w14:textId="77777777" w:rsidTr="00B53C19">
        <w:trPr>
          <w:trHeight w:val="225"/>
        </w:trPr>
        <w:tc>
          <w:tcPr>
            <w:tcW w:w="1984" w:type="dxa"/>
            <w:tcBorders>
              <w:top w:val="dashSmallGap" w:sz="4" w:space="0" w:color="auto"/>
              <w:left w:val="nil"/>
              <w:bottom w:val="nil"/>
              <w:right w:val="nil"/>
            </w:tcBorders>
            <w:noWrap/>
            <w:vAlign w:val="bottom"/>
            <w:hideMark/>
          </w:tcPr>
          <w:p w14:paraId="2C441EB3" w14:textId="77777777" w:rsidR="005B4528" w:rsidRPr="00B53C19" w:rsidRDefault="005B4528" w:rsidP="00B53C19">
            <w:pPr>
              <w:spacing w:line="257" w:lineRule="auto"/>
              <w:ind w:left="0"/>
              <w:contextualSpacing/>
              <w:jc w:val="left"/>
              <w:rPr>
                <w:rFonts w:cs="Calibri"/>
                <w:b/>
                <w:bCs/>
                <w:sz w:val="16"/>
                <w:szCs w:val="16"/>
                <w:lang w:eastAsia="en-US"/>
              </w:rPr>
            </w:pPr>
            <w:r w:rsidRPr="00B53C19">
              <w:rPr>
                <w:rFonts w:cs="Calibri"/>
                <w:b/>
                <w:bCs/>
                <w:sz w:val="16"/>
                <w:szCs w:val="16"/>
                <w:lang w:eastAsia="en-US"/>
              </w:rPr>
              <w:t>T.03-1</w:t>
            </w:r>
          </w:p>
        </w:tc>
        <w:tc>
          <w:tcPr>
            <w:tcW w:w="1300" w:type="dxa"/>
            <w:tcBorders>
              <w:top w:val="dashSmallGap" w:sz="4" w:space="0" w:color="auto"/>
              <w:left w:val="nil"/>
              <w:bottom w:val="nil"/>
              <w:right w:val="nil"/>
            </w:tcBorders>
            <w:noWrap/>
            <w:vAlign w:val="bottom"/>
            <w:hideMark/>
          </w:tcPr>
          <w:p w14:paraId="4C5A969D" w14:textId="77777777" w:rsidR="005B4528" w:rsidRPr="00B53C19" w:rsidRDefault="005B4528" w:rsidP="00B53C19">
            <w:pPr>
              <w:spacing w:line="257" w:lineRule="auto"/>
              <w:contextualSpacing/>
              <w:jc w:val="center"/>
              <w:rPr>
                <w:rFonts w:cs="Calibri"/>
                <w:b/>
                <w:bCs/>
                <w:sz w:val="16"/>
                <w:szCs w:val="16"/>
                <w:lang w:eastAsia="en-US"/>
              </w:rPr>
            </w:pPr>
            <w:r w:rsidRPr="00B53C19">
              <w:rPr>
                <w:rFonts w:cs="Calibri"/>
                <w:b/>
                <w:bCs/>
                <w:sz w:val="16"/>
                <w:szCs w:val="16"/>
                <w:lang w:eastAsia="en-US"/>
              </w:rPr>
              <w:t>PU</w:t>
            </w:r>
          </w:p>
        </w:tc>
        <w:tc>
          <w:tcPr>
            <w:tcW w:w="3095" w:type="dxa"/>
            <w:tcBorders>
              <w:top w:val="dashSmallGap" w:sz="4" w:space="0" w:color="auto"/>
              <w:left w:val="nil"/>
              <w:bottom w:val="nil"/>
              <w:right w:val="nil"/>
            </w:tcBorders>
            <w:noWrap/>
            <w:vAlign w:val="bottom"/>
            <w:hideMark/>
          </w:tcPr>
          <w:p w14:paraId="4A50D9DB" w14:textId="77777777" w:rsidR="005B4528" w:rsidRPr="00B53C19" w:rsidRDefault="005B4528" w:rsidP="00B53C19">
            <w:pPr>
              <w:spacing w:line="257" w:lineRule="auto"/>
              <w:contextualSpacing/>
              <w:jc w:val="center"/>
              <w:rPr>
                <w:rFonts w:cs="Calibri"/>
                <w:b/>
                <w:bCs/>
                <w:sz w:val="16"/>
                <w:szCs w:val="16"/>
                <w:lang w:eastAsia="en-US"/>
              </w:rPr>
            </w:pPr>
            <w:r w:rsidRPr="00B53C19">
              <w:rPr>
                <w:rFonts w:cs="Calibri"/>
                <w:b/>
                <w:bCs/>
                <w:sz w:val="16"/>
                <w:szCs w:val="16"/>
                <w:lang w:eastAsia="en-US"/>
              </w:rPr>
              <w:t>0,027</w:t>
            </w:r>
          </w:p>
        </w:tc>
        <w:tc>
          <w:tcPr>
            <w:tcW w:w="1400" w:type="dxa"/>
            <w:tcBorders>
              <w:top w:val="dashSmallGap" w:sz="4" w:space="0" w:color="auto"/>
              <w:left w:val="nil"/>
              <w:bottom w:val="nil"/>
              <w:right w:val="nil"/>
            </w:tcBorders>
            <w:noWrap/>
            <w:vAlign w:val="bottom"/>
            <w:hideMark/>
          </w:tcPr>
          <w:p w14:paraId="1AC271B7" w14:textId="77777777" w:rsidR="005B4528" w:rsidRPr="00B53C19" w:rsidRDefault="005B4528" w:rsidP="00B53C19">
            <w:pPr>
              <w:spacing w:line="257" w:lineRule="auto"/>
              <w:contextualSpacing/>
              <w:jc w:val="center"/>
              <w:rPr>
                <w:rFonts w:cs="Calibri"/>
                <w:b/>
                <w:bCs/>
                <w:sz w:val="16"/>
                <w:szCs w:val="16"/>
                <w:lang w:eastAsia="en-US"/>
              </w:rPr>
            </w:pPr>
            <w:r w:rsidRPr="00B53C19">
              <w:rPr>
                <w:rFonts w:cs="Calibri"/>
                <w:b/>
                <w:bCs/>
                <w:sz w:val="16"/>
                <w:szCs w:val="16"/>
                <w:lang w:eastAsia="en-US"/>
              </w:rPr>
              <w:t>V.</w:t>
            </w:r>
          </w:p>
        </w:tc>
      </w:tr>
      <w:tr w:rsidR="005B4528" w14:paraId="22898A97" w14:textId="77777777" w:rsidTr="00B53C19">
        <w:trPr>
          <w:trHeight w:val="225"/>
        </w:trPr>
        <w:tc>
          <w:tcPr>
            <w:tcW w:w="7780" w:type="dxa"/>
            <w:gridSpan w:val="4"/>
            <w:tcBorders>
              <w:top w:val="nil"/>
              <w:left w:val="nil"/>
              <w:bottom w:val="dashSmallGap" w:sz="4" w:space="0" w:color="auto"/>
              <w:right w:val="nil"/>
            </w:tcBorders>
            <w:noWrap/>
            <w:vAlign w:val="center"/>
          </w:tcPr>
          <w:p w14:paraId="4D879864" w14:textId="77777777" w:rsidR="005B4528" w:rsidRPr="00AD02F5" w:rsidRDefault="005B4528" w:rsidP="00B53C19">
            <w:pPr>
              <w:spacing w:line="257" w:lineRule="auto"/>
              <w:ind w:left="0"/>
              <w:contextualSpacing/>
              <w:jc w:val="left"/>
              <w:rPr>
                <w:rFonts w:cs="Calibri"/>
                <w:b/>
                <w:bCs/>
                <w:i/>
                <w:iCs/>
                <w:sz w:val="16"/>
                <w:szCs w:val="16"/>
                <w:lang w:eastAsia="en-US"/>
              </w:rPr>
            </w:pPr>
            <w:r w:rsidRPr="00AD02F5">
              <w:rPr>
                <w:rFonts w:cs="Calibri"/>
                <w:b/>
                <w:bCs/>
                <w:i/>
                <w:iCs/>
                <w:sz w:val="16"/>
                <w:szCs w:val="16"/>
                <w:lang w:eastAsia="en-US"/>
              </w:rPr>
              <w:t xml:space="preserve">zdůvodnění vymezení: </w:t>
            </w:r>
          </w:p>
          <w:p w14:paraId="65EE05D9" w14:textId="77777777" w:rsidR="005B4528" w:rsidRDefault="005B4528">
            <w:pPr>
              <w:pStyle w:val="Odstavecseseznamem"/>
              <w:numPr>
                <w:ilvl w:val="0"/>
                <w:numId w:val="35"/>
              </w:numPr>
              <w:spacing w:before="0" w:after="0" w:line="257" w:lineRule="auto"/>
              <w:ind w:left="215" w:hanging="142"/>
              <w:jc w:val="left"/>
              <w:rPr>
                <w:rFonts w:cs="Calibri"/>
                <w:i/>
                <w:iCs/>
                <w:sz w:val="16"/>
                <w:szCs w:val="16"/>
              </w:rPr>
            </w:pPr>
            <w:r w:rsidRPr="00B754C6">
              <w:rPr>
                <w:rFonts w:cs="Calibri"/>
                <w:i/>
                <w:iCs/>
                <w:sz w:val="16"/>
                <w:szCs w:val="16"/>
              </w:rPr>
              <w:t xml:space="preserve">plocha je součástí zastavěného území obce, </w:t>
            </w:r>
          </w:p>
          <w:p w14:paraId="776347A5" w14:textId="77777777" w:rsidR="005B4528" w:rsidRDefault="005B4528">
            <w:pPr>
              <w:pStyle w:val="Odstavecseseznamem"/>
              <w:numPr>
                <w:ilvl w:val="0"/>
                <w:numId w:val="35"/>
              </w:numPr>
              <w:spacing w:before="0" w:after="0" w:line="257" w:lineRule="auto"/>
              <w:ind w:left="215" w:hanging="142"/>
              <w:jc w:val="left"/>
              <w:rPr>
                <w:rFonts w:cs="Calibri"/>
                <w:i/>
                <w:iCs/>
                <w:sz w:val="16"/>
                <w:szCs w:val="16"/>
              </w:rPr>
            </w:pPr>
            <w:r w:rsidRPr="00AD02F5">
              <w:rPr>
                <w:rFonts w:cs="Calibri"/>
                <w:i/>
                <w:iCs/>
                <w:sz w:val="16"/>
                <w:szCs w:val="16"/>
              </w:rPr>
              <w:t>plocha neslouží k zemědělskému využití,</w:t>
            </w:r>
          </w:p>
          <w:p w14:paraId="36C081C6" w14:textId="77777777" w:rsidR="005B4528" w:rsidRDefault="005B4528">
            <w:pPr>
              <w:pStyle w:val="Odstavecseseznamem"/>
              <w:numPr>
                <w:ilvl w:val="0"/>
                <w:numId w:val="35"/>
              </w:numPr>
              <w:spacing w:before="0" w:after="0" w:line="257" w:lineRule="auto"/>
              <w:ind w:left="215" w:hanging="142"/>
              <w:jc w:val="left"/>
              <w:rPr>
                <w:rFonts w:cs="Calibri"/>
                <w:i/>
                <w:iCs/>
                <w:sz w:val="16"/>
                <w:szCs w:val="16"/>
              </w:rPr>
            </w:pPr>
            <w:r>
              <w:rPr>
                <w:rFonts w:cs="Calibri"/>
                <w:i/>
                <w:iCs/>
                <w:sz w:val="16"/>
                <w:szCs w:val="16"/>
              </w:rPr>
              <w:t>plocha slouží k zajištění dostatečné šířky plochy veřejného prostranství pro obslužnou komunikaci pro dopravní napojení ploch smíšených obytných transformační plochy T.03-1,</w:t>
            </w:r>
          </w:p>
          <w:p w14:paraId="123F5416" w14:textId="77777777" w:rsidR="005B4528" w:rsidRPr="00AD02F5" w:rsidRDefault="005B4528">
            <w:pPr>
              <w:pStyle w:val="Odstavecseseznamem"/>
              <w:numPr>
                <w:ilvl w:val="0"/>
                <w:numId w:val="35"/>
              </w:numPr>
              <w:spacing w:before="0" w:after="0" w:line="257" w:lineRule="auto"/>
              <w:ind w:left="215" w:hanging="142"/>
              <w:jc w:val="left"/>
              <w:rPr>
                <w:rFonts w:cs="Calibri"/>
                <w:i/>
                <w:iCs/>
                <w:sz w:val="16"/>
                <w:szCs w:val="16"/>
              </w:rPr>
            </w:pPr>
            <w:r w:rsidRPr="00B754C6">
              <w:rPr>
                <w:rFonts w:cs="Calibri"/>
                <w:i/>
                <w:iCs/>
                <w:sz w:val="16"/>
                <w:szCs w:val="16"/>
              </w:rPr>
              <w:t>plocha tvoří zábor pouze velmi málo produkčních půd (V. třída ochrany ZPF)</w:t>
            </w:r>
            <w:r>
              <w:rPr>
                <w:rFonts w:cs="Calibri"/>
                <w:i/>
                <w:iCs/>
                <w:sz w:val="16"/>
                <w:szCs w:val="16"/>
              </w:rPr>
              <w:t>.</w:t>
            </w:r>
          </w:p>
        </w:tc>
      </w:tr>
      <w:tr w:rsidR="005B4528" w:rsidRPr="00B53C19" w14:paraId="04B99F37" w14:textId="77777777" w:rsidTr="00B53C19">
        <w:trPr>
          <w:trHeight w:val="225"/>
        </w:trPr>
        <w:tc>
          <w:tcPr>
            <w:tcW w:w="1984" w:type="dxa"/>
            <w:tcBorders>
              <w:top w:val="dashSmallGap" w:sz="4" w:space="0" w:color="auto"/>
              <w:left w:val="nil"/>
              <w:bottom w:val="nil"/>
              <w:right w:val="nil"/>
            </w:tcBorders>
            <w:noWrap/>
            <w:vAlign w:val="bottom"/>
            <w:hideMark/>
          </w:tcPr>
          <w:p w14:paraId="119677FC" w14:textId="77777777" w:rsidR="005B4528" w:rsidRPr="00B53C19" w:rsidRDefault="005B4528" w:rsidP="00B53C19">
            <w:pPr>
              <w:spacing w:line="257" w:lineRule="auto"/>
              <w:ind w:left="0"/>
              <w:contextualSpacing/>
              <w:jc w:val="left"/>
              <w:rPr>
                <w:rFonts w:cs="Calibri"/>
                <w:b/>
                <w:bCs/>
                <w:sz w:val="16"/>
                <w:szCs w:val="16"/>
                <w:lang w:eastAsia="en-US"/>
              </w:rPr>
            </w:pPr>
            <w:r w:rsidRPr="00B53C19">
              <w:rPr>
                <w:rFonts w:cs="Calibri"/>
                <w:b/>
                <w:bCs/>
                <w:sz w:val="16"/>
                <w:szCs w:val="16"/>
                <w:lang w:eastAsia="en-US"/>
              </w:rPr>
              <w:t>T.09-1</w:t>
            </w:r>
          </w:p>
        </w:tc>
        <w:tc>
          <w:tcPr>
            <w:tcW w:w="1300" w:type="dxa"/>
            <w:tcBorders>
              <w:top w:val="dashSmallGap" w:sz="4" w:space="0" w:color="auto"/>
              <w:left w:val="nil"/>
              <w:bottom w:val="nil"/>
              <w:right w:val="nil"/>
            </w:tcBorders>
            <w:noWrap/>
            <w:vAlign w:val="bottom"/>
            <w:hideMark/>
          </w:tcPr>
          <w:p w14:paraId="5485A9B4" w14:textId="77777777" w:rsidR="005B4528" w:rsidRPr="00B53C19" w:rsidRDefault="005B4528" w:rsidP="00B53C19">
            <w:pPr>
              <w:spacing w:line="257" w:lineRule="auto"/>
              <w:contextualSpacing/>
              <w:jc w:val="center"/>
              <w:rPr>
                <w:rFonts w:cs="Calibri"/>
                <w:b/>
                <w:bCs/>
                <w:sz w:val="16"/>
                <w:szCs w:val="16"/>
                <w:lang w:eastAsia="en-US"/>
              </w:rPr>
            </w:pPr>
            <w:r w:rsidRPr="00B53C19">
              <w:rPr>
                <w:rFonts w:cs="Calibri"/>
                <w:b/>
                <w:bCs/>
                <w:sz w:val="16"/>
                <w:szCs w:val="16"/>
                <w:lang w:eastAsia="en-US"/>
              </w:rPr>
              <w:t>PU</w:t>
            </w:r>
          </w:p>
        </w:tc>
        <w:tc>
          <w:tcPr>
            <w:tcW w:w="3095" w:type="dxa"/>
            <w:tcBorders>
              <w:top w:val="dashSmallGap" w:sz="4" w:space="0" w:color="auto"/>
              <w:left w:val="nil"/>
              <w:bottom w:val="nil"/>
              <w:right w:val="nil"/>
            </w:tcBorders>
            <w:noWrap/>
            <w:vAlign w:val="bottom"/>
            <w:hideMark/>
          </w:tcPr>
          <w:p w14:paraId="26CC5035" w14:textId="77777777" w:rsidR="005B4528" w:rsidRPr="00B53C19" w:rsidRDefault="005B4528" w:rsidP="00B53C19">
            <w:pPr>
              <w:spacing w:line="257" w:lineRule="auto"/>
              <w:contextualSpacing/>
              <w:jc w:val="center"/>
              <w:rPr>
                <w:rFonts w:cs="Calibri"/>
                <w:b/>
                <w:bCs/>
                <w:sz w:val="16"/>
                <w:szCs w:val="16"/>
                <w:lang w:eastAsia="en-US"/>
              </w:rPr>
            </w:pPr>
            <w:r w:rsidRPr="00B53C19">
              <w:rPr>
                <w:rFonts w:cs="Calibri"/>
                <w:b/>
                <w:bCs/>
                <w:sz w:val="16"/>
                <w:szCs w:val="16"/>
                <w:lang w:eastAsia="en-US"/>
              </w:rPr>
              <w:t>0,181</w:t>
            </w:r>
          </w:p>
        </w:tc>
        <w:tc>
          <w:tcPr>
            <w:tcW w:w="1400" w:type="dxa"/>
            <w:tcBorders>
              <w:top w:val="dashSmallGap" w:sz="4" w:space="0" w:color="auto"/>
              <w:left w:val="nil"/>
              <w:bottom w:val="nil"/>
              <w:right w:val="nil"/>
            </w:tcBorders>
            <w:noWrap/>
            <w:vAlign w:val="bottom"/>
            <w:hideMark/>
          </w:tcPr>
          <w:p w14:paraId="072DD7BA" w14:textId="77777777" w:rsidR="005B4528" w:rsidRPr="00B53C19" w:rsidRDefault="005B4528" w:rsidP="00B53C19">
            <w:pPr>
              <w:spacing w:line="257" w:lineRule="auto"/>
              <w:contextualSpacing/>
              <w:jc w:val="center"/>
              <w:rPr>
                <w:rFonts w:cs="Calibri"/>
                <w:b/>
                <w:bCs/>
                <w:sz w:val="16"/>
                <w:szCs w:val="16"/>
                <w:lang w:eastAsia="en-US"/>
              </w:rPr>
            </w:pPr>
            <w:r w:rsidRPr="00B53C19">
              <w:rPr>
                <w:rFonts w:cs="Calibri"/>
                <w:b/>
                <w:bCs/>
                <w:sz w:val="16"/>
                <w:szCs w:val="16"/>
                <w:lang w:eastAsia="en-US"/>
              </w:rPr>
              <w:t>II.</w:t>
            </w:r>
          </w:p>
        </w:tc>
      </w:tr>
      <w:tr w:rsidR="005B4528" w14:paraId="7228E674" w14:textId="77777777" w:rsidTr="00B53C19">
        <w:trPr>
          <w:trHeight w:val="225"/>
        </w:trPr>
        <w:tc>
          <w:tcPr>
            <w:tcW w:w="7780" w:type="dxa"/>
            <w:gridSpan w:val="4"/>
            <w:tcBorders>
              <w:top w:val="nil"/>
              <w:left w:val="nil"/>
              <w:bottom w:val="dashSmallGap" w:sz="4" w:space="0" w:color="auto"/>
              <w:right w:val="nil"/>
            </w:tcBorders>
            <w:noWrap/>
            <w:vAlign w:val="bottom"/>
          </w:tcPr>
          <w:p w14:paraId="601DADA3" w14:textId="77777777" w:rsidR="005B4528" w:rsidRPr="00AD02F5" w:rsidRDefault="005B4528" w:rsidP="00B53C19">
            <w:pPr>
              <w:spacing w:line="257" w:lineRule="auto"/>
              <w:ind w:left="0"/>
              <w:contextualSpacing/>
              <w:jc w:val="left"/>
              <w:rPr>
                <w:rFonts w:cs="Calibri"/>
                <w:b/>
                <w:bCs/>
                <w:i/>
                <w:iCs/>
                <w:sz w:val="16"/>
                <w:szCs w:val="16"/>
                <w:lang w:eastAsia="en-US"/>
              </w:rPr>
            </w:pPr>
            <w:r w:rsidRPr="00AD02F5">
              <w:rPr>
                <w:rFonts w:cs="Calibri"/>
                <w:b/>
                <w:bCs/>
                <w:i/>
                <w:iCs/>
                <w:sz w:val="16"/>
                <w:szCs w:val="16"/>
                <w:lang w:eastAsia="en-US"/>
              </w:rPr>
              <w:t xml:space="preserve">zdůvodnění vymezení: </w:t>
            </w:r>
          </w:p>
          <w:p w14:paraId="6D9B29F1" w14:textId="77777777" w:rsidR="005B4528" w:rsidRDefault="005B4528">
            <w:pPr>
              <w:pStyle w:val="Odstavecseseznamem"/>
              <w:numPr>
                <w:ilvl w:val="0"/>
                <w:numId w:val="35"/>
              </w:numPr>
              <w:spacing w:before="0" w:after="0" w:line="257" w:lineRule="auto"/>
              <w:ind w:left="215" w:hanging="142"/>
              <w:jc w:val="left"/>
              <w:rPr>
                <w:rFonts w:cs="Calibri"/>
                <w:i/>
                <w:iCs/>
                <w:sz w:val="16"/>
                <w:szCs w:val="16"/>
              </w:rPr>
            </w:pPr>
            <w:r w:rsidRPr="00B754C6">
              <w:rPr>
                <w:rFonts w:cs="Calibri"/>
                <w:i/>
                <w:iCs/>
                <w:sz w:val="16"/>
                <w:szCs w:val="16"/>
              </w:rPr>
              <w:t xml:space="preserve">plocha je součástí zastavěného území obce, </w:t>
            </w:r>
          </w:p>
          <w:p w14:paraId="74A4F9AF" w14:textId="77777777" w:rsidR="005B4528" w:rsidRDefault="005B4528">
            <w:pPr>
              <w:pStyle w:val="Odstavecseseznamem"/>
              <w:numPr>
                <w:ilvl w:val="0"/>
                <w:numId w:val="35"/>
              </w:numPr>
              <w:spacing w:before="0" w:after="0" w:line="257" w:lineRule="auto"/>
              <w:ind w:left="215" w:hanging="142"/>
              <w:jc w:val="left"/>
              <w:rPr>
                <w:rFonts w:cs="Calibri"/>
                <w:i/>
                <w:iCs/>
                <w:sz w:val="16"/>
                <w:szCs w:val="16"/>
              </w:rPr>
            </w:pPr>
            <w:r w:rsidRPr="00AD02F5">
              <w:rPr>
                <w:rFonts w:cs="Calibri"/>
                <w:i/>
                <w:iCs/>
                <w:sz w:val="16"/>
                <w:szCs w:val="16"/>
              </w:rPr>
              <w:t>plocha neslouží k zemědělskému využití,</w:t>
            </w:r>
          </w:p>
          <w:p w14:paraId="780BA795" w14:textId="77777777" w:rsidR="005B4528" w:rsidRPr="00AD02F5" w:rsidRDefault="005B4528">
            <w:pPr>
              <w:pStyle w:val="Odstavecseseznamem"/>
              <w:numPr>
                <w:ilvl w:val="0"/>
                <w:numId w:val="35"/>
              </w:numPr>
              <w:spacing w:before="0" w:after="0" w:line="257" w:lineRule="auto"/>
              <w:ind w:left="215" w:hanging="142"/>
              <w:jc w:val="left"/>
              <w:rPr>
                <w:rFonts w:cs="Calibri"/>
                <w:i/>
                <w:iCs/>
                <w:sz w:val="16"/>
                <w:szCs w:val="16"/>
              </w:rPr>
            </w:pPr>
            <w:r w:rsidRPr="00AD02F5">
              <w:rPr>
                <w:rFonts w:cs="Calibri"/>
                <w:i/>
                <w:iCs/>
                <w:sz w:val="16"/>
                <w:szCs w:val="16"/>
              </w:rPr>
              <w:t xml:space="preserve">plocha slouží k zajištění </w:t>
            </w:r>
            <w:r>
              <w:rPr>
                <w:rFonts w:cs="Calibri"/>
                <w:i/>
                <w:iCs/>
                <w:sz w:val="16"/>
                <w:szCs w:val="16"/>
              </w:rPr>
              <w:t>vedení místní komunikace pro obsluhu ploch smíšených obytných transformační plochy</w:t>
            </w:r>
            <w:r w:rsidRPr="00AD02F5">
              <w:rPr>
                <w:rFonts w:cs="Calibri"/>
                <w:i/>
                <w:iCs/>
                <w:sz w:val="16"/>
                <w:szCs w:val="16"/>
              </w:rPr>
              <w:t xml:space="preserve"> T.0</w:t>
            </w:r>
            <w:r>
              <w:rPr>
                <w:rFonts w:cs="Calibri"/>
                <w:i/>
                <w:iCs/>
                <w:sz w:val="16"/>
                <w:szCs w:val="16"/>
              </w:rPr>
              <w:t>9</w:t>
            </w:r>
            <w:r w:rsidRPr="00AD02F5">
              <w:rPr>
                <w:rFonts w:cs="Calibri"/>
                <w:i/>
                <w:iCs/>
                <w:sz w:val="16"/>
                <w:szCs w:val="16"/>
              </w:rPr>
              <w:t>-1</w:t>
            </w:r>
            <w:r>
              <w:rPr>
                <w:rFonts w:cs="Calibri"/>
                <w:i/>
                <w:iCs/>
                <w:sz w:val="16"/>
                <w:szCs w:val="16"/>
              </w:rPr>
              <w:t>, veřejným zájmem je zajištění prostupnosti území a obsluha navazujících ploch.</w:t>
            </w:r>
          </w:p>
        </w:tc>
      </w:tr>
      <w:tr w:rsidR="005B4528" w14:paraId="6EE72554" w14:textId="77777777" w:rsidTr="00B53C19">
        <w:trPr>
          <w:trHeight w:val="225"/>
        </w:trPr>
        <w:tc>
          <w:tcPr>
            <w:tcW w:w="1984" w:type="dxa"/>
            <w:tcBorders>
              <w:top w:val="dashSmallGap" w:sz="4" w:space="0" w:color="auto"/>
              <w:left w:val="nil"/>
              <w:bottom w:val="dashSmallGap" w:sz="4" w:space="0" w:color="auto"/>
              <w:right w:val="nil"/>
            </w:tcBorders>
            <w:noWrap/>
            <w:vAlign w:val="bottom"/>
            <w:hideMark/>
          </w:tcPr>
          <w:p w14:paraId="261DDC90" w14:textId="77777777" w:rsidR="005B4528" w:rsidRDefault="005B4528" w:rsidP="00B53C19">
            <w:pPr>
              <w:spacing w:line="257" w:lineRule="auto"/>
              <w:ind w:left="0"/>
              <w:contextualSpacing/>
              <w:jc w:val="left"/>
              <w:rPr>
                <w:rFonts w:cs="Calibri"/>
                <w:b/>
                <w:bCs/>
                <w:sz w:val="16"/>
                <w:szCs w:val="16"/>
                <w:lang w:eastAsia="en-US"/>
              </w:rPr>
            </w:pPr>
            <w:r>
              <w:rPr>
                <w:rFonts w:cs="Calibri"/>
                <w:b/>
                <w:bCs/>
                <w:sz w:val="16"/>
                <w:szCs w:val="16"/>
                <w:lang w:eastAsia="en-US"/>
              </w:rPr>
              <w:t>Celkem</w:t>
            </w:r>
          </w:p>
        </w:tc>
        <w:tc>
          <w:tcPr>
            <w:tcW w:w="1300" w:type="dxa"/>
            <w:tcBorders>
              <w:top w:val="dashSmallGap" w:sz="4" w:space="0" w:color="auto"/>
              <w:left w:val="nil"/>
              <w:bottom w:val="dashSmallGap" w:sz="4" w:space="0" w:color="auto"/>
              <w:right w:val="nil"/>
            </w:tcBorders>
            <w:noWrap/>
            <w:vAlign w:val="bottom"/>
            <w:hideMark/>
          </w:tcPr>
          <w:p w14:paraId="62A353DB" w14:textId="77777777" w:rsidR="005B4528" w:rsidRDefault="005B4528" w:rsidP="00B53C19">
            <w:pPr>
              <w:spacing w:line="257" w:lineRule="auto"/>
              <w:contextualSpacing/>
              <w:jc w:val="center"/>
              <w:rPr>
                <w:rFonts w:cs="Calibri"/>
                <w:b/>
                <w:bCs/>
                <w:sz w:val="16"/>
                <w:szCs w:val="16"/>
                <w:lang w:eastAsia="en-US"/>
              </w:rPr>
            </w:pPr>
            <w:r>
              <w:rPr>
                <w:rFonts w:cs="Calibri"/>
                <w:b/>
                <w:bCs/>
                <w:sz w:val="16"/>
                <w:szCs w:val="16"/>
                <w:lang w:eastAsia="en-US"/>
              </w:rPr>
              <w:t> </w:t>
            </w:r>
          </w:p>
        </w:tc>
        <w:tc>
          <w:tcPr>
            <w:tcW w:w="3095" w:type="dxa"/>
            <w:tcBorders>
              <w:top w:val="dashSmallGap" w:sz="4" w:space="0" w:color="auto"/>
              <w:left w:val="nil"/>
              <w:bottom w:val="dashSmallGap" w:sz="4" w:space="0" w:color="auto"/>
              <w:right w:val="nil"/>
            </w:tcBorders>
            <w:noWrap/>
            <w:vAlign w:val="bottom"/>
            <w:hideMark/>
          </w:tcPr>
          <w:p w14:paraId="2ED4E6B4" w14:textId="77777777" w:rsidR="005B4528" w:rsidRDefault="005B4528" w:rsidP="00B53C19">
            <w:pPr>
              <w:spacing w:line="257" w:lineRule="auto"/>
              <w:contextualSpacing/>
              <w:jc w:val="center"/>
              <w:rPr>
                <w:rFonts w:cs="Calibri"/>
                <w:b/>
                <w:bCs/>
                <w:sz w:val="16"/>
                <w:szCs w:val="16"/>
                <w:lang w:eastAsia="en-US"/>
              </w:rPr>
            </w:pPr>
            <w:r>
              <w:rPr>
                <w:rFonts w:cs="Calibri"/>
                <w:b/>
                <w:bCs/>
                <w:sz w:val="16"/>
                <w:szCs w:val="16"/>
                <w:lang w:eastAsia="en-US"/>
              </w:rPr>
              <w:t>0,208</w:t>
            </w:r>
          </w:p>
        </w:tc>
        <w:tc>
          <w:tcPr>
            <w:tcW w:w="1400" w:type="dxa"/>
            <w:tcBorders>
              <w:top w:val="dashSmallGap" w:sz="4" w:space="0" w:color="auto"/>
              <w:left w:val="nil"/>
              <w:bottom w:val="dashSmallGap" w:sz="4" w:space="0" w:color="auto"/>
              <w:right w:val="nil"/>
            </w:tcBorders>
            <w:noWrap/>
            <w:vAlign w:val="bottom"/>
          </w:tcPr>
          <w:p w14:paraId="38A361AE" w14:textId="77777777" w:rsidR="005B4528" w:rsidRDefault="005B4528" w:rsidP="00B53C19">
            <w:pPr>
              <w:spacing w:line="257" w:lineRule="auto"/>
              <w:contextualSpacing/>
              <w:jc w:val="center"/>
              <w:rPr>
                <w:rFonts w:cs="Calibri"/>
                <w:sz w:val="16"/>
                <w:szCs w:val="16"/>
                <w:lang w:eastAsia="en-US"/>
              </w:rPr>
            </w:pPr>
          </w:p>
        </w:tc>
      </w:tr>
    </w:tbl>
    <w:p w14:paraId="10BF1B0C" w14:textId="77777777" w:rsidR="005B4528" w:rsidRDefault="005B4528" w:rsidP="005B4528">
      <w:pPr>
        <w:rPr>
          <w:highlight w:val="cyan"/>
        </w:rPr>
      </w:pPr>
    </w:p>
    <w:p w14:paraId="0E7D58F4" w14:textId="77777777" w:rsidR="005B4528" w:rsidRDefault="005B4528" w:rsidP="005B4528">
      <w:pPr>
        <w:ind w:hanging="425"/>
        <w:rPr>
          <w:u w:val="single"/>
        </w:rPr>
      </w:pPr>
      <w:r>
        <w:t>.4</w:t>
      </w:r>
      <w:r>
        <w:tab/>
      </w:r>
      <w:r>
        <w:rPr>
          <w:u w:val="single"/>
        </w:rPr>
        <w:t>Plochy technické infrastruktury</w:t>
      </w:r>
    </w:p>
    <w:p w14:paraId="79CA47F4" w14:textId="77777777" w:rsidR="005B4528" w:rsidRDefault="005B4528" w:rsidP="005B4528">
      <w:pPr>
        <w:ind w:hanging="425"/>
      </w:pPr>
      <w:r>
        <w:t>.4.1</w:t>
      </w:r>
      <w:r>
        <w:tab/>
        <w:t>plochy transformační</w:t>
      </w:r>
    </w:p>
    <w:p w14:paraId="43D74127" w14:textId="77777777" w:rsidR="005B4528" w:rsidRDefault="005B4528" w:rsidP="005B4528">
      <w:r>
        <w:t>Zábory ZPF pro technickou infrastrukturu jsou na půdách I. třídy ochrany, tedy nadprůměrné půdy.</w:t>
      </w:r>
    </w:p>
    <w:p w14:paraId="4B3CEFFF" w14:textId="7A20D650" w:rsidR="005B4528" w:rsidRDefault="005B4528" w:rsidP="005B4528">
      <w:r>
        <w:t xml:space="preserve">Celkem je pro plochy přestavby pro technickou infrastrukturu vymezen zábor ZPF </w:t>
      </w:r>
      <w:r>
        <w:rPr>
          <w:b/>
          <w:bCs/>
        </w:rPr>
        <w:t>0,156 ha</w:t>
      </w:r>
      <w:r>
        <w:t xml:space="preserve">. </w:t>
      </w:r>
    </w:p>
    <w:p w14:paraId="7BCFDF93" w14:textId="77777777" w:rsidR="005B4528" w:rsidRDefault="005B4528" w:rsidP="005B4528">
      <w:pPr>
        <w:rPr>
          <w:highlight w:val="cyan"/>
        </w:rPr>
      </w:pPr>
    </w:p>
    <w:tbl>
      <w:tblPr>
        <w:tblW w:w="7780" w:type="dxa"/>
        <w:tblInd w:w="851" w:type="dxa"/>
        <w:tblBorders>
          <w:top w:val="dashSmallGap" w:sz="4" w:space="0" w:color="auto"/>
          <w:bottom w:val="dashSmallGap" w:sz="4" w:space="0" w:color="auto"/>
          <w:insideH w:val="dashSmallGap" w:sz="4" w:space="0" w:color="auto"/>
        </w:tblBorders>
        <w:tblCellMar>
          <w:left w:w="70" w:type="dxa"/>
          <w:right w:w="70" w:type="dxa"/>
        </w:tblCellMar>
        <w:tblLook w:val="04A0" w:firstRow="1" w:lastRow="0" w:firstColumn="1" w:lastColumn="0" w:noHBand="0" w:noVBand="1"/>
      </w:tblPr>
      <w:tblGrid>
        <w:gridCol w:w="1984"/>
        <w:gridCol w:w="1300"/>
        <w:gridCol w:w="3095"/>
        <w:gridCol w:w="1401"/>
      </w:tblGrid>
      <w:tr w:rsidR="005B4528" w:rsidRPr="00B53C19" w14:paraId="7EE4981C" w14:textId="77777777" w:rsidTr="00B53C19">
        <w:trPr>
          <w:trHeight w:val="225"/>
        </w:trPr>
        <w:tc>
          <w:tcPr>
            <w:tcW w:w="1984" w:type="dxa"/>
            <w:tcBorders>
              <w:top w:val="dashSmallGap" w:sz="4" w:space="0" w:color="auto"/>
              <w:left w:val="nil"/>
              <w:bottom w:val="dashSmallGap" w:sz="4" w:space="0" w:color="auto"/>
              <w:right w:val="nil"/>
            </w:tcBorders>
            <w:vAlign w:val="center"/>
            <w:hideMark/>
          </w:tcPr>
          <w:p w14:paraId="70C117B7" w14:textId="77777777" w:rsidR="005B4528" w:rsidRPr="00B53C19" w:rsidRDefault="005B4528" w:rsidP="00B53C19">
            <w:pPr>
              <w:spacing w:line="257" w:lineRule="auto"/>
              <w:ind w:left="0"/>
              <w:contextualSpacing/>
              <w:jc w:val="left"/>
              <w:rPr>
                <w:rFonts w:cs="Calibri"/>
                <w:b/>
                <w:bCs/>
                <w:sz w:val="16"/>
                <w:szCs w:val="16"/>
                <w:lang w:eastAsia="en-US"/>
              </w:rPr>
            </w:pPr>
            <w:bookmarkStart w:id="179" w:name="_Hlk201240977"/>
            <w:r w:rsidRPr="00B53C19">
              <w:rPr>
                <w:rFonts w:cs="Calibri"/>
                <w:b/>
                <w:bCs/>
                <w:sz w:val="16"/>
                <w:szCs w:val="16"/>
                <w:lang w:eastAsia="en-US"/>
              </w:rPr>
              <w:t>označení plochy</w:t>
            </w:r>
          </w:p>
        </w:tc>
        <w:tc>
          <w:tcPr>
            <w:tcW w:w="1300" w:type="dxa"/>
            <w:tcBorders>
              <w:top w:val="dashSmallGap" w:sz="4" w:space="0" w:color="auto"/>
              <w:left w:val="nil"/>
              <w:bottom w:val="dashSmallGap" w:sz="4" w:space="0" w:color="auto"/>
              <w:right w:val="nil"/>
            </w:tcBorders>
            <w:vAlign w:val="center"/>
            <w:hideMark/>
          </w:tcPr>
          <w:p w14:paraId="3AB7B780" w14:textId="77777777" w:rsidR="005B4528" w:rsidRPr="00B53C19" w:rsidRDefault="005B4528" w:rsidP="00B53C19">
            <w:pPr>
              <w:spacing w:line="257" w:lineRule="auto"/>
              <w:contextualSpacing/>
              <w:jc w:val="center"/>
              <w:rPr>
                <w:rFonts w:cs="Calibri"/>
                <w:b/>
                <w:bCs/>
                <w:sz w:val="16"/>
                <w:szCs w:val="16"/>
                <w:lang w:eastAsia="en-US"/>
              </w:rPr>
            </w:pPr>
            <w:r w:rsidRPr="00B53C19">
              <w:rPr>
                <w:rFonts w:cs="Calibri"/>
                <w:b/>
                <w:bCs/>
                <w:sz w:val="16"/>
                <w:szCs w:val="16"/>
                <w:lang w:eastAsia="en-US"/>
              </w:rPr>
              <w:t>využití</w:t>
            </w:r>
          </w:p>
        </w:tc>
        <w:tc>
          <w:tcPr>
            <w:tcW w:w="3095" w:type="dxa"/>
            <w:tcBorders>
              <w:top w:val="dashSmallGap" w:sz="4" w:space="0" w:color="auto"/>
              <w:left w:val="nil"/>
              <w:bottom w:val="dashSmallGap" w:sz="4" w:space="0" w:color="auto"/>
              <w:right w:val="nil"/>
            </w:tcBorders>
            <w:vAlign w:val="center"/>
            <w:hideMark/>
          </w:tcPr>
          <w:p w14:paraId="35077242" w14:textId="77777777" w:rsidR="005B4528" w:rsidRPr="00B53C19" w:rsidRDefault="005B4528" w:rsidP="00B53C19">
            <w:pPr>
              <w:spacing w:line="257" w:lineRule="auto"/>
              <w:contextualSpacing/>
              <w:jc w:val="center"/>
              <w:rPr>
                <w:rFonts w:cs="Calibri"/>
                <w:b/>
                <w:bCs/>
                <w:sz w:val="16"/>
                <w:szCs w:val="16"/>
                <w:lang w:eastAsia="en-US"/>
              </w:rPr>
            </w:pPr>
            <w:r w:rsidRPr="00B53C19">
              <w:rPr>
                <w:rFonts w:cs="Calibri"/>
                <w:b/>
                <w:bCs/>
                <w:sz w:val="16"/>
                <w:szCs w:val="16"/>
                <w:lang w:eastAsia="en-US"/>
              </w:rPr>
              <w:t>(ha)</w:t>
            </w:r>
          </w:p>
        </w:tc>
        <w:tc>
          <w:tcPr>
            <w:tcW w:w="1400" w:type="dxa"/>
            <w:tcBorders>
              <w:top w:val="dashSmallGap" w:sz="4" w:space="0" w:color="auto"/>
              <w:left w:val="nil"/>
              <w:bottom w:val="dashSmallGap" w:sz="4" w:space="0" w:color="auto"/>
              <w:right w:val="nil"/>
            </w:tcBorders>
            <w:noWrap/>
            <w:vAlign w:val="bottom"/>
            <w:hideMark/>
          </w:tcPr>
          <w:p w14:paraId="79B70FC3" w14:textId="77777777" w:rsidR="005B4528" w:rsidRPr="00B53C19" w:rsidRDefault="005B4528" w:rsidP="00B53C19">
            <w:pPr>
              <w:spacing w:line="257" w:lineRule="auto"/>
              <w:ind w:left="0"/>
              <w:contextualSpacing/>
              <w:jc w:val="left"/>
              <w:rPr>
                <w:rFonts w:cs="Calibri"/>
                <w:b/>
                <w:bCs/>
                <w:sz w:val="16"/>
                <w:szCs w:val="16"/>
                <w:lang w:eastAsia="en-US"/>
              </w:rPr>
            </w:pPr>
            <w:r w:rsidRPr="00B53C19">
              <w:rPr>
                <w:rFonts w:cs="Calibri"/>
                <w:b/>
                <w:bCs/>
                <w:sz w:val="16"/>
                <w:szCs w:val="16"/>
                <w:lang w:eastAsia="en-US"/>
              </w:rPr>
              <w:t>třída ochrany ZPF</w:t>
            </w:r>
          </w:p>
        </w:tc>
        <w:bookmarkEnd w:id="179"/>
      </w:tr>
      <w:tr w:rsidR="005B4528" w14:paraId="4F8CF1A5" w14:textId="77777777" w:rsidTr="00B53C19">
        <w:trPr>
          <w:trHeight w:val="225"/>
        </w:trPr>
        <w:tc>
          <w:tcPr>
            <w:tcW w:w="1984" w:type="dxa"/>
            <w:tcBorders>
              <w:top w:val="dashSmallGap" w:sz="4" w:space="0" w:color="auto"/>
              <w:left w:val="nil"/>
              <w:bottom w:val="nil"/>
              <w:right w:val="nil"/>
            </w:tcBorders>
            <w:noWrap/>
            <w:vAlign w:val="bottom"/>
            <w:hideMark/>
          </w:tcPr>
          <w:p w14:paraId="22AC5625" w14:textId="77777777" w:rsidR="005B4528" w:rsidRDefault="005B4528" w:rsidP="00B53C19">
            <w:pPr>
              <w:spacing w:line="257" w:lineRule="auto"/>
              <w:ind w:left="0"/>
              <w:contextualSpacing/>
              <w:jc w:val="left"/>
              <w:rPr>
                <w:rFonts w:cs="Calibri"/>
                <w:b/>
                <w:bCs/>
                <w:sz w:val="16"/>
                <w:szCs w:val="16"/>
                <w:lang w:eastAsia="en-US"/>
              </w:rPr>
            </w:pPr>
            <w:r>
              <w:rPr>
                <w:rFonts w:cs="Calibri"/>
                <w:b/>
                <w:bCs/>
                <w:sz w:val="16"/>
                <w:szCs w:val="16"/>
                <w:lang w:eastAsia="en-US"/>
              </w:rPr>
              <w:t>T.01-10</w:t>
            </w:r>
          </w:p>
        </w:tc>
        <w:tc>
          <w:tcPr>
            <w:tcW w:w="1300" w:type="dxa"/>
            <w:tcBorders>
              <w:top w:val="dashSmallGap" w:sz="4" w:space="0" w:color="auto"/>
              <w:left w:val="nil"/>
              <w:bottom w:val="nil"/>
              <w:right w:val="nil"/>
            </w:tcBorders>
            <w:noWrap/>
            <w:vAlign w:val="bottom"/>
            <w:hideMark/>
          </w:tcPr>
          <w:p w14:paraId="4871998A" w14:textId="77777777" w:rsidR="005B4528" w:rsidRDefault="005B4528" w:rsidP="00B53C19">
            <w:pPr>
              <w:spacing w:line="257" w:lineRule="auto"/>
              <w:contextualSpacing/>
              <w:jc w:val="center"/>
              <w:rPr>
                <w:rFonts w:cs="Calibri"/>
                <w:b/>
                <w:bCs/>
                <w:sz w:val="16"/>
                <w:szCs w:val="16"/>
                <w:lang w:eastAsia="en-US"/>
              </w:rPr>
            </w:pPr>
            <w:r>
              <w:rPr>
                <w:rFonts w:cs="Calibri"/>
                <w:b/>
                <w:bCs/>
                <w:sz w:val="16"/>
                <w:szCs w:val="16"/>
                <w:lang w:eastAsia="en-US"/>
              </w:rPr>
              <w:t>TU</w:t>
            </w:r>
          </w:p>
        </w:tc>
        <w:tc>
          <w:tcPr>
            <w:tcW w:w="3095" w:type="dxa"/>
            <w:tcBorders>
              <w:top w:val="dashSmallGap" w:sz="4" w:space="0" w:color="auto"/>
              <w:left w:val="nil"/>
              <w:bottom w:val="nil"/>
              <w:right w:val="nil"/>
            </w:tcBorders>
            <w:noWrap/>
            <w:vAlign w:val="bottom"/>
            <w:hideMark/>
          </w:tcPr>
          <w:p w14:paraId="491C23A4" w14:textId="77777777" w:rsidR="005B4528" w:rsidRDefault="005B4528" w:rsidP="00B53C19">
            <w:pPr>
              <w:spacing w:line="257" w:lineRule="auto"/>
              <w:contextualSpacing/>
              <w:jc w:val="center"/>
              <w:rPr>
                <w:rFonts w:cs="Calibri"/>
                <w:b/>
                <w:bCs/>
                <w:sz w:val="16"/>
                <w:szCs w:val="16"/>
                <w:lang w:eastAsia="en-US"/>
              </w:rPr>
            </w:pPr>
            <w:r>
              <w:rPr>
                <w:rFonts w:cs="Calibri"/>
                <w:b/>
                <w:bCs/>
                <w:sz w:val="16"/>
                <w:szCs w:val="16"/>
                <w:lang w:eastAsia="en-US"/>
              </w:rPr>
              <w:t>0,156</w:t>
            </w:r>
          </w:p>
        </w:tc>
        <w:tc>
          <w:tcPr>
            <w:tcW w:w="1400" w:type="dxa"/>
            <w:tcBorders>
              <w:top w:val="dashSmallGap" w:sz="4" w:space="0" w:color="auto"/>
              <w:left w:val="nil"/>
              <w:bottom w:val="nil"/>
              <w:right w:val="nil"/>
            </w:tcBorders>
            <w:noWrap/>
            <w:vAlign w:val="bottom"/>
            <w:hideMark/>
          </w:tcPr>
          <w:p w14:paraId="5790229E" w14:textId="77777777" w:rsidR="005B4528" w:rsidRDefault="005B4528" w:rsidP="00B53C19">
            <w:pPr>
              <w:spacing w:line="257" w:lineRule="auto"/>
              <w:contextualSpacing/>
              <w:jc w:val="center"/>
              <w:rPr>
                <w:rFonts w:cs="Calibri"/>
                <w:b/>
                <w:bCs/>
                <w:sz w:val="16"/>
                <w:szCs w:val="16"/>
                <w:lang w:eastAsia="en-US"/>
              </w:rPr>
            </w:pPr>
            <w:r>
              <w:rPr>
                <w:rFonts w:cs="Calibri"/>
                <w:b/>
                <w:bCs/>
                <w:sz w:val="16"/>
                <w:szCs w:val="16"/>
                <w:lang w:eastAsia="en-US"/>
              </w:rPr>
              <w:t>I.</w:t>
            </w:r>
          </w:p>
        </w:tc>
      </w:tr>
      <w:tr w:rsidR="005B4528" w14:paraId="5307F907" w14:textId="77777777" w:rsidTr="00B53C19">
        <w:trPr>
          <w:trHeight w:val="225"/>
        </w:trPr>
        <w:tc>
          <w:tcPr>
            <w:tcW w:w="7780" w:type="dxa"/>
            <w:gridSpan w:val="4"/>
            <w:tcBorders>
              <w:top w:val="nil"/>
              <w:left w:val="nil"/>
              <w:bottom w:val="dashSmallGap" w:sz="4" w:space="0" w:color="auto"/>
              <w:right w:val="nil"/>
            </w:tcBorders>
            <w:noWrap/>
            <w:vAlign w:val="center"/>
          </w:tcPr>
          <w:p w14:paraId="6D1F3682" w14:textId="77777777" w:rsidR="005B4528" w:rsidRPr="00950FD3" w:rsidRDefault="005B4528" w:rsidP="00B53C19">
            <w:pPr>
              <w:spacing w:line="257" w:lineRule="auto"/>
              <w:ind w:left="0"/>
              <w:contextualSpacing/>
              <w:jc w:val="left"/>
              <w:rPr>
                <w:rFonts w:cs="Calibri"/>
                <w:b/>
                <w:bCs/>
                <w:i/>
                <w:iCs/>
                <w:sz w:val="16"/>
                <w:szCs w:val="16"/>
                <w:lang w:eastAsia="en-US"/>
              </w:rPr>
            </w:pPr>
            <w:r w:rsidRPr="00950FD3">
              <w:rPr>
                <w:rFonts w:cs="Calibri"/>
                <w:b/>
                <w:bCs/>
                <w:i/>
                <w:iCs/>
                <w:sz w:val="16"/>
                <w:szCs w:val="16"/>
                <w:lang w:eastAsia="en-US"/>
              </w:rPr>
              <w:t xml:space="preserve">zdůvodnění vymezení: </w:t>
            </w:r>
          </w:p>
          <w:p w14:paraId="617B04D2" w14:textId="77777777" w:rsidR="005B4528" w:rsidRDefault="005B4528">
            <w:pPr>
              <w:pStyle w:val="Odstavecseseznamem"/>
              <w:numPr>
                <w:ilvl w:val="0"/>
                <w:numId w:val="35"/>
              </w:numPr>
              <w:spacing w:before="0" w:after="0" w:line="257" w:lineRule="auto"/>
              <w:ind w:left="215" w:hanging="142"/>
              <w:jc w:val="left"/>
              <w:rPr>
                <w:rFonts w:cs="Calibri"/>
                <w:i/>
                <w:iCs/>
                <w:sz w:val="16"/>
                <w:szCs w:val="16"/>
              </w:rPr>
            </w:pPr>
            <w:r w:rsidRPr="00B754C6">
              <w:rPr>
                <w:rFonts w:cs="Calibri"/>
                <w:i/>
                <w:iCs/>
                <w:sz w:val="16"/>
                <w:szCs w:val="16"/>
              </w:rPr>
              <w:t xml:space="preserve">plocha je součástí zastavěného území obce, </w:t>
            </w:r>
          </w:p>
          <w:p w14:paraId="4774E632" w14:textId="77777777" w:rsidR="005B4528" w:rsidRDefault="005B4528">
            <w:pPr>
              <w:pStyle w:val="Odstavecseseznamem"/>
              <w:numPr>
                <w:ilvl w:val="0"/>
                <w:numId w:val="35"/>
              </w:numPr>
              <w:spacing w:before="0" w:after="0" w:line="257" w:lineRule="auto"/>
              <w:ind w:left="215" w:hanging="142"/>
              <w:jc w:val="left"/>
              <w:rPr>
                <w:rFonts w:cs="Calibri"/>
                <w:i/>
                <w:iCs/>
                <w:sz w:val="16"/>
                <w:szCs w:val="16"/>
              </w:rPr>
            </w:pPr>
            <w:r w:rsidRPr="00950FD3">
              <w:rPr>
                <w:rFonts w:cs="Calibri"/>
                <w:i/>
                <w:iCs/>
                <w:sz w:val="16"/>
                <w:szCs w:val="16"/>
              </w:rPr>
              <w:t>plocha neslouží k zemědělskému využití,</w:t>
            </w:r>
          </w:p>
          <w:p w14:paraId="6AAFFA4E" w14:textId="77777777" w:rsidR="005B4528" w:rsidRDefault="005B4528">
            <w:pPr>
              <w:pStyle w:val="Odstavecseseznamem"/>
              <w:numPr>
                <w:ilvl w:val="0"/>
                <w:numId w:val="35"/>
              </w:numPr>
              <w:spacing w:before="0" w:after="0" w:line="257" w:lineRule="auto"/>
              <w:ind w:left="215" w:hanging="142"/>
              <w:jc w:val="left"/>
              <w:rPr>
                <w:rFonts w:cs="Calibri"/>
                <w:i/>
                <w:iCs/>
                <w:sz w:val="16"/>
                <w:szCs w:val="16"/>
              </w:rPr>
            </w:pPr>
            <w:r w:rsidRPr="00B754C6">
              <w:rPr>
                <w:rFonts w:cs="Calibri"/>
                <w:i/>
                <w:iCs/>
                <w:sz w:val="16"/>
                <w:szCs w:val="16"/>
              </w:rPr>
              <w:t xml:space="preserve">plocha </w:t>
            </w:r>
            <w:r>
              <w:rPr>
                <w:rFonts w:cs="Calibri"/>
                <w:i/>
                <w:iCs/>
                <w:sz w:val="16"/>
                <w:szCs w:val="16"/>
              </w:rPr>
              <w:t>je vymezena pro technickou infrastrukturu</w:t>
            </w:r>
            <w:r w:rsidRPr="00B754C6">
              <w:rPr>
                <w:rFonts w:cs="Calibri"/>
                <w:i/>
                <w:iCs/>
                <w:sz w:val="16"/>
                <w:szCs w:val="16"/>
              </w:rPr>
              <w:t xml:space="preserve"> předchozím ÚP Hlubočky</w:t>
            </w:r>
            <w:r>
              <w:rPr>
                <w:rFonts w:cs="Calibri"/>
                <w:i/>
                <w:iCs/>
                <w:sz w:val="16"/>
                <w:szCs w:val="16"/>
              </w:rPr>
              <w:t xml:space="preserve"> (plocha T5),</w:t>
            </w:r>
          </w:p>
          <w:p w14:paraId="7C2282FC" w14:textId="77777777" w:rsidR="005B4528" w:rsidRPr="00950FD3" w:rsidRDefault="005B4528">
            <w:pPr>
              <w:pStyle w:val="Odstavecseseznamem"/>
              <w:numPr>
                <w:ilvl w:val="0"/>
                <w:numId w:val="35"/>
              </w:numPr>
              <w:spacing w:before="0" w:after="0" w:line="257" w:lineRule="auto"/>
              <w:ind w:left="215" w:hanging="142"/>
              <w:jc w:val="left"/>
              <w:rPr>
                <w:rFonts w:cs="Calibri"/>
                <w:i/>
                <w:iCs/>
                <w:sz w:val="16"/>
                <w:szCs w:val="16"/>
              </w:rPr>
            </w:pPr>
            <w:r w:rsidRPr="00950FD3">
              <w:rPr>
                <w:rFonts w:cs="Calibri"/>
                <w:i/>
                <w:iCs/>
                <w:sz w:val="16"/>
                <w:szCs w:val="16"/>
              </w:rPr>
              <w:t xml:space="preserve">plocha </w:t>
            </w:r>
            <w:r>
              <w:rPr>
                <w:rFonts w:cs="Calibri"/>
                <w:i/>
                <w:iCs/>
                <w:sz w:val="16"/>
                <w:szCs w:val="16"/>
              </w:rPr>
              <w:t>je vymezena jako prostorová rezerva pro zkapacitnění stávající ČOV.</w:t>
            </w:r>
          </w:p>
        </w:tc>
      </w:tr>
      <w:tr w:rsidR="005B4528" w14:paraId="5DFD3C6E" w14:textId="77777777" w:rsidTr="00B53C19">
        <w:trPr>
          <w:trHeight w:val="225"/>
        </w:trPr>
        <w:tc>
          <w:tcPr>
            <w:tcW w:w="1984" w:type="dxa"/>
            <w:tcBorders>
              <w:top w:val="dashSmallGap" w:sz="4" w:space="0" w:color="auto"/>
              <w:left w:val="nil"/>
              <w:bottom w:val="dashSmallGap" w:sz="4" w:space="0" w:color="auto"/>
              <w:right w:val="nil"/>
            </w:tcBorders>
            <w:noWrap/>
            <w:vAlign w:val="bottom"/>
            <w:hideMark/>
          </w:tcPr>
          <w:p w14:paraId="73E96891" w14:textId="77777777" w:rsidR="005B4528" w:rsidRDefault="005B4528" w:rsidP="00B53C19">
            <w:pPr>
              <w:spacing w:line="257" w:lineRule="auto"/>
              <w:ind w:left="0"/>
              <w:contextualSpacing/>
              <w:jc w:val="left"/>
              <w:rPr>
                <w:rFonts w:cs="Calibri"/>
                <w:b/>
                <w:bCs/>
                <w:sz w:val="16"/>
                <w:szCs w:val="16"/>
                <w:lang w:eastAsia="en-US"/>
              </w:rPr>
            </w:pPr>
            <w:r>
              <w:rPr>
                <w:rFonts w:cs="Calibri"/>
                <w:b/>
                <w:bCs/>
                <w:sz w:val="16"/>
                <w:szCs w:val="16"/>
                <w:lang w:eastAsia="en-US"/>
              </w:rPr>
              <w:t>Celkem</w:t>
            </w:r>
          </w:p>
        </w:tc>
        <w:tc>
          <w:tcPr>
            <w:tcW w:w="1300" w:type="dxa"/>
            <w:tcBorders>
              <w:top w:val="dashSmallGap" w:sz="4" w:space="0" w:color="auto"/>
              <w:left w:val="nil"/>
              <w:bottom w:val="dashSmallGap" w:sz="4" w:space="0" w:color="auto"/>
              <w:right w:val="nil"/>
            </w:tcBorders>
            <w:noWrap/>
            <w:vAlign w:val="bottom"/>
            <w:hideMark/>
          </w:tcPr>
          <w:p w14:paraId="5C5D7983" w14:textId="77777777" w:rsidR="005B4528" w:rsidRDefault="005B4528" w:rsidP="00B53C19">
            <w:pPr>
              <w:spacing w:line="257" w:lineRule="auto"/>
              <w:contextualSpacing/>
              <w:jc w:val="center"/>
              <w:rPr>
                <w:rFonts w:cs="Calibri"/>
                <w:b/>
                <w:bCs/>
                <w:sz w:val="16"/>
                <w:szCs w:val="16"/>
                <w:lang w:eastAsia="en-US"/>
              </w:rPr>
            </w:pPr>
            <w:r>
              <w:rPr>
                <w:rFonts w:cs="Calibri"/>
                <w:b/>
                <w:bCs/>
                <w:sz w:val="16"/>
                <w:szCs w:val="16"/>
                <w:lang w:eastAsia="en-US"/>
              </w:rPr>
              <w:t> </w:t>
            </w:r>
          </w:p>
        </w:tc>
        <w:tc>
          <w:tcPr>
            <w:tcW w:w="3095" w:type="dxa"/>
            <w:tcBorders>
              <w:top w:val="dashSmallGap" w:sz="4" w:space="0" w:color="auto"/>
              <w:left w:val="nil"/>
              <w:bottom w:val="dashSmallGap" w:sz="4" w:space="0" w:color="auto"/>
              <w:right w:val="nil"/>
            </w:tcBorders>
            <w:noWrap/>
            <w:vAlign w:val="bottom"/>
            <w:hideMark/>
          </w:tcPr>
          <w:p w14:paraId="090B73BB" w14:textId="77777777" w:rsidR="005B4528" w:rsidRDefault="005B4528" w:rsidP="00B53C19">
            <w:pPr>
              <w:spacing w:line="257" w:lineRule="auto"/>
              <w:contextualSpacing/>
              <w:jc w:val="center"/>
              <w:rPr>
                <w:rFonts w:cs="Calibri"/>
                <w:b/>
                <w:bCs/>
                <w:sz w:val="16"/>
                <w:szCs w:val="16"/>
                <w:lang w:eastAsia="en-US"/>
              </w:rPr>
            </w:pPr>
            <w:r>
              <w:rPr>
                <w:rFonts w:cs="Calibri"/>
                <w:b/>
                <w:bCs/>
                <w:sz w:val="16"/>
                <w:szCs w:val="16"/>
                <w:lang w:eastAsia="en-US"/>
              </w:rPr>
              <w:t>0,156</w:t>
            </w:r>
          </w:p>
        </w:tc>
        <w:tc>
          <w:tcPr>
            <w:tcW w:w="1400" w:type="dxa"/>
            <w:tcBorders>
              <w:top w:val="dashSmallGap" w:sz="4" w:space="0" w:color="auto"/>
              <w:left w:val="nil"/>
              <w:bottom w:val="dashSmallGap" w:sz="4" w:space="0" w:color="auto"/>
              <w:right w:val="nil"/>
            </w:tcBorders>
            <w:noWrap/>
            <w:vAlign w:val="bottom"/>
            <w:hideMark/>
          </w:tcPr>
          <w:p w14:paraId="176377F2" w14:textId="77777777" w:rsidR="005B4528" w:rsidRDefault="005B4528" w:rsidP="00B53C19">
            <w:pPr>
              <w:spacing w:line="257" w:lineRule="auto"/>
              <w:contextualSpacing/>
              <w:jc w:val="center"/>
              <w:rPr>
                <w:rFonts w:cs="Calibri"/>
                <w:sz w:val="16"/>
                <w:szCs w:val="16"/>
                <w:lang w:eastAsia="en-US"/>
              </w:rPr>
            </w:pPr>
            <w:r>
              <w:rPr>
                <w:rFonts w:cs="Calibri"/>
                <w:sz w:val="16"/>
                <w:szCs w:val="16"/>
                <w:lang w:eastAsia="en-US"/>
              </w:rPr>
              <w:t> </w:t>
            </w:r>
          </w:p>
        </w:tc>
      </w:tr>
    </w:tbl>
    <w:p w14:paraId="570426AB" w14:textId="417C4603" w:rsidR="00543E89" w:rsidRDefault="00543E89" w:rsidP="005B4528">
      <w:pPr>
        <w:rPr>
          <w:highlight w:val="cyan"/>
        </w:rPr>
      </w:pPr>
    </w:p>
    <w:p w14:paraId="5796B815" w14:textId="77777777" w:rsidR="00543E89" w:rsidRDefault="00543E89">
      <w:pPr>
        <w:spacing w:before="0" w:after="0"/>
        <w:ind w:left="0"/>
        <w:jc w:val="left"/>
        <w:rPr>
          <w:highlight w:val="cyan"/>
        </w:rPr>
      </w:pPr>
      <w:r>
        <w:rPr>
          <w:highlight w:val="cyan"/>
        </w:rPr>
        <w:br w:type="page"/>
      </w:r>
    </w:p>
    <w:p w14:paraId="554C5EBD" w14:textId="77777777" w:rsidR="005B4528" w:rsidRDefault="005B4528" w:rsidP="005B4528">
      <w:pPr>
        <w:ind w:hanging="425"/>
      </w:pPr>
      <w:r>
        <w:lastRenderedPageBreak/>
        <w:t>.4.2</w:t>
      </w:r>
      <w:r>
        <w:tab/>
        <w:t>zastavitelné plochy</w:t>
      </w:r>
    </w:p>
    <w:p w14:paraId="120169C9" w14:textId="2B29DB43" w:rsidR="005B4528" w:rsidRDefault="005B4528" w:rsidP="005B4528">
      <w:r>
        <w:t>Zábory ZPF pro technickou infrastrukturu jsou na půdách I., II. a V. třídy ochrany, tedy nadprůměrné a</w:t>
      </w:r>
      <w:r w:rsidR="00C43737">
        <w:t> </w:t>
      </w:r>
      <w:r>
        <w:t xml:space="preserve">podprůměrné půdy. </w:t>
      </w:r>
    </w:p>
    <w:p w14:paraId="5D51A894" w14:textId="77777777" w:rsidR="005B4528" w:rsidRDefault="005B4528" w:rsidP="005B4528">
      <w:pPr>
        <w:rPr>
          <w:highlight w:val="cyan"/>
        </w:rPr>
      </w:pPr>
      <w:r>
        <w:t xml:space="preserve">Celkem je pro zastavitelné plochy technické infrastruktury všeobecné vymezen zábor ZPF </w:t>
      </w:r>
      <w:r>
        <w:rPr>
          <w:b/>
          <w:bCs/>
        </w:rPr>
        <w:t>0,552 ha</w:t>
      </w:r>
      <w:r>
        <w:t>.</w:t>
      </w:r>
    </w:p>
    <w:p w14:paraId="20BD1933" w14:textId="77777777" w:rsidR="005B4528" w:rsidRDefault="005B4528" w:rsidP="005B4528">
      <w:pPr>
        <w:rPr>
          <w:highlight w:val="cyan"/>
        </w:rPr>
      </w:pPr>
    </w:p>
    <w:tbl>
      <w:tblPr>
        <w:tblW w:w="7924" w:type="dxa"/>
        <w:tblInd w:w="709" w:type="dxa"/>
        <w:tblBorders>
          <w:top w:val="dashSmallGap" w:sz="4" w:space="0" w:color="auto"/>
          <w:bottom w:val="dashSmallGap" w:sz="4" w:space="0" w:color="auto"/>
          <w:insideH w:val="dashSmallGap" w:sz="4" w:space="0" w:color="auto"/>
        </w:tblBorders>
        <w:tblCellMar>
          <w:left w:w="70" w:type="dxa"/>
          <w:right w:w="70" w:type="dxa"/>
        </w:tblCellMar>
        <w:tblLook w:val="04A0" w:firstRow="1" w:lastRow="0" w:firstColumn="1" w:lastColumn="0" w:noHBand="0" w:noVBand="1"/>
      </w:tblPr>
      <w:tblGrid>
        <w:gridCol w:w="1984"/>
        <w:gridCol w:w="1300"/>
        <w:gridCol w:w="3237"/>
        <w:gridCol w:w="1403"/>
      </w:tblGrid>
      <w:tr w:rsidR="005B4528" w:rsidRPr="00B53C19" w14:paraId="2D54AF9A" w14:textId="77777777" w:rsidTr="00B53C19">
        <w:trPr>
          <w:trHeight w:val="225"/>
        </w:trPr>
        <w:tc>
          <w:tcPr>
            <w:tcW w:w="1984" w:type="dxa"/>
            <w:tcBorders>
              <w:top w:val="dashSmallGap" w:sz="4" w:space="0" w:color="auto"/>
              <w:left w:val="nil"/>
              <w:bottom w:val="dashSmallGap" w:sz="4" w:space="0" w:color="auto"/>
              <w:right w:val="nil"/>
            </w:tcBorders>
            <w:vAlign w:val="center"/>
            <w:hideMark/>
          </w:tcPr>
          <w:p w14:paraId="117C6E6E" w14:textId="77777777" w:rsidR="005B4528" w:rsidRPr="00B53C19" w:rsidRDefault="005B4528" w:rsidP="00B53C19">
            <w:pPr>
              <w:spacing w:before="0" w:after="0" w:line="257" w:lineRule="auto"/>
              <w:ind w:left="0"/>
              <w:contextualSpacing/>
              <w:jc w:val="left"/>
              <w:rPr>
                <w:rFonts w:cs="Calibri"/>
                <w:b/>
                <w:bCs/>
                <w:sz w:val="16"/>
                <w:szCs w:val="16"/>
                <w:lang w:eastAsia="en-US"/>
              </w:rPr>
            </w:pPr>
            <w:r w:rsidRPr="00B53C19">
              <w:rPr>
                <w:rFonts w:cs="Calibri"/>
                <w:b/>
                <w:bCs/>
                <w:sz w:val="16"/>
                <w:szCs w:val="16"/>
                <w:lang w:eastAsia="en-US"/>
              </w:rPr>
              <w:t>označení plochy</w:t>
            </w:r>
          </w:p>
        </w:tc>
        <w:tc>
          <w:tcPr>
            <w:tcW w:w="1300" w:type="dxa"/>
            <w:tcBorders>
              <w:top w:val="dashSmallGap" w:sz="4" w:space="0" w:color="auto"/>
              <w:left w:val="nil"/>
              <w:bottom w:val="dashSmallGap" w:sz="4" w:space="0" w:color="auto"/>
              <w:right w:val="nil"/>
            </w:tcBorders>
            <w:vAlign w:val="center"/>
            <w:hideMark/>
          </w:tcPr>
          <w:p w14:paraId="6DA52E93" w14:textId="77777777" w:rsidR="005B4528" w:rsidRPr="00B53C19" w:rsidRDefault="005B4528" w:rsidP="00B53C19">
            <w:pPr>
              <w:spacing w:before="0" w:after="0" w:line="256" w:lineRule="auto"/>
              <w:jc w:val="center"/>
              <w:rPr>
                <w:rFonts w:cs="Calibri"/>
                <w:b/>
                <w:bCs/>
                <w:sz w:val="16"/>
                <w:szCs w:val="16"/>
                <w:lang w:eastAsia="en-US"/>
              </w:rPr>
            </w:pPr>
            <w:r w:rsidRPr="00B53C19">
              <w:rPr>
                <w:rFonts w:cs="Calibri"/>
                <w:b/>
                <w:bCs/>
                <w:sz w:val="16"/>
                <w:szCs w:val="16"/>
                <w:lang w:eastAsia="en-US"/>
              </w:rPr>
              <w:t>využití</w:t>
            </w:r>
          </w:p>
        </w:tc>
        <w:tc>
          <w:tcPr>
            <w:tcW w:w="3237" w:type="dxa"/>
            <w:tcBorders>
              <w:top w:val="dashSmallGap" w:sz="4" w:space="0" w:color="auto"/>
              <w:left w:val="nil"/>
              <w:bottom w:val="dashSmallGap" w:sz="4" w:space="0" w:color="auto"/>
              <w:right w:val="nil"/>
            </w:tcBorders>
            <w:vAlign w:val="center"/>
            <w:hideMark/>
          </w:tcPr>
          <w:p w14:paraId="74F8BB94" w14:textId="77777777" w:rsidR="005B4528" w:rsidRPr="00B53C19" w:rsidRDefault="005B4528" w:rsidP="00B53C19">
            <w:pPr>
              <w:spacing w:before="0" w:after="0" w:line="256" w:lineRule="auto"/>
              <w:jc w:val="center"/>
              <w:rPr>
                <w:rFonts w:cs="Calibri"/>
                <w:b/>
                <w:bCs/>
                <w:sz w:val="16"/>
                <w:szCs w:val="16"/>
                <w:lang w:eastAsia="en-US"/>
              </w:rPr>
            </w:pPr>
            <w:r w:rsidRPr="00B53C19">
              <w:rPr>
                <w:rFonts w:cs="Calibri"/>
                <w:b/>
                <w:bCs/>
                <w:sz w:val="16"/>
                <w:szCs w:val="16"/>
                <w:lang w:eastAsia="en-US"/>
              </w:rPr>
              <w:t>(ha)</w:t>
            </w:r>
          </w:p>
        </w:tc>
        <w:tc>
          <w:tcPr>
            <w:tcW w:w="1400" w:type="dxa"/>
            <w:tcBorders>
              <w:top w:val="dashSmallGap" w:sz="4" w:space="0" w:color="auto"/>
              <w:left w:val="nil"/>
              <w:bottom w:val="dashSmallGap" w:sz="4" w:space="0" w:color="auto"/>
              <w:right w:val="nil"/>
            </w:tcBorders>
            <w:noWrap/>
            <w:vAlign w:val="bottom"/>
            <w:hideMark/>
          </w:tcPr>
          <w:p w14:paraId="0541187A" w14:textId="77777777" w:rsidR="005B4528" w:rsidRPr="00B53C19" w:rsidRDefault="005B4528" w:rsidP="00B53C19">
            <w:pPr>
              <w:spacing w:before="0" w:after="0" w:line="256" w:lineRule="auto"/>
              <w:ind w:left="0"/>
              <w:jc w:val="left"/>
              <w:rPr>
                <w:rFonts w:cs="Calibri"/>
                <w:b/>
                <w:bCs/>
                <w:sz w:val="16"/>
                <w:szCs w:val="16"/>
                <w:lang w:eastAsia="en-US"/>
              </w:rPr>
            </w:pPr>
            <w:r w:rsidRPr="00B53C19">
              <w:rPr>
                <w:rFonts w:cs="Calibri"/>
                <w:b/>
                <w:bCs/>
                <w:sz w:val="16"/>
                <w:szCs w:val="16"/>
                <w:lang w:eastAsia="en-US"/>
              </w:rPr>
              <w:t>třída ochrany ZPF</w:t>
            </w:r>
          </w:p>
        </w:tc>
      </w:tr>
      <w:tr w:rsidR="005B4528" w:rsidRPr="00B53C19" w14:paraId="3319962E" w14:textId="77777777" w:rsidTr="00B53C19">
        <w:trPr>
          <w:trHeight w:val="225"/>
        </w:trPr>
        <w:tc>
          <w:tcPr>
            <w:tcW w:w="1984" w:type="dxa"/>
            <w:tcBorders>
              <w:top w:val="dashSmallGap" w:sz="4" w:space="0" w:color="auto"/>
              <w:left w:val="nil"/>
              <w:bottom w:val="nil"/>
              <w:right w:val="nil"/>
            </w:tcBorders>
            <w:noWrap/>
            <w:vAlign w:val="bottom"/>
            <w:hideMark/>
          </w:tcPr>
          <w:p w14:paraId="24E17207" w14:textId="77777777" w:rsidR="005B4528" w:rsidRPr="00B53C19" w:rsidRDefault="005B4528" w:rsidP="00B53C19">
            <w:pPr>
              <w:spacing w:before="0" w:after="0" w:line="257" w:lineRule="auto"/>
              <w:ind w:left="0"/>
              <w:contextualSpacing/>
              <w:jc w:val="left"/>
              <w:rPr>
                <w:rFonts w:cs="Calibri"/>
                <w:b/>
                <w:bCs/>
                <w:sz w:val="16"/>
                <w:szCs w:val="16"/>
                <w:lang w:eastAsia="en-US"/>
              </w:rPr>
            </w:pPr>
            <w:r w:rsidRPr="00B53C19">
              <w:rPr>
                <w:rFonts w:cs="Calibri"/>
                <w:b/>
                <w:bCs/>
                <w:sz w:val="16"/>
                <w:szCs w:val="16"/>
                <w:lang w:eastAsia="en-US"/>
              </w:rPr>
              <w:t>Z.04-10</w:t>
            </w:r>
          </w:p>
        </w:tc>
        <w:tc>
          <w:tcPr>
            <w:tcW w:w="1300" w:type="dxa"/>
            <w:tcBorders>
              <w:top w:val="dashSmallGap" w:sz="4" w:space="0" w:color="auto"/>
              <w:left w:val="nil"/>
              <w:bottom w:val="nil"/>
              <w:right w:val="nil"/>
            </w:tcBorders>
            <w:noWrap/>
            <w:vAlign w:val="bottom"/>
            <w:hideMark/>
          </w:tcPr>
          <w:p w14:paraId="77E02A2A" w14:textId="77777777" w:rsidR="005B4528" w:rsidRPr="00B53C19" w:rsidRDefault="005B4528" w:rsidP="00B53C19">
            <w:pPr>
              <w:spacing w:before="0" w:after="0" w:line="256" w:lineRule="auto"/>
              <w:jc w:val="center"/>
              <w:rPr>
                <w:rFonts w:cs="Calibri"/>
                <w:b/>
                <w:bCs/>
                <w:sz w:val="16"/>
                <w:szCs w:val="16"/>
                <w:lang w:eastAsia="en-US"/>
              </w:rPr>
            </w:pPr>
            <w:r w:rsidRPr="00B53C19">
              <w:rPr>
                <w:rFonts w:cs="Calibri"/>
                <w:b/>
                <w:bCs/>
                <w:sz w:val="16"/>
                <w:szCs w:val="16"/>
                <w:lang w:eastAsia="en-US"/>
              </w:rPr>
              <w:t>TU</w:t>
            </w:r>
          </w:p>
        </w:tc>
        <w:tc>
          <w:tcPr>
            <w:tcW w:w="3237" w:type="dxa"/>
            <w:tcBorders>
              <w:top w:val="dashSmallGap" w:sz="4" w:space="0" w:color="auto"/>
              <w:left w:val="nil"/>
              <w:bottom w:val="nil"/>
              <w:right w:val="nil"/>
            </w:tcBorders>
            <w:noWrap/>
            <w:vAlign w:val="bottom"/>
            <w:hideMark/>
          </w:tcPr>
          <w:p w14:paraId="6DBE933A" w14:textId="77777777" w:rsidR="005B4528" w:rsidRPr="00B53C19" w:rsidRDefault="005B4528" w:rsidP="00B53C19">
            <w:pPr>
              <w:spacing w:before="0" w:after="0" w:line="256" w:lineRule="auto"/>
              <w:jc w:val="center"/>
              <w:rPr>
                <w:rFonts w:cs="Calibri"/>
                <w:b/>
                <w:bCs/>
                <w:sz w:val="16"/>
                <w:szCs w:val="16"/>
                <w:lang w:eastAsia="en-US"/>
              </w:rPr>
            </w:pPr>
            <w:r w:rsidRPr="00B53C19">
              <w:rPr>
                <w:rFonts w:cs="Calibri"/>
                <w:b/>
                <w:bCs/>
                <w:sz w:val="16"/>
                <w:szCs w:val="16"/>
                <w:lang w:eastAsia="en-US"/>
              </w:rPr>
              <w:t>0,048</w:t>
            </w:r>
          </w:p>
        </w:tc>
        <w:tc>
          <w:tcPr>
            <w:tcW w:w="1400" w:type="dxa"/>
            <w:tcBorders>
              <w:top w:val="dashSmallGap" w:sz="4" w:space="0" w:color="auto"/>
              <w:left w:val="nil"/>
              <w:bottom w:val="nil"/>
              <w:right w:val="nil"/>
            </w:tcBorders>
            <w:noWrap/>
            <w:vAlign w:val="bottom"/>
            <w:hideMark/>
          </w:tcPr>
          <w:p w14:paraId="43230F95" w14:textId="77777777" w:rsidR="005B4528" w:rsidRPr="00B53C19" w:rsidRDefault="005B4528" w:rsidP="00B53C19">
            <w:pPr>
              <w:spacing w:before="0" w:after="0" w:line="256" w:lineRule="auto"/>
              <w:jc w:val="center"/>
              <w:rPr>
                <w:rFonts w:cs="Calibri"/>
                <w:b/>
                <w:bCs/>
                <w:sz w:val="16"/>
                <w:szCs w:val="16"/>
                <w:lang w:eastAsia="en-US"/>
              </w:rPr>
            </w:pPr>
            <w:r w:rsidRPr="00B53C19">
              <w:rPr>
                <w:rFonts w:cs="Calibri"/>
                <w:b/>
                <w:bCs/>
                <w:sz w:val="16"/>
                <w:szCs w:val="16"/>
                <w:lang w:eastAsia="en-US"/>
              </w:rPr>
              <w:t>V.</w:t>
            </w:r>
          </w:p>
        </w:tc>
      </w:tr>
      <w:tr w:rsidR="005B4528" w:rsidRPr="00950FD3" w14:paraId="04957A6E" w14:textId="77777777" w:rsidTr="00B53C19">
        <w:trPr>
          <w:trHeight w:val="225"/>
        </w:trPr>
        <w:tc>
          <w:tcPr>
            <w:tcW w:w="7924" w:type="dxa"/>
            <w:gridSpan w:val="4"/>
            <w:tcBorders>
              <w:top w:val="nil"/>
              <w:left w:val="nil"/>
              <w:bottom w:val="dashSmallGap" w:sz="4" w:space="0" w:color="auto"/>
              <w:right w:val="nil"/>
            </w:tcBorders>
            <w:noWrap/>
            <w:vAlign w:val="center"/>
          </w:tcPr>
          <w:p w14:paraId="77A32E63" w14:textId="77777777" w:rsidR="005B4528" w:rsidRPr="00950FD3" w:rsidRDefault="005B4528" w:rsidP="00B53C19">
            <w:pPr>
              <w:spacing w:before="0" w:after="0" w:line="257" w:lineRule="auto"/>
              <w:ind w:left="0"/>
              <w:contextualSpacing/>
              <w:jc w:val="left"/>
              <w:rPr>
                <w:rFonts w:cs="Calibri"/>
                <w:b/>
                <w:bCs/>
                <w:i/>
                <w:iCs/>
                <w:sz w:val="16"/>
                <w:szCs w:val="16"/>
                <w:lang w:eastAsia="en-US"/>
              </w:rPr>
            </w:pPr>
            <w:r w:rsidRPr="00950FD3">
              <w:rPr>
                <w:rFonts w:cs="Calibri"/>
                <w:b/>
                <w:bCs/>
                <w:i/>
                <w:iCs/>
                <w:sz w:val="16"/>
                <w:szCs w:val="16"/>
                <w:lang w:eastAsia="en-US"/>
              </w:rPr>
              <w:t xml:space="preserve">zdůvodnění vymezení: </w:t>
            </w:r>
          </w:p>
          <w:p w14:paraId="4A377756" w14:textId="77777777" w:rsidR="005B4528" w:rsidRDefault="005B4528">
            <w:pPr>
              <w:pStyle w:val="Odstavecseseznamem"/>
              <w:numPr>
                <w:ilvl w:val="0"/>
                <w:numId w:val="41"/>
              </w:numPr>
              <w:spacing w:before="0" w:after="0" w:line="257" w:lineRule="auto"/>
              <w:ind w:left="218" w:hanging="141"/>
              <w:jc w:val="left"/>
              <w:rPr>
                <w:rFonts w:cs="Calibri"/>
                <w:i/>
                <w:iCs/>
                <w:sz w:val="16"/>
                <w:szCs w:val="16"/>
              </w:rPr>
            </w:pPr>
            <w:r>
              <w:rPr>
                <w:rFonts w:cs="Calibri"/>
                <w:i/>
                <w:iCs/>
                <w:sz w:val="16"/>
                <w:szCs w:val="16"/>
              </w:rPr>
              <w:t>plocha je dlouhodobě vymezena pro rozvoj systému veřejné kanalizace místní části Posluchov (plocha T4 předchozího ÚP),</w:t>
            </w:r>
          </w:p>
          <w:p w14:paraId="4CEA0352" w14:textId="77777777" w:rsidR="005B4528" w:rsidRPr="00950FD3" w:rsidRDefault="005B4528">
            <w:pPr>
              <w:pStyle w:val="Odstavecseseznamem"/>
              <w:numPr>
                <w:ilvl w:val="0"/>
                <w:numId w:val="41"/>
              </w:numPr>
              <w:spacing w:before="0" w:after="0" w:line="257" w:lineRule="auto"/>
              <w:ind w:left="218" w:hanging="141"/>
              <w:jc w:val="left"/>
              <w:rPr>
                <w:rFonts w:cs="Calibri"/>
                <w:i/>
                <w:iCs/>
                <w:sz w:val="16"/>
                <w:szCs w:val="16"/>
              </w:rPr>
            </w:pPr>
            <w:r w:rsidRPr="00950FD3">
              <w:rPr>
                <w:rFonts w:cs="Calibri"/>
                <w:i/>
                <w:iCs/>
                <w:sz w:val="16"/>
                <w:szCs w:val="16"/>
              </w:rPr>
              <w:t>plocha je vymezen</w:t>
            </w:r>
            <w:r>
              <w:rPr>
                <w:rFonts w:cs="Calibri"/>
                <w:i/>
                <w:iCs/>
                <w:sz w:val="16"/>
                <w:szCs w:val="16"/>
              </w:rPr>
              <w:t>a</w:t>
            </w:r>
            <w:r w:rsidRPr="00950FD3">
              <w:rPr>
                <w:rFonts w:cs="Calibri"/>
                <w:i/>
                <w:iCs/>
                <w:sz w:val="16"/>
                <w:szCs w:val="16"/>
              </w:rPr>
              <w:t xml:space="preserve"> pro vybudování místní ČOV Posluchov, případně čerpací stanice.</w:t>
            </w:r>
          </w:p>
          <w:p w14:paraId="488E3BE7" w14:textId="77777777" w:rsidR="005B4528" w:rsidRPr="00950FD3" w:rsidRDefault="005B4528" w:rsidP="00B53C19">
            <w:pPr>
              <w:spacing w:before="0" w:after="0" w:line="257" w:lineRule="auto"/>
              <w:ind w:left="0"/>
              <w:contextualSpacing/>
              <w:jc w:val="left"/>
              <w:rPr>
                <w:rFonts w:cs="Calibri"/>
                <w:b/>
                <w:bCs/>
                <w:i/>
                <w:iCs/>
                <w:sz w:val="16"/>
                <w:szCs w:val="16"/>
              </w:rPr>
            </w:pPr>
            <w:r w:rsidRPr="00950FD3">
              <w:rPr>
                <w:rFonts w:cs="Calibri"/>
                <w:b/>
                <w:bCs/>
                <w:i/>
                <w:iCs/>
                <w:sz w:val="16"/>
                <w:szCs w:val="16"/>
              </w:rPr>
              <w:t>nezbytnost</w:t>
            </w:r>
            <w:r>
              <w:rPr>
                <w:rFonts w:cs="Calibri"/>
                <w:b/>
                <w:bCs/>
                <w:i/>
                <w:iCs/>
                <w:sz w:val="16"/>
                <w:szCs w:val="16"/>
              </w:rPr>
              <w:t xml:space="preserve"> a </w:t>
            </w:r>
            <w:r w:rsidRPr="00950FD3">
              <w:rPr>
                <w:rFonts w:cs="Calibri"/>
                <w:b/>
                <w:bCs/>
                <w:i/>
                <w:iCs/>
                <w:sz w:val="16"/>
                <w:szCs w:val="16"/>
              </w:rPr>
              <w:t>veřejný zájem vymezení plochy:</w:t>
            </w:r>
          </w:p>
          <w:p w14:paraId="139CE1F7" w14:textId="77777777" w:rsidR="005B4528" w:rsidRPr="00950FD3" w:rsidRDefault="005B4528">
            <w:pPr>
              <w:pStyle w:val="Odstavecseseznamem"/>
              <w:numPr>
                <w:ilvl w:val="0"/>
                <w:numId w:val="42"/>
              </w:numPr>
              <w:spacing w:before="0" w:after="0" w:line="257" w:lineRule="auto"/>
              <w:ind w:left="218" w:hanging="142"/>
              <w:jc w:val="left"/>
              <w:rPr>
                <w:rFonts w:cs="Calibri"/>
                <w:i/>
                <w:iCs/>
                <w:sz w:val="16"/>
                <w:szCs w:val="16"/>
              </w:rPr>
            </w:pPr>
            <w:r>
              <w:rPr>
                <w:rFonts w:cs="Calibri"/>
                <w:i/>
                <w:iCs/>
                <w:sz w:val="16"/>
                <w:szCs w:val="16"/>
              </w:rPr>
              <w:t>veřejný zájem je dán potřebou zajištění rozvoje systému veřejné kanalizace místní části Posluchov</w:t>
            </w:r>
          </w:p>
        </w:tc>
      </w:tr>
      <w:tr w:rsidR="005B4528" w:rsidRPr="00B53C19" w14:paraId="473D274E" w14:textId="77777777" w:rsidTr="00B53C19">
        <w:trPr>
          <w:trHeight w:val="225"/>
        </w:trPr>
        <w:tc>
          <w:tcPr>
            <w:tcW w:w="1984" w:type="dxa"/>
            <w:tcBorders>
              <w:top w:val="dashSmallGap" w:sz="4" w:space="0" w:color="auto"/>
              <w:left w:val="nil"/>
              <w:bottom w:val="nil"/>
              <w:right w:val="nil"/>
            </w:tcBorders>
            <w:noWrap/>
            <w:vAlign w:val="bottom"/>
            <w:hideMark/>
          </w:tcPr>
          <w:p w14:paraId="75867C30" w14:textId="77777777" w:rsidR="005B4528" w:rsidRPr="00B53C19" w:rsidRDefault="005B4528" w:rsidP="00B53C19">
            <w:pPr>
              <w:spacing w:before="0" w:after="0" w:line="257" w:lineRule="auto"/>
              <w:ind w:left="0"/>
              <w:contextualSpacing/>
              <w:jc w:val="left"/>
              <w:rPr>
                <w:rFonts w:cs="Calibri"/>
                <w:b/>
                <w:bCs/>
                <w:sz w:val="16"/>
                <w:szCs w:val="16"/>
                <w:lang w:eastAsia="en-US"/>
              </w:rPr>
            </w:pPr>
            <w:r w:rsidRPr="00B53C19">
              <w:rPr>
                <w:rFonts w:cs="Calibri"/>
                <w:b/>
                <w:bCs/>
                <w:sz w:val="16"/>
                <w:szCs w:val="16"/>
                <w:lang w:eastAsia="en-US"/>
              </w:rPr>
              <w:t>Z.09-10</w:t>
            </w:r>
          </w:p>
        </w:tc>
        <w:tc>
          <w:tcPr>
            <w:tcW w:w="1300" w:type="dxa"/>
            <w:tcBorders>
              <w:top w:val="dashSmallGap" w:sz="4" w:space="0" w:color="auto"/>
              <w:left w:val="nil"/>
              <w:bottom w:val="nil"/>
              <w:right w:val="nil"/>
            </w:tcBorders>
            <w:noWrap/>
            <w:vAlign w:val="bottom"/>
            <w:hideMark/>
          </w:tcPr>
          <w:p w14:paraId="4357406A" w14:textId="77777777" w:rsidR="005B4528" w:rsidRPr="00B53C19" w:rsidRDefault="005B4528" w:rsidP="00B53C19">
            <w:pPr>
              <w:spacing w:before="0" w:after="0" w:line="256" w:lineRule="auto"/>
              <w:jc w:val="center"/>
              <w:rPr>
                <w:rFonts w:cs="Calibri"/>
                <w:b/>
                <w:bCs/>
                <w:sz w:val="16"/>
                <w:szCs w:val="16"/>
                <w:lang w:eastAsia="en-US"/>
              </w:rPr>
            </w:pPr>
            <w:r w:rsidRPr="00B53C19">
              <w:rPr>
                <w:rFonts w:cs="Calibri"/>
                <w:b/>
                <w:bCs/>
                <w:sz w:val="16"/>
                <w:szCs w:val="16"/>
                <w:lang w:eastAsia="en-US"/>
              </w:rPr>
              <w:t>TU</w:t>
            </w:r>
          </w:p>
        </w:tc>
        <w:tc>
          <w:tcPr>
            <w:tcW w:w="3237" w:type="dxa"/>
            <w:tcBorders>
              <w:top w:val="dashSmallGap" w:sz="4" w:space="0" w:color="auto"/>
              <w:left w:val="nil"/>
              <w:bottom w:val="nil"/>
              <w:right w:val="nil"/>
            </w:tcBorders>
            <w:noWrap/>
            <w:vAlign w:val="bottom"/>
            <w:hideMark/>
          </w:tcPr>
          <w:p w14:paraId="054EE978" w14:textId="77777777" w:rsidR="005B4528" w:rsidRPr="00B53C19" w:rsidRDefault="005B4528" w:rsidP="00B53C19">
            <w:pPr>
              <w:spacing w:before="0" w:after="0" w:line="256" w:lineRule="auto"/>
              <w:jc w:val="center"/>
              <w:rPr>
                <w:rFonts w:cs="Calibri"/>
                <w:b/>
                <w:bCs/>
                <w:sz w:val="16"/>
                <w:szCs w:val="16"/>
                <w:lang w:eastAsia="en-US"/>
              </w:rPr>
            </w:pPr>
            <w:r w:rsidRPr="00B53C19">
              <w:rPr>
                <w:rFonts w:cs="Calibri"/>
                <w:b/>
                <w:bCs/>
                <w:sz w:val="16"/>
                <w:szCs w:val="16"/>
                <w:lang w:eastAsia="en-US"/>
              </w:rPr>
              <w:t>0,316</w:t>
            </w:r>
          </w:p>
        </w:tc>
        <w:tc>
          <w:tcPr>
            <w:tcW w:w="1400" w:type="dxa"/>
            <w:tcBorders>
              <w:top w:val="dashSmallGap" w:sz="4" w:space="0" w:color="auto"/>
              <w:left w:val="nil"/>
              <w:bottom w:val="nil"/>
              <w:right w:val="nil"/>
            </w:tcBorders>
            <w:noWrap/>
            <w:vAlign w:val="bottom"/>
            <w:hideMark/>
          </w:tcPr>
          <w:p w14:paraId="3F5F5498" w14:textId="77777777" w:rsidR="005B4528" w:rsidRPr="00B53C19" w:rsidRDefault="005B4528" w:rsidP="00B53C19">
            <w:pPr>
              <w:spacing w:before="0" w:after="0" w:line="256" w:lineRule="auto"/>
              <w:jc w:val="center"/>
              <w:rPr>
                <w:rFonts w:cs="Calibri"/>
                <w:b/>
                <w:bCs/>
                <w:sz w:val="16"/>
                <w:szCs w:val="16"/>
                <w:lang w:eastAsia="en-US"/>
              </w:rPr>
            </w:pPr>
            <w:r w:rsidRPr="00B53C19">
              <w:rPr>
                <w:rFonts w:cs="Calibri"/>
                <w:b/>
                <w:bCs/>
                <w:sz w:val="16"/>
                <w:szCs w:val="16"/>
                <w:lang w:eastAsia="en-US"/>
              </w:rPr>
              <w:t>I.</w:t>
            </w:r>
          </w:p>
        </w:tc>
      </w:tr>
      <w:tr w:rsidR="005B4528" w:rsidRPr="00950FD3" w14:paraId="70215B57" w14:textId="77777777" w:rsidTr="00B53C19">
        <w:trPr>
          <w:trHeight w:val="225"/>
        </w:trPr>
        <w:tc>
          <w:tcPr>
            <w:tcW w:w="7924" w:type="dxa"/>
            <w:gridSpan w:val="4"/>
            <w:tcBorders>
              <w:top w:val="nil"/>
              <w:left w:val="nil"/>
              <w:bottom w:val="dashSmallGap" w:sz="4" w:space="0" w:color="auto"/>
              <w:right w:val="nil"/>
            </w:tcBorders>
            <w:noWrap/>
            <w:vAlign w:val="bottom"/>
          </w:tcPr>
          <w:p w14:paraId="1019BE3F" w14:textId="77777777" w:rsidR="005B4528" w:rsidRPr="00950FD3" w:rsidRDefault="005B4528" w:rsidP="00B53C19">
            <w:pPr>
              <w:spacing w:before="0" w:after="0" w:line="257" w:lineRule="auto"/>
              <w:ind w:left="0"/>
              <w:contextualSpacing/>
              <w:jc w:val="left"/>
              <w:rPr>
                <w:rFonts w:cs="Calibri"/>
                <w:b/>
                <w:bCs/>
                <w:i/>
                <w:iCs/>
                <w:sz w:val="16"/>
                <w:szCs w:val="16"/>
                <w:lang w:eastAsia="en-US"/>
              </w:rPr>
            </w:pPr>
            <w:r w:rsidRPr="00950FD3">
              <w:rPr>
                <w:rFonts w:cs="Calibri"/>
                <w:b/>
                <w:bCs/>
                <w:i/>
                <w:iCs/>
                <w:sz w:val="16"/>
                <w:szCs w:val="16"/>
                <w:lang w:eastAsia="en-US"/>
              </w:rPr>
              <w:t xml:space="preserve">zdůvodnění vymezení: </w:t>
            </w:r>
          </w:p>
          <w:p w14:paraId="46A4215F" w14:textId="77777777" w:rsidR="005B4528" w:rsidRDefault="005B4528">
            <w:pPr>
              <w:pStyle w:val="Odstavecseseznamem"/>
              <w:numPr>
                <w:ilvl w:val="0"/>
                <w:numId w:val="41"/>
              </w:numPr>
              <w:spacing w:before="0" w:after="0" w:line="257" w:lineRule="auto"/>
              <w:ind w:left="218" w:hanging="141"/>
              <w:jc w:val="left"/>
              <w:rPr>
                <w:rFonts w:cs="Calibri"/>
                <w:i/>
                <w:iCs/>
                <w:sz w:val="16"/>
                <w:szCs w:val="16"/>
              </w:rPr>
            </w:pPr>
            <w:r>
              <w:rPr>
                <w:rFonts w:cs="Calibri"/>
                <w:i/>
                <w:iCs/>
                <w:sz w:val="16"/>
                <w:szCs w:val="16"/>
              </w:rPr>
              <w:t>plocha je dlouhodobě vymezena pro technickou infrastrukturu obce (plocha T6 předchozího ÚP),</w:t>
            </w:r>
          </w:p>
          <w:p w14:paraId="21A112FA" w14:textId="77777777" w:rsidR="005B4528" w:rsidRPr="00950FD3" w:rsidRDefault="005B4528">
            <w:pPr>
              <w:pStyle w:val="Odstavecseseznamem"/>
              <w:numPr>
                <w:ilvl w:val="0"/>
                <w:numId w:val="41"/>
              </w:numPr>
              <w:spacing w:before="0" w:after="0" w:line="257" w:lineRule="auto"/>
              <w:ind w:left="218" w:hanging="141"/>
              <w:jc w:val="left"/>
              <w:rPr>
                <w:rFonts w:cs="Calibri"/>
                <w:i/>
                <w:iCs/>
                <w:sz w:val="16"/>
                <w:szCs w:val="16"/>
              </w:rPr>
            </w:pPr>
            <w:r w:rsidRPr="00950FD3">
              <w:rPr>
                <w:rFonts w:cs="Calibri"/>
                <w:i/>
                <w:iCs/>
                <w:sz w:val="16"/>
                <w:szCs w:val="16"/>
              </w:rPr>
              <w:t>plocha je vymezen</w:t>
            </w:r>
            <w:r>
              <w:rPr>
                <w:rFonts w:cs="Calibri"/>
                <w:i/>
                <w:iCs/>
                <w:sz w:val="16"/>
                <w:szCs w:val="16"/>
              </w:rPr>
              <w:t>a</w:t>
            </w:r>
            <w:r w:rsidRPr="00950FD3">
              <w:rPr>
                <w:rFonts w:cs="Calibri"/>
                <w:i/>
                <w:iCs/>
                <w:sz w:val="16"/>
                <w:szCs w:val="16"/>
              </w:rPr>
              <w:t xml:space="preserve"> pro</w:t>
            </w:r>
            <w:r>
              <w:rPr>
                <w:rFonts w:cs="Calibri"/>
                <w:i/>
                <w:iCs/>
                <w:sz w:val="16"/>
                <w:szCs w:val="16"/>
              </w:rPr>
              <w:t xml:space="preserve"> rozšíření sběrného dvora, část zastavitelné plochy dle přechozího ÚP již byla využita</w:t>
            </w:r>
            <w:r w:rsidRPr="00950FD3">
              <w:rPr>
                <w:rFonts w:cs="Calibri"/>
                <w:i/>
                <w:iCs/>
                <w:sz w:val="16"/>
                <w:szCs w:val="16"/>
              </w:rPr>
              <w:t>.</w:t>
            </w:r>
          </w:p>
          <w:p w14:paraId="3B61D604" w14:textId="77777777" w:rsidR="005B4528" w:rsidRPr="00950FD3" w:rsidRDefault="005B4528" w:rsidP="00B53C19">
            <w:pPr>
              <w:spacing w:before="0" w:after="0" w:line="257" w:lineRule="auto"/>
              <w:ind w:left="0"/>
              <w:contextualSpacing/>
              <w:jc w:val="left"/>
              <w:rPr>
                <w:rFonts w:cs="Calibri"/>
                <w:b/>
                <w:bCs/>
                <w:i/>
                <w:iCs/>
                <w:sz w:val="16"/>
                <w:szCs w:val="16"/>
              </w:rPr>
            </w:pPr>
            <w:r w:rsidRPr="00950FD3">
              <w:rPr>
                <w:rFonts w:cs="Calibri"/>
                <w:b/>
                <w:bCs/>
                <w:i/>
                <w:iCs/>
                <w:sz w:val="16"/>
                <w:szCs w:val="16"/>
              </w:rPr>
              <w:t>nezbytnost</w:t>
            </w:r>
            <w:r>
              <w:rPr>
                <w:rFonts w:cs="Calibri"/>
                <w:b/>
                <w:bCs/>
                <w:i/>
                <w:iCs/>
                <w:sz w:val="16"/>
                <w:szCs w:val="16"/>
              </w:rPr>
              <w:t xml:space="preserve"> a </w:t>
            </w:r>
            <w:r w:rsidRPr="00950FD3">
              <w:rPr>
                <w:rFonts w:cs="Calibri"/>
                <w:b/>
                <w:bCs/>
                <w:i/>
                <w:iCs/>
                <w:sz w:val="16"/>
                <w:szCs w:val="16"/>
              </w:rPr>
              <w:t>veřejný zájem vymezení plochy:</w:t>
            </w:r>
          </w:p>
          <w:p w14:paraId="335C1F16" w14:textId="77777777" w:rsidR="005B4528" w:rsidRPr="00D64E10" w:rsidRDefault="005B4528">
            <w:pPr>
              <w:pStyle w:val="Odstavecseseznamem"/>
              <w:numPr>
                <w:ilvl w:val="0"/>
                <w:numId w:val="41"/>
              </w:numPr>
              <w:spacing w:before="0" w:after="0" w:line="257" w:lineRule="auto"/>
              <w:ind w:left="218" w:hanging="141"/>
              <w:jc w:val="left"/>
              <w:rPr>
                <w:rFonts w:cs="Calibri"/>
                <w:i/>
                <w:iCs/>
                <w:sz w:val="16"/>
                <w:szCs w:val="16"/>
              </w:rPr>
            </w:pPr>
            <w:r>
              <w:rPr>
                <w:rFonts w:cs="Calibri"/>
                <w:i/>
                <w:iCs/>
                <w:sz w:val="16"/>
                <w:szCs w:val="16"/>
              </w:rPr>
              <w:t>veřejný zájem je dán potřebou zajištění prostorové rezervy pro rozšíření sběrného dvora jako součásti veřejné infrastruktury obce.</w:t>
            </w:r>
          </w:p>
        </w:tc>
      </w:tr>
      <w:tr w:rsidR="005B4528" w:rsidRPr="00B53C19" w14:paraId="29BE0372" w14:textId="77777777" w:rsidTr="00B53C19">
        <w:trPr>
          <w:trHeight w:val="225"/>
        </w:trPr>
        <w:tc>
          <w:tcPr>
            <w:tcW w:w="1984" w:type="dxa"/>
            <w:tcBorders>
              <w:top w:val="dashSmallGap" w:sz="4" w:space="0" w:color="auto"/>
              <w:left w:val="nil"/>
              <w:bottom w:val="nil"/>
              <w:right w:val="nil"/>
            </w:tcBorders>
            <w:noWrap/>
            <w:vAlign w:val="bottom"/>
            <w:hideMark/>
          </w:tcPr>
          <w:p w14:paraId="4ABA1C54" w14:textId="77777777" w:rsidR="005B4528" w:rsidRPr="00B53C19" w:rsidRDefault="005B4528" w:rsidP="00B53C19">
            <w:pPr>
              <w:spacing w:before="0" w:after="0" w:line="257" w:lineRule="auto"/>
              <w:ind w:left="0"/>
              <w:contextualSpacing/>
              <w:jc w:val="left"/>
              <w:rPr>
                <w:rFonts w:cs="Calibri"/>
                <w:b/>
                <w:bCs/>
                <w:sz w:val="16"/>
                <w:szCs w:val="16"/>
                <w:lang w:eastAsia="en-US"/>
              </w:rPr>
            </w:pPr>
            <w:r w:rsidRPr="00B53C19">
              <w:rPr>
                <w:rFonts w:cs="Calibri"/>
                <w:b/>
                <w:bCs/>
                <w:sz w:val="16"/>
                <w:szCs w:val="16"/>
                <w:lang w:eastAsia="en-US"/>
              </w:rPr>
              <w:t>Z.10-10</w:t>
            </w:r>
          </w:p>
        </w:tc>
        <w:tc>
          <w:tcPr>
            <w:tcW w:w="1300" w:type="dxa"/>
            <w:tcBorders>
              <w:top w:val="dashSmallGap" w:sz="4" w:space="0" w:color="auto"/>
              <w:left w:val="nil"/>
              <w:bottom w:val="nil"/>
              <w:right w:val="nil"/>
            </w:tcBorders>
            <w:noWrap/>
            <w:vAlign w:val="bottom"/>
            <w:hideMark/>
          </w:tcPr>
          <w:p w14:paraId="60DDA8F1" w14:textId="77777777" w:rsidR="005B4528" w:rsidRPr="00B53C19" w:rsidRDefault="005B4528" w:rsidP="00B53C19">
            <w:pPr>
              <w:spacing w:before="0" w:after="0" w:line="256" w:lineRule="auto"/>
              <w:jc w:val="center"/>
              <w:rPr>
                <w:rFonts w:cs="Calibri"/>
                <w:b/>
                <w:bCs/>
                <w:sz w:val="16"/>
                <w:szCs w:val="16"/>
                <w:lang w:eastAsia="en-US"/>
              </w:rPr>
            </w:pPr>
            <w:r w:rsidRPr="00B53C19">
              <w:rPr>
                <w:rFonts w:cs="Calibri"/>
                <w:b/>
                <w:bCs/>
                <w:sz w:val="16"/>
                <w:szCs w:val="16"/>
                <w:lang w:eastAsia="en-US"/>
              </w:rPr>
              <w:t>TU</w:t>
            </w:r>
          </w:p>
        </w:tc>
        <w:tc>
          <w:tcPr>
            <w:tcW w:w="3237" w:type="dxa"/>
            <w:tcBorders>
              <w:top w:val="dashSmallGap" w:sz="4" w:space="0" w:color="auto"/>
              <w:left w:val="nil"/>
              <w:bottom w:val="nil"/>
              <w:right w:val="nil"/>
            </w:tcBorders>
            <w:noWrap/>
            <w:vAlign w:val="bottom"/>
            <w:hideMark/>
          </w:tcPr>
          <w:p w14:paraId="32A70B01" w14:textId="77777777" w:rsidR="005B4528" w:rsidRPr="00B53C19" w:rsidRDefault="005B4528" w:rsidP="00B53C19">
            <w:pPr>
              <w:spacing w:before="0" w:after="0" w:line="256" w:lineRule="auto"/>
              <w:jc w:val="center"/>
              <w:rPr>
                <w:rFonts w:cs="Calibri"/>
                <w:b/>
                <w:bCs/>
                <w:sz w:val="16"/>
                <w:szCs w:val="16"/>
                <w:lang w:eastAsia="en-US"/>
              </w:rPr>
            </w:pPr>
            <w:r w:rsidRPr="00B53C19">
              <w:rPr>
                <w:rFonts w:cs="Calibri"/>
                <w:b/>
                <w:bCs/>
                <w:sz w:val="16"/>
                <w:szCs w:val="16"/>
                <w:lang w:eastAsia="en-US"/>
              </w:rPr>
              <w:t>0,188</w:t>
            </w:r>
          </w:p>
        </w:tc>
        <w:tc>
          <w:tcPr>
            <w:tcW w:w="1400" w:type="dxa"/>
            <w:tcBorders>
              <w:top w:val="dashSmallGap" w:sz="4" w:space="0" w:color="auto"/>
              <w:left w:val="nil"/>
              <w:bottom w:val="nil"/>
              <w:right w:val="nil"/>
            </w:tcBorders>
            <w:noWrap/>
            <w:vAlign w:val="bottom"/>
            <w:hideMark/>
          </w:tcPr>
          <w:p w14:paraId="4D5DFCF4" w14:textId="77777777" w:rsidR="005B4528" w:rsidRPr="00B53C19" w:rsidRDefault="005B4528" w:rsidP="00B53C19">
            <w:pPr>
              <w:spacing w:before="0" w:after="0" w:line="256" w:lineRule="auto"/>
              <w:jc w:val="center"/>
              <w:rPr>
                <w:rFonts w:cs="Calibri"/>
                <w:b/>
                <w:bCs/>
                <w:sz w:val="16"/>
                <w:szCs w:val="16"/>
                <w:lang w:eastAsia="en-US"/>
              </w:rPr>
            </w:pPr>
            <w:r w:rsidRPr="00B53C19">
              <w:rPr>
                <w:rFonts w:cs="Calibri"/>
                <w:b/>
                <w:bCs/>
                <w:sz w:val="16"/>
                <w:szCs w:val="16"/>
                <w:lang w:eastAsia="en-US"/>
              </w:rPr>
              <w:t>II., V.</w:t>
            </w:r>
          </w:p>
        </w:tc>
      </w:tr>
      <w:tr w:rsidR="005B4528" w:rsidRPr="00950FD3" w14:paraId="5D298562" w14:textId="77777777" w:rsidTr="00B53C19">
        <w:trPr>
          <w:trHeight w:val="225"/>
        </w:trPr>
        <w:tc>
          <w:tcPr>
            <w:tcW w:w="7924" w:type="dxa"/>
            <w:gridSpan w:val="4"/>
            <w:tcBorders>
              <w:top w:val="nil"/>
              <w:left w:val="nil"/>
              <w:bottom w:val="dashSmallGap" w:sz="4" w:space="0" w:color="auto"/>
              <w:right w:val="nil"/>
            </w:tcBorders>
            <w:noWrap/>
            <w:vAlign w:val="bottom"/>
          </w:tcPr>
          <w:p w14:paraId="7996E7FB" w14:textId="77777777" w:rsidR="005B4528" w:rsidRPr="00950FD3" w:rsidRDefault="005B4528" w:rsidP="00B53C19">
            <w:pPr>
              <w:spacing w:before="0" w:after="0" w:line="257" w:lineRule="auto"/>
              <w:ind w:left="0"/>
              <w:contextualSpacing/>
              <w:jc w:val="left"/>
              <w:rPr>
                <w:rFonts w:cs="Calibri"/>
                <w:b/>
                <w:bCs/>
                <w:i/>
                <w:iCs/>
                <w:sz w:val="16"/>
                <w:szCs w:val="16"/>
                <w:lang w:eastAsia="en-US"/>
              </w:rPr>
            </w:pPr>
            <w:r w:rsidRPr="00950FD3">
              <w:rPr>
                <w:rFonts w:cs="Calibri"/>
                <w:b/>
                <w:bCs/>
                <w:i/>
                <w:iCs/>
                <w:sz w:val="16"/>
                <w:szCs w:val="16"/>
                <w:lang w:eastAsia="en-US"/>
              </w:rPr>
              <w:t xml:space="preserve">zdůvodnění vymezení: </w:t>
            </w:r>
          </w:p>
          <w:p w14:paraId="2D4E7189" w14:textId="77777777" w:rsidR="005B4528" w:rsidRDefault="005B4528">
            <w:pPr>
              <w:pStyle w:val="Odstavecseseznamem"/>
              <w:numPr>
                <w:ilvl w:val="0"/>
                <w:numId w:val="41"/>
              </w:numPr>
              <w:spacing w:before="0" w:after="0" w:line="257" w:lineRule="auto"/>
              <w:ind w:left="218" w:hanging="141"/>
              <w:jc w:val="left"/>
              <w:rPr>
                <w:rFonts w:cs="Calibri"/>
                <w:i/>
                <w:iCs/>
                <w:sz w:val="16"/>
                <w:szCs w:val="16"/>
              </w:rPr>
            </w:pPr>
            <w:r>
              <w:rPr>
                <w:rFonts w:cs="Calibri"/>
                <w:i/>
                <w:iCs/>
                <w:sz w:val="16"/>
                <w:szCs w:val="16"/>
              </w:rPr>
              <w:t>plocha je dlouhodobě vymezena pro rozvoj systému veřejné kanalizace místní části Hrubá Voda, rekreační areál (plocha T1 předchozího ÚP),</w:t>
            </w:r>
          </w:p>
          <w:p w14:paraId="3566573B" w14:textId="77777777" w:rsidR="005B4528" w:rsidRPr="00950FD3" w:rsidRDefault="005B4528">
            <w:pPr>
              <w:pStyle w:val="Odstavecseseznamem"/>
              <w:numPr>
                <w:ilvl w:val="0"/>
                <w:numId w:val="41"/>
              </w:numPr>
              <w:spacing w:before="0" w:after="0" w:line="257" w:lineRule="auto"/>
              <w:ind w:left="218" w:hanging="141"/>
              <w:jc w:val="left"/>
              <w:rPr>
                <w:rFonts w:cs="Calibri"/>
                <w:i/>
                <w:iCs/>
                <w:sz w:val="16"/>
                <w:szCs w:val="16"/>
              </w:rPr>
            </w:pPr>
            <w:r w:rsidRPr="00950FD3">
              <w:rPr>
                <w:rFonts w:cs="Calibri"/>
                <w:i/>
                <w:iCs/>
                <w:sz w:val="16"/>
                <w:szCs w:val="16"/>
              </w:rPr>
              <w:t>plocha je vymezen</w:t>
            </w:r>
            <w:r>
              <w:rPr>
                <w:rFonts w:cs="Calibri"/>
                <w:i/>
                <w:iCs/>
                <w:sz w:val="16"/>
                <w:szCs w:val="16"/>
              </w:rPr>
              <w:t>a</w:t>
            </w:r>
            <w:r w:rsidRPr="00950FD3">
              <w:rPr>
                <w:rFonts w:cs="Calibri"/>
                <w:i/>
                <w:iCs/>
                <w:sz w:val="16"/>
                <w:szCs w:val="16"/>
              </w:rPr>
              <w:t xml:space="preserve"> pro vybudování místní ČOV </w:t>
            </w:r>
            <w:r>
              <w:rPr>
                <w:rFonts w:cs="Calibri"/>
                <w:i/>
                <w:iCs/>
                <w:sz w:val="16"/>
                <w:szCs w:val="16"/>
              </w:rPr>
              <w:t>Hrubá Voda, rekreační areál</w:t>
            </w:r>
            <w:r w:rsidRPr="00950FD3">
              <w:rPr>
                <w:rFonts w:cs="Calibri"/>
                <w:i/>
                <w:iCs/>
                <w:sz w:val="16"/>
                <w:szCs w:val="16"/>
              </w:rPr>
              <w:t>.</w:t>
            </w:r>
          </w:p>
          <w:p w14:paraId="322D50B2" w14:textId="77777777" w:rsidR="005B4528" w:rsidRPr="00950FD3" w:rsidRDefault="005B4528" w:rsidP="00B53C19">
            <w:pPr>
              <w:spacing w:before="0" w:after="0" w:line="257" w:lineRule="auto"/>
              <w:ind w:left="0"/>
              <w:contextualSpacing/>
              <w:jc w:val="left"/>
              <w:rPr>
                <w:rFonts w:cs="Calibri"/>
                <w:b/>
                <w:bCs/>
                <w:i/>
                <w:iCs/>
                <w:sz w:val="16"/>
                <w:szCs w:val="16"/>
              </w:rPr>
            </w:pPr>
            <w:r w:rsidRPr="00950FD3">
              <w:rPr>
                <w:rFonts w:cs="Calibri"/>
                <w:b/>
                <w:bCs/>
                <w:i/>
                <w:iCs/>
                <w:sz w:val="16"/>
                <w:szCs w:val="16"/>
              </w:rPr>
              <w:t>nezbytnost</w:t>
            </w:r>
            <w:r>
              <w:rPr>
                <w:rFonts w:cs="Calibri"/>
                <w:b/>
                <w:bCs/>
                <w:i/>
                <w:iCs/>
                <w:sz w:val="16"/>
                <w:szCs w:val="16"/>
              </w:rPr>
              <w:t xml:space="preserve"> a </w:t>
            </w:r>
            <w:r w:rsidRPr="00950FD3">
              <w:rPr>
                <w:rFonts w:cs="Calibri"/>
                <w:b/>
                <w:bCs/>
                <w:i/>
                <w:iCs/>
                <w:sz w:val="16"/>
                <w:szCs w:val="16"/>
              </w:rPr>
              <w:t>veřejný zájem vymezení plochy:</w:t>
            </w:r>
          </w:p>
          <w:p w14:paraId="0F7D8379" w14:textId="77777777" w:rsidR="005B4528" w:rsidRPr="001F46E7" w:rsidRDefault="005B4528">
            <w:pPr>
              <w:pStyle w:val="Odstavecseseznamem"/>
              <w:numPr>
                <w:ilvl w:val="0"/>
                <w:numId w:val="43"/>
              </w:numPr>
              <w:spacing w:before="0" w:after="0" w:line="257" w:lineRule="auto"/>
              <w:ind w:left="218" w:hanging="141"/>
              <w:jc w:val="left"/>
              <w:rPr>
                <w:rFonts w:cs="Calibri"/>
                <w:i/>
                <w:iCs/>
                <w:sz w:val="16"/>
                <w:szCs w:val="16"/>
              </w:rPr>
            </w:pPr>
            <w:r w:rsidRPr="00D64E10">
              <w:rPr>
                <w:rFonts w:cs="Calibri"/>
                <w:i/>
                <w:iCs/>
                <w:sz w:val="16"/>
                <w:szCs w:val="16"/>
              </w:rPr>
              <w:t xml:space="preserve">veřejný zájem je dán potřebou zajištění rozvoje systému veřejné kanalizace místní části </w:t>
            </w:r>
            <w:r>
              <w:rPr>
                <w:rFonts w:cs="Calibri"/>
                <w:i/>
                <w:iCs/>
                <w:sz w:val="16"/>
                <w:szCs w:val="16"/>
              </w:rPr>
              <w:t>Hrubá Voda.</w:t>
            </w:r>
          </w:p>
        </w:tc>
      </w:tr>
      <w:tr w:rsidR="005B4528" w14:paraId="17CDE39D" w14:textId="77777777" w:rsidTr="00B53C19">
        <w:trPr>
          <w:trHeight w:val="225"/>
        </w:trPr>
        <w:tc>
          <w:tcPr>
            <w:tcW w:w="1984" w:type="dxa"/>
            <w:tcBorders>
              <w:top w:val="dashSmallGap" w:sz="4" w:space="0" w:color="auto"/>
              <w:left w:val="nil"/>
              <w:bottom w:val="dashSmallGap" w:sz="4" w:space="0" w:color="auto"/>
              <w:right w:val="nil"/>
            </w:tcBorders>
            <w:noWrap/>
            <w:vAlign w:val="bottom"/>
            <w:hideMark/>
          </w:tcPr>
          <w:p w14:paraId="1CEEE4EF" w14:textId="77777777" w:rsidR="005B4528" w:rsidRPr="00950FD3" w:rsidRDefault="005B4528" w:rsidP="00B53C19">
            <w:pPr>
              <w:spacing w:before="0" w:after="0" w:line="257" w:lineRule="auto"/>
              <w:ind w:left="0"/>
              <w:contextualSpacing/>
              <w:jc w:val="left"/>
              <w:rPr>
                <w:rFonts w:cs="Calibri"/>
                <w:b/>
                <w:bCs/>
                <w:sz w:val="16"/>
                <w:szCs w:val="16"/>
                <w:lang w:eastAsia="en-US"/>
              </w:rPr>
            </w:pPr>
            <w:r w:rsidRPr="00950FD3">
              <w:rPr>
                <w:rFonts w:cs="Calibri"/>
                <w:b/>
                <w:bCs/>
                <w:sz w:val="16"/>
                <w:szCs w:val="16"/>
                <w:lang w:eastAsia="en-US"/>
              </w:rPr>
              <w:t>Celkem</w:t>
            </w:r>
          </w:p>
        </w:tc>
        <w:tc>
          <w:tcPr>
            <w:tcW w:w="1300" w:type="dxa"/>
            <w:tcBorders>
              <w:top w:val="dashSmallGap" w:sz="4" w:space="0" w:color="auto"/>
              <w:left w:val="nil"/>
              <w:bottom w:val="dashSmallGap" w:sz="4" w:space="0" w:color="auto"/>
              <w:right w:val="nil"/>
            </w:tcBorders>
            <w:noWrap/>
            <w:vAlign w:val="bottom"/>
            <w:hideMark/>
          </w:tcPr>
          <w:p w14:paraId="13D1609F" w14:textId="77777777" w:rsidR="005B4528" w:rsidRPr="00950FD3" w:rsidRDefault="005B4528" w:rsidP="00B53C19">
            <w:pPr>
              <w:spacing w:before="0" w:after="0" w:line="256" w:lineRule="auto"/>
              <w:jc w:val="center"/>
              <w:rPr>
                <w:rFonts w:cs="Calibri"/>
                <w:b/>
                <w:bCs/>
                <w:sz w:val="16"/>
                <w:szCs w:val="16"/>
                <w:lang w:eastAsia="en-US"/>
              </w:rPr>
            </w:pPr>
            <w:r w:rsidRPr="00950FD3">
              <w:rPr>
                <w:rFonts w:cs="Calibri"/>
                <w:b/>
                <w:bCs/>
                <w:sz w:val="16"/>
                <w:szCs w:val="16"/>
                <w:lang w:eastAsia="en-US"/>
              </w:rPr>
              <w:t> </w:t>
            </w:r>
          </w:p>
        </w:tc>
        <w:tc>
          <w:tcPr>
            <w:tcW w:w="3237" w:type="dxa"/>
            <w:tcBorders>
              <w:top w:val="dashSmallGap" w:sz="4" w:space="0" w:color="auto"/>
              <w:left w:val="nil"/>
              <w:bottom w:val="dashSmallGap" w:sz="4" w:space="0" w:color="auto"/>
              <w:right w:val="nil"/>
            </w:tcBorders>
            <w:noWrap/>
            <w:vAlign w:val="bottom"/>
            <w:hideMark/>
          </w:tcPr>
          <w:p w14:paraId="6274654A" w14:textId="77777777" w:rsidR="005B4528" w:rsidRDefault="005B4528" w:rsidP="00B53C19">
            <w:pPr>
              <w:spacing w:before="0" w:after="0" w:line="256" w:lineRule="auto"/>
              <w:jc w:val="center"/>
              <w:rPr>
                <w:rFonts w:cs="Calibri"/>
                <w:b/>
                <w:bCs/>
                <w:sz w:val="16"/>
                <w:szCs w:val="16"/>
                <w:lang w:eastAsia="en-US"/>
              </w:rPr>
            </w:pPr>
            <w:r w:rsidRPr="00950FD3">
              <w:rPr>
                <w:rFonts w:cs="Calibri"/>
                <w:b/>
                <w:bCs/>
                <w:sz w:val="16"/>
                <w:szCs w:val="16"/>
                <w:lang w:eastAsia="en-US"/>
              </w:rPr>
              <w:t>0,552</w:t>
            </w:r>
          </w:p>
        </w:tc>
        <w:tc>
          <w:tcPr>
            <w:tcW w:w="1400" w:type="dxa"/>
            <w:tcBorders>
              <w:top w:val="dashSmallGap" w:sz="4" w:space="0" w:color="auto"/>
              <w:left w:val="nil"/>
              <w:bottom w:val="dashSmallGap" w:sz="4" w:space="0" w:color="auto"/>
              <w:right w:val="nil"/>
            </w:tcBorders>
            <w:noWrap/>
            <w:vAlign w:val="bottom"/>
          </w:tcPr>
          <w:p w14:paraId="265EA432" w14:textId="77777777" w:rsidR="005B4528" w:rsidRDefault="005B4528" w:rsidP="00B53C19">
            <w:pPr>
              <w:spacing w:before="0" w:after="0" w:line="256" w:lineRule="auto"/>
              <w:jc w:val="center"/>
              <w:rPr>
                <w:rFonts w:cs="Calibri"/>
                <w:sz w:val="16"/>
                <w:szCs w:val="16"/>
                <w:lang w:eastAsia="en-US"/>
              </w:rPr>
            </w:pPr>
          </w:p>
        </w:tc>
      </w:tr>
    </w:tbl>
    <w:p w14:paraId="50A1C285" w14:textId="77777777" w:rsidR="005B4528" w:rsidRDefault="005B4528" w:rsidP="005B4528">
      <w:pPr>
        <w:rPr>
          <w:highlight w:val="cyan"/>
        </w:rPr>
      </w:pPr>
    </w:p>
    <w:p w14:paraId="68B042E7" w14:textId="77777777" w:rsidR="005B4528" w:rsidRDefault="005B4528" w:rsidP="008A41F9">
      <w:pPr>
        <w:pStyle w:val="Nadpis4"/>
        <w:numPr>
          <w:ilvl w:val="3"/>
          <w:numId w:val="17"/>
        </w:numPr>
      </w:pPr>
      <w:r>
        <w:t>Koridory technické infrastruktury</w:t>
      </w:r>
    </w:p>
    <w:p w14:paraId="1D40E869" w14:textId="77777777" w:rsidR="005B4528" w:rsidRDefault="005B4528" w:rsidP="005B4528">
      <w:pPr>
        <w:ind w:hanging="425"/>
        <w:rPr>
          <w:u w:val="single"/>
        </w:rPr>
      </w:pPr>
      <w:r>
        <w:t>.1</w:t>
      </w:r>
      <w:r>
        <w:tab/>
      </w:r>
      <w:r>
        <w:rPr>
          <w:u w:val="single"/>
        </w:rPr>
        <w:t>Koridory technické infrastruktury</w:t>
      </w:r>
    </w:p>
    <w:p w14:paraId="2C4D311A" w14:textId="77777777" w:rsidR="005B4528" w:rsidRDefault="005B4528" w:rsidP="005B4528">
      <w:r>
        <w:t xml:space="preserve">Koridory jsou vymezeny jako protipovodňová opatření pro snižování nebezpečí v území.  Jsou vedeny v co nejkratších trasách a prostorově efektivně tak, aby byly minimalizovány zábory ZPF. </w:t>
      </w:r>
    </w:p>
    <w:p w14:paraId="3F6CB3EB" w14:textId="4D9498EC" w:rsidR="005B4528" w:rsidRDefault="005B4528" w:rsidP="005B4528">
      <w:r>
        <w:t xml:space="preserve">Zábory ZPF jsou </w:t>
      </w:r>
      <w:r>
        <w:rPr>
          <w:b/>
          <w:bCs/>
        </w:rPr>
        <w:t xml:space="preserve">převážně </w:t>
      </w:r>
      <w:r>
        <w:t>na půdách V. třídy ochrany, tedy podprůměrné půdy, vhodné pro realizaci veřejné infrastruktury, pouze minimální část CNU.TI01 zasahuje na půdy II. třídy ochrany, při realizaci retenčního a</w:t>
      </w:r>
      <w:r w:rsidR="00C43737">
        <w:t> </w:t>
      </w:r>
      <w:r>
        <w:t>protipovodňového opatření bude zábor půd II. třídy ochrany minimalizován.</w:t>
      </w:r>
    </w:p>
    <w:p w14:paraId="37C45EF6" w14:textId="77777777" w:rsidR="005B4528" w:rsidRDefault="005B4528" w:rsidP="005B4528">
      <w:r>
        <w:t xml:space="preserve">Celkem je pro koridory technické infrastruktury vymezen zábor ZPF </w:t>
      </w:r>
      <w:r>
        <w:rPr>
          <w:b/>
        </w:rPr>
        <w:t>1,283 ha</w:t>
      </w:r>
      <w:r>
        <w:rPr>
          <w:b/>
          <w:bCs/>
        </w:rPr>
        <w:t xml:space="preserve">. </w:t>
      </w:r>
      <w:r>
        <w:t>Vybrané</w:t>
      </w:r>
      <w:r>
        <w:rPr>
          <w:b/>
          <w:bCs/>
        </w:rPr>
        <w:t xml:space="preserve"> </w:t>
      </w:r>
      <w:r>
        <w:t>koridory technické infrastruktury jsou vymezeny jako veřejně prospěšné stavby pro technickou infrastrukturu.</w:t>
      </w:r>
    </w:p>
    <w:p w14:paraId="037BDF4F" w14:textId="77777777" w:rsidR="005B4528" w:rsidRDefault="005B4528" w:rsidP="005B4528">
      <w:pPr>
        <w:jc w:val="left"/>
        <w:rPr>
          <w:highlight w:val="cyan"/>
        </w:rPr>
      </w:pPr>
    </w:p>
    <w:tbl>
      <w:tblPr>
        <w:tblW w:w="7897" w:type="dxa"/>
        <w:tblInd w:w="709" w:type="dxa"/>
        <w:tblBorders>
          <w:top w:val="dashSmallGap" w:sz="4" w:space="0" w:color="auto"/>
          <w:bottom w:val="dashSmallGap" w:sz="4" w:space="0" w:color="auto"/>
          <w:insideH w:val="dashSmallGap" w:sz="4" w:space="0" w:color="auto"/>
        </w:tblBorders>
        <w:tblCellMar>
          <w:left w:w="70" w:type="dxa"/>
          <w:right w:w="70" w:type="dxa"/>
        </w:tblCellMar>
        <w:tblLook w:val="04A0" w:firstRow="1" w:lastRow="0" w:firstColumn="1" w:lastColumn="0" w:noHBand="0" w:noVBand="1"/>
      </w:tblPr>
      <w:tblGrid>
        <w:gridCol w:w="1437"/>
        <w:gridCol w:w="2693"/>
        <w:gridCol w:w="2107"/>
        <w:gridCol w:w="1660"/>
      </w:tblGrid>
      <w:tr w:rsidR="005B4528" w14:paraId="47AFFC74" w14:textId="77777777" w:rsidTr="001D5B9C">
        <w:trPr>
          <w:trHeight w:val="300"/>
        </w:trPr>
        <w:tc>
          <w:tcPr>
            <w:tcW w:w="1437" w:type="dxa"/>
            <w:tcBorders>
              <w:top w:val="dashSmallGap" w:sz="4" w:space="0" w:color="auto"/>
              <w:left w:val="nil"/>
              <w:bottom w:val="dashSmallGap" w:sz="4" w:space="0" w:color="auto"/>
              <w:right w:val="nil"/>
            </w:tcBorders>
            <w:vAlign w:val="center"/>
            <w:hideMark/>
          </w:tcPr>
          <w:p w14:paraId="4232884E" w14:textId="77777777" w:rsidR="005B4528" w:rsidRDefault="005B4528" w:rsidP="001D5B9C">
            <w:pPr>
              <w:spacing w:before="0" w:after="0" w:line="256" w:lineRule="auto"/>
              <w:ind w:left="0"/>
              <w:jc w:val="left"/>
              <w:rPr>
                <w:rFonts w:cs="Calibri"/>
                <w:b/>
                <w:bCs/>
                <w:sz w:val="16"/>
                <w:szCs w:val="16"/>
                <w:lang w:eastAsia="en-US"/>
              </w:rPr>
            </w:pPr>
            <w:r>
              <w:rPr>
                <w:rFonts w:cs="Calibri"/>
                <w:b/>
                <w:bCs/>
                <w:sz w:val="16"/>
                <w:szCs w:val="16"/>
                <w:lang w:eastAsia="en-US"/>
              </w:rPr>
              <w:t>označení plochy</w:t>
            </w:r>
          </w:p>
        </w:tc>
        <w:tc>
          <w:tcPr>
            <w:tcW w:w="2693" w:type="dxa"/>
            <w:tcBorders>
              <w:top w:val="dashSmallGap" w:sz="4" w:space="0" w:color="auto"/>
              <w:left w:val="nil"/>
              <w:bottom w:val="dashSmallGap" w:sz="4" w:space="0" w:color="auto"/>
              <w:right w:val="nil"/>
            </w:tcBorders>
            <w:vAlign w:val="center"/>
            <w:hideMark/>
          </w:tcPr>
          <w:p w14:paraId="27A3F16D" w14:textId="77777777" w:rsidR="005B4528" w:rsidRDefault="005B4528" w:rsidP="001D5B9C">
            <w:pPr>
              <w:spacing w:before="0" w:after="0" w:line="256" w:lineRule="auto"/>
              <w:rPr>
                <w:rFonts w:cs="Calibri"/>
                <w:b/>
                <w:bCs/>
                <w:sz w:val="16"/>
                <w:szCs w:val="16"/>
                <w:lang w:eastAsia="en-US"/>
              </w:rPr>
            </w:pPr>
            <w:r>
              <w:rPr>
                <w:rFonts w:cs="Calibri"/>
                <w:b/>
                <w:bCs/>
                <w:sz w:val="16"/>
                <w:szCs w:val="16"/>
                <w:lang w:eastAsia="en-US"/>
              </w:rPr>
              <w:t>využití</w:t>
            </w:r>
          </w:p>
        </w:tc>
        <w:tc>
          <w:tcPr>
            <w:tcW w:w="2107" w:type="dxa"/>
            <w:tcBorders>
              <w:top w:val="dashSmallGap" w:sz="4" w:space="0" w:color="auto"/>
              <w:left w:val="nil"/>
              <w:bottom w:val="dashSmallGap" w:sz="4" w:space="0" w:color="auto"/>
              <w:right w:val="nil"/>
            </w:tcBorders>
            <w:vAlign w:val="center"/>
            <w:hideMark/>
          </w:tcPr>
          <w:p w14:paraId="5771BB50" w14:textId="77777777" w:rsidR="005B4528" w:rsidRDefault="005B4528" w:rsidP="001D5B9C">
            <w:pPr>
              <w:spacing w:before="0" w:after="0" w:line="256" w:lineRule="auto"/>
              <w:jc w:val="center"/>
              <w:rPr>
                <w:rFonts w:cs="Calibri"/>
                <w:b/>
                <w:bCs/>
                <w:sz w:val="16"/>
                <w:szCs w:val="16"/>
                <w:lang w:eastAsia="en-US"/>
              </w:rPr>
            </w:pPr>
            <w:r>
              <w:rPr>
                <w:rFonts w:cs="Calibri"/>
                <w:b/>
                <w:bCs/>
                <w:sz w:val="16"/>
                <w:szCs w:val="16"/>
                <w:lang w:eastAsia="en-US"/>
              </w:rPr>
              <w:t>(ha)</w:t>
            </w:r>
          </w:p>
        </w:tc>
        <w:tc>
          <w:tcPr>
            <w:tcW w:w="1660" w:type="dxa"/>
            <w:tcBorders>
              <w:top w:val="dashSmallGap" w:sz="4" w:space="0" w:color="auto"/>
              <w:left w:val="nil"/>
              <w:bottom w:val="dashSmallGap" w:sz="4" w:space="0" w:color="auto"/>
              <w:right w:val="nil"/>
            </w:tcBorders>
            <w:vAlign w:val="center"/>
            <w:hideMark/>
          </w:tcPr>
          <w:p w14:paraId="412BC84D" w14:textId="77777777" w:rsidR="005B4528" w:rsidRDefault="005B4528" w:rsidP="001D5B9C">
            <w:pPr>
              <w:spacing w:before="0" w:after="0" w:line="256" w:lineRule="auto"/>
              <w:ind w:left="0"/>
              <w:rPr>
                <w:rFonts w:cs="Calibri"/>
                <w:b/>
                <w:bCs/>
                <w:sz w:val="16"/>
                <w:szCs w:val="16"/>
                <w:lang w:eastAsia="en-US"/>
              </w:rPr>
            </w:pPr>
            <w:r>
              <w:rPr>
                <w:rFonts w:cs="Calibri"/>
                <w:b/>
                <w:bCs/>
                <w:sz w:val="16"/>
                <w:szCs w:val="16"/>
                <w:lang w:eastAsia="en-US"/>
              </w:rPr>
              <w:t>třída ochrany ZPF</w:t>
            </w:r>
          </w:p>
        </w:tc>
      </w:tr>
      <w:tr w:rsidR="005B4528" w14:paraId="618010BF" w14:textId="77777777" w:rsidTr="001D5B9C">
        <w:trPr>
          <w:trHeight w:val="225"/>
        </w:trPr>
        <w:tc>
          <w:tcPr>
            <w:tcW w:w="1437" w:type="dxa"/>
            <w:tcBorders>
              <w:top w:val="dashSmallGap" w:sz="4" w:space="0" w:color="auto"/>
              <w:left w:val="nil"/>
              <w:bottom w:val="dashSmallGap" w:sz="4" w:space="0" w:color="auto"/>
              <w:right w:val="nil"/>
            </w:tcBorders>
            <w:noWrap/>
            <w:vAlign w:val="bottom"/>
            <w:hideMark/>
          </w:tcPr>
          <w:p w14:paraId="4574B6BF" w14:textId="77777777" w:rsidR="005B4528" w:rsidRDefault="005B4528" w:rsidP="001D5B9C">
            <w:pPr>
              <w:spacing w:before="0" w:after="0" w:line="256" w:lineRule="auto"/>
              <w:ind w:left="0"/>
              <w:jc w:val="left"/>
              <w:rPr>
                <w:rFonts w:cs="Calibri"/>
                <w:sz w:val="16"/>
                <w:szCs w:val="16"/>
                <w:lang w:eastAsia="en-US"/>
              </w:rPr>
            </w:pPr>
            <w:r>
              <w:rPr>
                <w:rFonts w:cs="Calibri"/>
                <w:sz w:val="16"/>
                <w:szCs w:val="16"/>
                <w:lang w:eastAsia="en-US"/>
              </w:rPr>
              <w:t>CNU.TI.1</w:t>
            </w:r>
          </w:p>
        </w:tc>
        <w:tc>
          <w:tcPr>
            <w:tcW w:w="2693" w:type="dxa"/>
            <w:tcBorders>
              <w:top w:val="dashSmallGap" w:sz="4" w:space="0" w:color="auto"/>
              <w:left w:val="nil"/>
              <w:bottom w:val="dashSmallGap" w:sz="4" w:space="0" w:color="auto"/>
              <w:right w:val="nil"/>
            </w:tcBorders>
            <w:noWrap/>
            <w:vAlign w:val="bottom"/>
            <w:hideMark/>
          </w:tcPr>
          <w:p w14:paraId="2993979A" w14:textId="77777777" w:rsidR="005B4528" w:rsidRDefault="005B4528" w:rsidP="001D5B9C">
            <w:pPr>
              <w:spacing w:before="0" w:after="0" w:line="256" w:lineRule="auto"/>
              <w:jc w:val="left"/>
              <w:rPr>
                <w:rFonts w:cs="Calibri"/>
                <w:sz w:val="16"/>
                <w:szCs w:val="16"/>
                <w:lang w:eastAsia="en-US"/>
              </w:rPr>
            </w:pPr>
            <w:r>
              <w:rPr>
                <w:rFonts w:cs="Calibri"/>
                <w:sz w:val="16"/>
                <w:szCs w:val="16"/>
                <w:lang w:eastAsia="en-US"/>
              </w:rPr>
              <w:t>retenční a protipovodňové opatření</w:t>
            </w:r>
          </w:p>
        </w:tc>
        <w:tc>
          <w:tcPr>
            <w:tcW w:w="2107" w:type="dxa"/>
            <w:tcBorders>
              <w:top w:val="dashSmallGap" w:sz="4" w:space="0" w:color="auto"/>
              <w:left w:val="nil"/>
              <w:bottom w:val="dashSmallGap" w:sz="4" w:space="0" w:color="auto"/>
              <w:right w:val="nil"/>
            </w:tcBorders>
            <w:noWrap/>
            <w:vAlign w:val="bottom"/>
            <w:hideMark/>
          </w:tcPr>
          <w:p w14:paraId="1E2BBD19" w14:textId="77777777" w:rsidR="005B4528" w:rsidRDefault="005B4528" w:rsidP="001D5B9C">
            <w:pPr>
              <w:spacing w:before="0" w:after="0" w:line="256" w:lineRule="auto"/>
              <w:jc w:val="center"/>
              <w:rPr>
                <w:rFonts w:cs="Calibri"/>
                <w:sz w:val="16"/>
                <w:szCs w:val="16"/>
                <w:lang w:eastAsia="en-US"/>
              </w:rPr>
            </w:pPr>
            <w:r>
              <w:rPr>
                <w:rFonts w:cs="Calibri"/>
                <w:sz w:val="16"/>
                <w:szCs w:val="16"/>
                <w:lang w:eastAsia="en-US"/>
              </w:rPr>
              <w:t>1,120</w:t>
            </w:r>
          </w:p>
        </w:tc>
        <w:tc>
          <w:tcPr>
            <w:tcW w:w="1660" w:type="dxa"/>
            <w:tcBorders>
              <w:top w:val="dashSmallGap" w:sz="4" w:space="0" w:color="auto"/>
              <w:left w:val="nil"/>
              <w:bottom w:val="dashSmallGap" w:sz="4" w:space="0" w:color="auto"/>
              <w:right w:val="nil"/>
            </w:tcBorders>
            <w:noWrap/>
            <w:vAlign w:val="bottom"/>
            <w:hideMark/>
          </w:tcPr>
          <w:p w14:paraId="0F022CDF" w14:textId="77777777" w:rsidR="005B4528" w:rsidRDefault="005B4528" w:rsidP="001D5B9C">
            <w:pPr>
              <w:spacing w:before="0" w:after="0" w:line="256" w:lineRule="auto"/>
              <w:jc w:val="center"/>
              <w:rPr>
                <w:rFonts w:cs="Calibri"/>
                <w:sz w:val="16"/>
                <w:szCs w:val="16"/>
                <w:lang w:eastAsia="en-US"/>
              </w:rPr>
            </w:pPr>
            <w:r>
              <w:rPr>
                <w:rFonts w:cs="Calibri"/>
                <w:sz w:val="16"/>
                <w:szCs w:val="16"/>
                <w:lang w:eastAsia="en-US"/>
              </w:rPr>
              <w:t>II., V.</w:t>
            </w:r>
          </w:p>
        </w:tc>
      </w:tr>
      <w:tr w:rsidR="005B4528" w14:paraId="2E704CE4" w14:textId="77777777" w:rsidTr="001D5B9C">
        <w:trPr>
          <w:trHeight w:val="225"/>
        </w:trPr>
        <w:tc>
          <w:tcPr>
            <w:tcW w:w="1437" w:type="dxa"/>
            <w:tcBorders>
              <w:top w:val="dashSmallGap" w:sz="4" w:space="0" w:color="auto"/>
              <w:left w:val="nil"/>
              <w:bottom w:val="dashSmallGap" w:sz="4" w:space="0" w:color="auto"/>
              <w:right w:val="nil"/>
            </w:tcBorders>
            <w:noWrap/>
            <w:vAlign w:val="bottom"/>
            <w:hideMark/>
          </w:tcPr>
          <w:p w14:paraId="090F4FE6" w14:textId="77777777" w:rsidR="005B4528" w:rsidRDefault="005B4528" w:rsidP="001D5B9C">
            <w:pPr>
              <w:spacing w:before="0" w:after="0" w:line="256" w:lineRule="auto"/>
              <w:ind w:left="0"/>
              <w:jc w:val="left"/>
              <w:rPr>
                <w:rFonts w:cs="Calibri"/>
                <w:sz w:val="16"/>
                <w:szCs w:val="16"/>
                <w:lang w:eastAsia="en-US"/>
              </w:rPr>
            </w:pPr>
            <w:r>
              <w:rPr>
                <w:rFonts w:cs="Calibri"/>
                <w:sz w:val="16"/>
                <w:szCs w:val="16"/>
                <w:lang w:eastAsia="en-US"/>
              </w:rPr>
              <w:t>CNU.TI.2</w:t>
            </w:r>
          </w:p>
        </w:tc>
        <w:tc>
          <w:tcPr>
            <w:tcW w:w="2693" w:type="dxa"/>
            <w:tcBorders>
              <w:top w:val="dashSmallGap" w:sz="4" w:space="0" w:color="auto"/>
              <w:left w:val="nil"/>
              <w:bottom w:val="dashSmallGap" w:sz="4" w:space="0" w:color="auto"/>
              <w:right w:val="nil"/>
            </w:tcBorders>
            <w:noWrap/>
            <w:vAlign w:val="bottom"/>
            <w:hideMark/>
          </w:tcPr>
          <w:p w14:paraId="2B78DC3C" w14:textId="77777777" w:rsidR="005B4528" w:rsidRDefault="005B4528" w:rsidP="001D5B9C">
            <w:pPr>
              <w:spacing w:before="0" w:after="0" w:line="256" w:lineRule="auto"/>
              <w:jc w:val="left"/>
              <w:rPr>
                <w:rFonts w:cs="Calibri"/>
                <w:sz w:val="16"/>
                <w:szCs w:val="16"/>
                <w:lang w:eastAsia="en-US"/>
              </w:rPr>
            </w:pPr>
            <w:r>
              <w:rPr>
                <w:rFonts w:cs="Calibri"/>
                <w:sz w:val="16"/>
                <w:szCs w:val="16"/>
                <w:lang w:eastAsia="en-US"/>
              </w:rPr>
              <w:t>retenční a protipovodňové opatření</w:t>
            </w:r>
          </w:p>
        </w:tc>
        <w:tc>
          <w:tcPr>
            <w:tcW w:w="2107" w:type="dxa"/>
            <w:tcBorders>
              <w:top w:val="dashSmallGap" w:sz="4" w:space="0" w:color="auto"/>
              <w:left w:val="nil"/>
              <w:bottom w:val="dashSmallGap" w:sz="4" w:space="0" w:color="auto"/>
              <w:right w:val="nil"/>
            </w:tcBorders>
            <w:noWrap/>
            <w:vAlign w:val="bottom"/>
            <w:hideMark/>
          </w:tcPr>
          <w:p w14:paraId="56A5ADAE" w14:textId="77777777" w:rsidR="005B4528" w:rsidRDefault="005B4528" w:rsidP="001D5B9C">
            <w:pPr>
              <w:spacing w:before="0" w:after="0" w:line="256" w:lineRule="auto"/>
              <w:jc w:val="center"/>
              <w:rPr>
                <w:rFonts w:cs="Calibri"/>
                <w:sz w:val="16"/>
                <w:szCs w:val="16"/>
                <w:lang w:eastAsia="en-US"/>
              </w:rPr>
            </w:pPr>
            <w:r>
              <w:rPr>
                <w:rFonts w:cs="Calibri"/>
                <w:sz w:val="16"/>
                <w:szCs w:val="16"/>
                <w:lang w:eastAsia="en-US"/>
              </w:rPr>
              <w:t>0,163</w:t>
            </w:r>
          </w:p>
        </w:tc>
        <w:tc>
          <w:tcPr>
            <w:tcW w:w="1660" w:type="dxa"/>
            <w:tcBorders>
              <w:top w:val="dashSmallGap" w:sz="4" w:space="0" w:color="auto"/>
              <w:left w:val="nil"/>
              <w:bottom w:val="dashSmallGap" w:sz="4" w:space="0" w:color="auto"/>
              <w:right w:val="nil"/>
            </w:tcBorders>
            <w:noWrap/>
            <w:vAlign w:val="bottom"/>
            <w:hideMark/>
          </w:tcPr>
          <w:p w14:paraId="2D04DBC8" w14:textId="77777777" w:rsidR="005B4528" w:rsidRDefault="005B4528" w:rsidP="001D5B9C">
            <w:pPr>
              <w:spacing w:before="0" w:after="0" w:line="256" w:lineRule="auto"/>
              <w:jc w:val="center"/>
              <w:rPr>
                <w:rFonts w:cs="Calibri"/>
                <w:sz w:val="16"/>
                <w:szCs w:val="16"/>
                <w:lang w:eastAsia="en-US"/>
              </w:rPr>
            </w:pPr>
            <w:r>
              <w:rPr>
                <w:rFonts w:cs="Calibri"/>
                <w:sz w:val="16"/>
                <w:szCs w:val="16"/>
                <w:lang w:eastAsia="en-US"/>
              </w:rPr>
              <w:t>V.</w:t>
            </w:r>
          </w:p>
        </w:tc>
      </w:tr>
      <w:tr w:rsidR="005B4528" w14:paraId="20779C4F" w14:textId="77777777" w:rsidTr="001D5B9C">
        <w:trPr>
          <w:trHeight w:val="225"/>
        </w:trPr>
        <w:tc>
          <w:tcPr>
            <w:tcW w:w="1437" w:type="dxa"/>
            <w:tcBorders>
              <w:top w:val="dashSmallGap" w:sz="4" w:space="0" w:color="auto"/>
              <w:left w:val="nil"/>
              <w:bottom w:val="dashSmallGap" w:sz="4" w:space="0" w:color="auto"/>
              <w:right w:val="nil"/>
            </w:tcBorders>
            <w:noWrap/>
            <w:vAlign w:val="bottom"/>
            <w:hideMark/>
          </w:tcPr>
          <w:p w14:paraId="25429A60" w14:textId="77777777" w:rsidR="005B4528" w:rsidRDefault="005B4528" w:rsidP="001D5B9C">
            <w:pPr>
              <w:spacing w:before="0" w:after="0" w:line="256" w:lineRule="auto"/>
              <w:ind w:left="0"/>
              <w:jc w:val="left"/>
              <w:rPr>
                <w:rFonts w:cs="Calibri"/>
                <w:b/>
                <w:bCs/>
                <w:sz w:val="16"/>
                <w:szCs w:val="16"/>
                <w:lang w:eastAsia="en-US"/>
              </w:rPr>
            </w:pPr>
            <w:r>
              <w:rPr>
                <w:rFonts w:cs="Calibri"/>
                <w:b/>
                <w:bCs/>
                <w:sz w:val="16"/>
                <w:szCs w:val="16"/>
                <w:lang w:eastAsia="en-US"/>
              </w:rPr>
              <w:t>Celkem</w:t>
            </w:r>
          </w:p>
        </w:tc>
        <w:tc>
          <w:tcPr>
            <w:tcW w:w="2693" w:type="dxa"/>
            <w:tcBorders>
              <w:top w:val="dashSmallGap" w:sz="4" w:space="0" w:color="auto"/>
              <w:left w:val="nil"/>
              <w:bottom w:val="dashSmallGap" w:sz="4" w:space="0" w:color="auto"/>
              <w:right w:val="nil"/>
            </w:tcBorders>
            <w:noWrap/>
            <w:vAlign w:val="bottom"/>
            <w:hideMark/>
          </w:tcPr>
          <w:p w14:paraId="07291CA9" w14:textId="77777777" w:rsidR="005B4528" w:rsidRDefault="005B4528" w:rsidP="001D5B9C">
            <w:pPr>
              <w:spacing w:before="0" w:after="0" w:line="256" w:lineRule="auto"/>
              <w:jc w:val="center"/>
              <w:rPr>
                <w:rFonts w:cs="Calibri"/>
                <w:b/>
                <w:bCs/>
                <w:sz w:val="16"/>
                <w:szCs w:val="16"/>
                <w:lang w:eastAsia="en-US"/>
              </w:rPr>
            </w:pPr>
            <w:r>
              <w:rPr>
                <w:rFonts w:cs="Calibri"/>
                <w:b/>
                <w:bCs/>
                <w:sz w:val="16"/>
                <w:szCs w:val="16"/>
                <w:lang w:eastAsia="en-US"/>
              </w:rPr>
              <w:t> </w:t>
            </w:r>
          </w:p>
        </w:tc>
        <w:tc>
          <w:tcPr>
            <w:tcW w:w="2107" w:type="dxa"/>
            <w:tcBorders>
              <w:top w:val="dashSmallGap" w:sz="4" w:space="0" w:color="auto"/>
              <w:left w:val="nil"/>
              <w:bottom w:val="dashSmallGap" w:sz="4" w:space="0" w:color="auto"/>
              <w:right w:val="nil"/>
            </w:tcBorders>
            <w:noWrap/>
            <w:vAlign w:val="bottom"/>
            <w:hideMark/>
          </w:tcPr>
          <w:p w14:paraId="4F3D3352" w14:textId="77777777" w:rsidR="005B4528" w:rsidRDefault="005B4528" w:rsidP="001D5B9C">
            <w:pPr>
              <w:spacing w:before="0" w:after="0" w:line="256" w:lineRule="auto"/>
              <w:jc w:val="center"/>
              <w:rPr>
                <w:rFonts w:cs="Calibri"/>
                <w:b/>
                <w:bCs/>
                <w:sz w:val="16"/>
                <w:szCs w:val="16"/>
                <w:lang w:eastAsia="en-US"/>
              </w:rPr>
            </w:pPr>
            <w:r>
              <w:rPr>
                <w:rFonts w:cs="Calibri"/>
                <w:b/>
                <w:bCs/>
                <w:sz w:val="16"/>
                <w:szCs w:val="16"/>
                <w:lang w:eastAsia="en-US"/>
              </w:rPr>
              <w:t>1,283</w:t>
            </w:r>
          </w:p>
        </w:tc>
        <w:tc>
          <w:tcPr>
            <w:tcW w:w="1660" w:type="dxa"/>
            <w:tcBorders>
              <w:top w:val="dashSmallGap" w:sz="4" w:space="0" w:color="auto"/>
              <w:left w:val="nil"/>
              <w:bottom w:val="dashSmallGap" w:sz="4" w:space="0" w:color="auto"/>
              <w:right w:val="nil"/>
            </w:tcBorders>
            <w:noWrap/>
            <w:vAlign w:val="bottom"/>
            <w:hideMark/>
          </w:tcPr>
          <w:p w14:paraId="79E6A5E8" w14:textId="77777777" w:rsidR="005B4528" w:rsidRDefault="005B4528" w:rsidP="001D5B9C">
            <w:pPr>
              <w:spacing w:before="0" w:after="0" w:line="256" w:lineRule="auto"/>
              <w:jc w:val="center"/>
              <w:rPr>
                <w:rFonts w:cs="Calibri"/>
                <w:sz w:val="16"/>
                <w:szCs w:val="16"/>
                <w:lang w:eastAsia="en-US"/>
              </w:rPr>
            </w:pPr>
            <w:r>
              <w:rPr>
                <w:rFonts w:cs="Calibri"/>
                <w:sz w:val="16"/>
                <w:szCs w:val="16"/>
                <w:lang w:eastAsia="en-US"/>
              </w:rPr>
              <w:t> </w:t>
            </w:r>
          </w:p>
        </w:tc>
      </w:tr>
    </w:tbl>
    <w:p w14:paraId="27B45340" w14:textId="77777777" w:rsidR="005B4528" w:rsidRPr="005C3063" w:rsidRDefault="005B4528" w:rsidP="005B4528">
      <w:pPr>
        <w:rPr>
          <w:highlight w:val="yellow"/>
        </w:rPr>
      </w:pPr>
    </w:p>
    <w:p w14:paraId="4BEA7BD7" w14:textId="77777777" w:rsidR="005B4528" w:rsidRPr="00E52BFF" w:rsidRDefault="005B4528" w:rsidP="005B4528">
      <w:pPr>
        <w:ind w:hanging="425"/>
        <w:rPr>
          <w:u w:val="single"/>
        </w:rPr>
      </w:pPr>
      <w:r w:rsidRPr="00E52BFF">
        <w:t>.2</w:t>
      </w:r>
      <w:r w:rsidRPr="00E52BFF">
        <w:tab/>
      </w:r>
      <w:r w:rsidRPr="00E52BFF">
        <w:rPr>
          <w:u w:val="single"/>
        </w:rPr>
        <w:t>Ostatní změny v krajině</w:t>
      </w:r>
    </w:p>
    <w:p w14:paraId="231078ED" w14:textId="3E1E5F8C" w:rsidR="001D5B9C" w:rsidRDefault="005B4528" w:rsidP="00EF3CD0">
      <w:r w:rsidRPr="00E52BFF">
        <w:t>Prvky ÚSES a interakční prvky jsou řešeny jako součást zemědělského půdního fondu</w:t>
      </w:r>
      <w:r>
        <w:t xml:space="preserve"> v </w:t>
      </w:r>
      <w:r w:rsidRPr="00E52BFF">
        <w:t xml:space="preserve">souladu s § 1 zákona č. 334/1992 Sb., v platném znění, a to jako vodohospodářská a protierozní opatření. Tyto prvky slouží ochraně zemědělského půdního fondu, jeho zvelebování, zajištění ekologické stability krajiny a zlepšování životního prostředí. </w:t>
      </w:r>
    </w:p>
    <w:p w14:paraId="298AF828" w14:textId="77777777" w:rsidR="005B4528" w:rsidRDefault="005B4528" w:rsidP="008A41F9">
      <w:pPr>
        <w:pStyle w:val="Nadpis4"/>
      </w:pPr>
      <w:r>
        <w:t>Plochy navracené do ZPF</w:t>
      </w:r>
    </w:p>
    <w:p w14:paraId="535ED2FF" w14:textId="77777777" w:rsidR="005B4528" w:rsidRDefault="005B4528" w:rsidP="005B4528">
      <w:r>
        <w:t>Zastavitelné plochy nebo jejich části, které nejsou v souladu s urbanistickou koncepcí ÚP Hlubočky, jsou navrženy k navrácení do ZPF. Jsou tak v maximální možné míře vyvažovány zejména nové nezbytné zábory ZPF.</w:t>
      </w:r>
    </w:p>
    <w:p w14:paraId="77D170E0" w14:textId="77777777" w:rsidR="005B4528" w:rsidRDefault="005B4528" w:rsidP="005B4528">
      <w:r>
        <w:lastRenderedPageBreak/>
        <w:t>Jedná se o následující plochy nebo jejich části (označení dle předchozího ÚP Hlubočky v posledním platném znění):</w:t>
      </w:r>
    </w:p>
    <w:tbl>
      <w:tblPr>
        <w:tblW w:w="7796" w:type="dxa"/>
        <w:tblInd w:w="709" w:type="dxa"/>
        <w:tblBorders>
          <w:top w:val="dashSmallGap" w:sz="4" w:space="0" w:color="auto"/>
          <w:bottom w:val="dashSmallGap" w:sz="4" w:space="0" w:color="auto"/>
          <w:insideH w:val="dashSmallGap" w:sz="4" w:space="0" w:color="auto"/>
        </w:tblBorders>
        <w:tblCellMar>
          <w:left w:w="70" w:type="dxa"/>
          <w:right w:w="70" w:type="dxa"/>
        </w:tblCellMar>
        <w:tblLook w:val="04A0" w:firstRow="1" w:lastRow="0" w:firstColumn="1" w:lastColumn="0" w:noHBand="0" w:noVBand="1"/>
      </w:tblPr>
      <w:tblGrid>
        <w:gridCol w:w="1848"/>
        <w:gridCol w:w="1284"/>
        <w:gridCol w:w="2538"/>
        <w:gridCol w:w="2126"/>
      </w:tblGrid>
      <w:tr w:rsidR="005B4528" w14:paraId="7A0743B5" w14:textId="77777777" w:rsidTr="001D5B9C">
        <w:trPr>
          <w:trHeight w:val="300"/>
        </w:trPr>
        <w:tc>
          <w:tcPr>
            <w:tcW w:w="1848" w:type="dxa"/>
            <w:tcBorders>
              <w:top w:val="dashSmallGap" w:sz="4" w:space="0" w:color="auto"/>
              <w:left w:val="nil"/>
              <w:bottom w:val="dashSmallGap" w:sz="4" w:space="0" w:color="auto"/>
              <w:right w:val="nil"/>
            </w:tcBorders>
            <w:vAlign w:val="center"/>
            <w:hideMark/>
          </w:tcPr>
          <w:p w14:paraId="2844560C" w14:textId="77777777" w:rsidR="005B4528" w:rsidRDefault="005B4528" w:rsidP="001D5B9C">
            <w:pPr>
              <w:spacing w:line="257" w:lineRule="auto"/>
              <w:ind w:left="0"/>
              <w:contextualSpacing/>
              <w:jc w:val="left"/>
              <w:rPr>
                <w:rFonts w:cs="Calibri"/>
                <w:b/>
                <w:bCs/>
                <w:sz w:val="16"/>
                <w:szCs w:val="16"/>
                <w:lang w:eastAsia="en-US"/>
              </w:rPr>
            </w:pPr>
            <w:r>
              <w:rPr>
                <w:rFonts w:cs="Calibri"/>
                <w:b/>
                <w:bCs/>
                <w:sz w:val="16"/>
                <w:szCs w:val="16"/>
                <w:lang w:eastAsia="en-US"/>
              </w:rPr>
              <w:t>označení plochy dle předchozího ÚP Hlubočky</w:t>
            </w:r>
          </w:p>
        </w:tc>
        <w:tc>
          <w:tcPr>
            <w:tcW w:w="1284" w:type="dxa"/>
            <w:tcBorders>
              <w:top w:val="dashSmallGap" w:sz="4" w:space="0" w:color="auto"/>
              <w:left w:val="nil"/>
              <w:bottom w:val="dashSmallGap" w:sz="4" w:space="0" w:color="auto"/>
              <w:right w:val="nil"/>
            </w:tcBorders>
            <w:vAlign w:val="center"/>
            <w:hideMark/>
          </w:tcPr>
          <w:p w14:paraId="60A5DC7B" w14:textId="77777777" w:rsidR="005B4528" w:rsidRDefault="005B4528" w:rsidP="001D5B9C">
            <w:pPr>
              <w:spacing w:line="257" w:lineRule="auto"/>
              <w:contextualSpacing/>
              <w:rPr>
                <w:rFonts w:cs="Calibri"/>
                <w:b/>
                <w:bCs/>
                <w:sz w:val="16"/>
                <w:szCs w:val="16"/>
                <w:lang w:eastAsia="en-US"/>
              </w:rPr>
            </w:pPr>
            <w:r>
              <w:rPr>
                <w:rFonts w:cs="Calibri"/>
                <w:b/>
                <w:bCs/>
                <w:sz w:val="16"/>
                <w:szCs w:val="16"/>
                <w:lang w:eastAsia="en-US"/>
              </w:rPr>
              <w:t>využití</w:t>
            </w:r>
          </w:p>
        </w:tc>
        <w:tc>
          <w:tcPr>
            <w:tcW w:w="2538" w:type="dxa"/>
            <w:tcBorders>
              <w:top w:val="dashSmallGap" w:sz="4" w:space="0" w:color="auto"/>
              <w:left w:val="nil"/>
              <w:bottom w:val="dashSmallGap" w:sz="4" w:space="0" w:color="auto"/>
              <w:right w:val="nil"/>
            </w:tcBorders>
            <w:vAlign w:val="center"/>
            <w:hideMark/>
          </w:tcPr>
          <w:p w14:paraId="56083785" w14:textId="77777777" w:rsidR="005B4528" w:rsidRDefault="005B4528" w:rsidP="001D5B9C">
            <w:pPr>
              <w:spacing w:line="257" w:lineRule="auto"/>
              <w:contextualSpacing/>
              <w:rPr>
                <w:rFonts w:cs="Calibri"/>
                <w:b/>
                <w:bCs/>
                <w:sz w:val="16"/>
                <w:szCs w:val="16"/>
                <w:lang w:eastAsia="en-US"/>
              </w:rPr>
            </w:pPr>
            <w:r>
              <w:rPr>
                <w:rFonts w:cs="Calibri"/>
                <w:b/>
                <w:bCs/>
                <w:sz w:val="16"/>
                <w:szCs w:val="16"/>
                <w:lang w:eastAsia="en-US"/>
              </w:rPr>
              <w:t>plocha navracená do ZPF (ha)</w:t>
            </w:r>
          </w:p>
        </w:tc>
        <w:tc>
          <w:tcPr>
            <w:tcW w:w="2126" w:type="dxa"/>
            <w:tcBorders>
              <w:top w:val="dashSmallGap" w:sz="4" w:space="0" w:color="auto"/>
              <w:left w:val="nil"/>
              <w:bottom w:val="dashSmallGap" w:sz="4" w:space="0" w:color="auto"/>
              <w:right w:val="nil"/>
            </w:tcBorders>
            <w:vAlign w:val="center"/>
            <w:hideMark/>
          </w:tcPr>
          <w:p w14:paraId="1446C52E" w14:textId="77777777" w:rsidR="005B4528" w:rsidRDefault="005B4528" w:rsidP="001D5B9C">
            <w:pPr>
              <w:spacing w:line="257" w:lineRule="auto"/>
              <w:ind w:left="0"/>
              <w:contextualSpacing/>
              <w:rPr>
                <w:rFonts w:cs="Calibri"/>
                <w:b/>
                <w:bCs/>
                <w:sz w:val="16"/>
                <w:szCs w:val="16"/>
                <w:lang w:eastAsia="en-US"/>
              </w:rPr>
            </w:pPr>
            <w:r>
              <w:rPr>
                <w:rFonts w:cs="Calibri"/>
                <w:b/>
                <w:bCs/>
                <w:sz w:val="16"/>
                <w:szCs w:val="16"/>
                <w:lang w:eastAsia="en-US"/>
              </w:rPr>
              <w:t>třída ochrany ZPF</w:t>
            </w:r>
          </w:p>
        </w:tc>
      </w:tr>
      <w:tr w:rsidR="005B4528" w:rsidRPr="001D5B9C" w14:paraId="6444DB52" w14:textId="77777777" w:rsidTr="001D5B9C">
        <w:trPr>
          <w:trHeight w:val="225"/>
        </w:trPr>
        <w:tc>
          <w:tcPr>
            <w:tcW w:w="1848" w:type="dxa"/>
            <w:tcBorders>
              <w:top w:val="dashSmallGap" w:sz="4" w:space="0" w:color="auto"/>
              <w:left w:val="nil"/>
              <w:bottom w:val="nil"/>
              <w:right w:val="nil"/>
            </w:tcBorders>
            <w:noWrap/>
            <w:vAlign w:val="bottom"/>
            <w:hideMark/>
          </w:tcPr>
          <w:p w14:paraId="03BD7A55" w14:textId="77777777" w:rsidR="005B4528" w:rsidRPr="001D5B9C" w:rsidRDefault="005B4528" w:rsidP="001D5B9C">
            <w:pPr>
              <w:spacing w:line="257" w:lineRule="auto"/>
              <w:ind w:left="0"/>
              <w:contextualSpacing/>
              <w:jc w:val="left"/>
              <w:rPr>
                <w:rFonts w:cs="Calibri"/>
                <w:b/>
                <w:bCs/>
                <w:sz w:val="16"/>
                <w:szCs w:val="16"/>
                <w:lang w:eastAsia="en-US"/>
              </w:rPr>
            </w:pPr>
            <w:r w:rsidRPr="001D5B9C">
              <w:rPr>
                <w:rFonts w:cs="Calibri"/>
                <w:b/>
                <w:bCs/>
                <w:sz w:val="16"/>
                <w:szCs w:val="16"/>
                <w:lang w:eastAsia="en-US"/>
              </w:rPr>
              <w:t>O8</w:t>
            </w:r>
          </w:p>
        </w:tc>
        <w:tc>
          <w:tcPr>
            <w:tcW w:w="1284" w:type="dxa"/>
            <w:tcBorders>
              <w:top w:val="dashSmallGap" w:sz="4" w:space="0" w:color="auto"/>
              <w:left w:val="nil"/>
              <w:bottom w:val="nil"/>
              <w:right w:val="nil"/>
            </w:tcBorders>
            <w:noWrap/>
            <w:vAlign w:val="bottom"/>
            <w:hideMark/>
          </w:tcPr>
          <w:p w14:paraId="170AC0DC" w14:textId="77777777" w:rsidR="005B4528" w:rsidRPr="001D5B9C" w:rsidRDefault="005B4528" w:rsidP="001D5B9C">
            <w:pPr>
              <w:spacing w:line="257" w:lineRule="auto"/>
              <w:contextualSpacing/>
              <w:jc w:val="center"/>
              <w:rPr>
                <w:rFonts w:cs="Calibri"/>
                <w:b/>
                <w:bCs/>
                <w:sz w:val="16"/>
                <w:szCs w:val="16"/>
                <w:lang w:eastAsia="en-US"/>
              </w:rPr>
            </w:pPr>
            <w:r w:rsidRPr="001D5B9C">
              <w:rPr>
                <w:rFonts w:cs="Calibri"/>
                <w:b/>
                <w:bCs/>
                <w:sz w:val="16"/>
                <w:szCs w:val="16"/>
                <w:lang w:eastAsia="en-US"/>
              </w:rPr>
              <w:t>OS</w:t>
            </w:r>
          </w:p>
        </w:tc>
        <w:tc>
          <w:tcPr>
            <w:tcW w:w="2538" w:type="dxa"/>
            <w:tcBorders>
              <w:top w:val="dashSmallGap" w:sz="4" w:space="0" w:color="auto"/>
              <w:left w:val="nil"/>
              <w:bottom w:val="nil"/>
              <w:right w:val="nil"/>
            </w:tcBorders>
            <w:noWrap/>
            <w:vAlign w:val="bottom"/>
            <w:hideMark/>
          </w:tcPr>
          <w:p w14:paraId="12957152" w14:textId="77777777" w:rsidR="005B4528" w:rsidRPr="001D5B9C" w:rsidRDefault="005B4528" w:rsidP="001D5B9C">
            <w:pPr>
              <w:spacing w:line="257" w:lineRule="auto"/>
              <w:contextualSpacing/>
              <w:jc w:val="center"/>
              <w:rPr>
                <w:rFonts w:cs="Calibri"/>
                <w:b/>
                <w:bCs/>
                <w:sz w:val="16"/>
                <w:szCs w:val="16"/>
                <w:lang w:eastAsia="en-US"/>
              </w:rPr>
            </w:pPr>
            <w:r w:rsidRPr="001D5B9C">
              <w:rPr>
                <w:rFonts w:cs="Calibri"/>
                <w:b/>
                <w:bCs/>
                <w:sz w:val="16"/>
                <w:szCs w:val="16"/>
                <w:lang w:eastAsia="en-US"/>
              </w:rPr>
              <w:t>0,614</w:t>
            </w:r>
          </w:p>
        </w:tc>
        <w:tc>
          <w:tcPr>
            <w:tcW w:w="2126" w:type="dxa"/>
            <w:tcBorders>
              <w:top w:val="dashSmallGap" w:sz="4" w:space="0" w:color="auto"/>
              <w:left w:val="nil"/>
              <w:bottom w:val="nil"/>
              <w:right w:val="nil"/>
            </w:tcBorders>
            <w:noWrap/>
            <w:vAlign w:val="bottom"/>
            <w:hideMark/>
          </w:tcPr>
          <w:p w14:paraId="0A290F83" w14:textId="77777777" w:rsidR="005B4528" w:rsidRPr="001D5B9C" w:rsidRDefault="005B4528" w:rsidP="001D5B9C">
            <w:pPr>
              <w:spacing w:line="257" w:lineRule="auto"/>
              <w:contextualSpacing/>
              <w:jc w:val="center"/>
              <w:rPr>
                <w:rFonts w:cs="Calibri"/>
                <w:b/>
                <w:bCs/>
                <w:sz w:val="16"/>
                <w:szCs w:val="16"/>
                <w:lang w:eastAsia="en-US"/>
              </w:rPr>
            </w:pPr>
            <w:r w:rsidRPr="001D5B9C">
              <w:rPr>
                <w:rFonts w:cs="Calibri"/>
                <w:b/>
                <w:bCs/>
                <w:sz w:val="16"/>
                <w:szCs w:val="16"/>
                <w:lang w:eastAsia="en-US"/>
              </w:rPr>
              <w:t>III.</w:t>
            </w:r>
          </w:p>
        </w:tc>
      </w:tr>
      <w:tr w:rsidR="005B4528" w14:paraId="7312B168" w14:textId="77777777" w:rsidTr="00543E89">
        <w:trPr>
          <w:trHeight w:val="225"/>
        </w:trPr>
        <w:tc>
          <w:tcPr>
            <w:tcW w:w="7796" w:type="dxa"/>
            <w:gridSpan w:val="4"/>
            <w:tcBorders>
              <w:top w:val="nil"/>
              <w:left w:val="nil"/>
              <w:bottom w:val="dashSmallGap" w:sz="4" w:space="0" w:color="auto"/>
              <w:right w:val="nil"/>
            </w:tcBorders>
            <w:noWrap/>
            <w:vAlign w:val="bottom"/>
          </w:tcPr>
          <w:p w14:paraId="409EC49C" w14:textId="77777777" w:rsidR="005B4528" w:rsidRPr="001D5B9C" w:rsidRDefault="005B4528" w:rsidP="001D5B9C">
            <w:pPr>
              <w:spacing w:line="257" w:lineRule="auto"/>
              <w:ind w:left="0"/>
              <w:contextualSpacing/>
              <w:jc w:val="left"/>
              <w:rPr>
                <w:rFonts w:cs="Calibri"/>
                <w:b/>
                <w:bCs/>
                <w:i/>
                <w:iCs/>
                <w:sz w:val="16"/>
                <w:szCs w:val="16"/>
                <w:lang w:eastAsia="en-US"/>
              </w:rPr>
            </w:pPr>
            <w:r w:rsidRPr="001D5B9C">
              <w:rPr>
                <w:rFonts w:cs="Calibri"/>
                <w:b/>
                <w:bCs/>
                <w:i/>
                <w:iCs/>
                <w:sz w:val="16"/>
                <w:szCs w:val="16"/>
                <w:lang w:eastAsia="en-US"/>
              </w:rPr>
              <w:t xml:space="preserve">zdůvodnění navrácení: </w:t>
            </w:r>
          </w:p>
          <w:p w14:paraId="25E97D20" w14:textId="77777777" w:rsidR="005B4528" w:rsidRPr="004A7254" w:rsidRDefault="005B4528">
            <w:pPr>
              <w:pStyle w:val="Odstavecseseznamem"/>
              <w:numPr>
                <w:ilvl w:val="0"/>
                <w:numId w:val="35"/>
              </w:numPr>
              <w:spacing w:before="0" w:after="0" w:line="257" w:lineRule="auto"/>
              <w:ind w:left="218" w:hanging="142"/>
              <w:jc w:val="left"/>
              <w:rPr>
                <w:rFonts w:cs="Calibri"/>
                <w:i/>
                <w:iCs/>
                <w:sz w:val="16"/>
                <w:szCs w:val="16"/>
              </w:rPr>
            </w:pPr>
            <w:r w:rsidRPr="004A7254">
              <w:rPr>
                <w:rFonts w:cs="Calibri"/>
                <w:i/>
                <w:iCs/>
                <w:sz w:val="16"/>
                <w:szCs w:val="16"/>
              </w:rPr>
              <w:t>plocha je dlouhodobě nevyužita</w:t>
            </w:r>
            <w:r>
              <w:rPr>
                <w:rFonts w:cs="Calibri"/>
                <w:i/>
                <w:iCs/>
                <w:sz w:val="16"/>
                <w:szCs w:val="16"/>
              </w:rPr>
              <w:t xml:space="preserve"> (více než 5 let od nabytí účinnosti poslední změny ÚP Hlubočky)</w:t>
            </w:r>
          </w:p>
          <w:p w14:paraId="0971F00C" w14:textId="77777777" w:rsidR="005B4528" w:rsidRDefault="005B4528">
            <w:pPr>
              <w:pStyle w:val="Odstavecseseznamem"/>
              <w:numPr>
                <w:ilvl w:val="0"/>
                <w:numId w:val="35"/>
              </w:numPr>
              <w:spacing w:before="0" w:after="0" w:line="257" w:lineRule="auto"/>
              <w:ind w:left="218" w:hanging="142"/>
              <w:jc w:val="left"/>
              <w:rPr>
                <w:rFonts w:cs="Calibri"/>
                <w:sz w:val="16"/>
                <w:szCs w:val="16"/>
              </w:rPr>
            </w:pPr>
            <w:r>
              <w:rPr>
                <w:rFonts w:cs="Calibri"/>
                <w:i/>
                <w:iCs/>
                <w:sz w:val="16"/>
                <w:szCs w:val="16"/>
              </w:rPr>
              <w:t>plocha není v souladu s urbanistickou koncepcí – územně nerozšiřovat zástavbu samot a rekreačních a zahrádkových lokalit.</w:t>
            </w:r>
          </w:p>
        </w:tc>
      </w:tr>
      <w:tr w:rsidR="005B4528" w:rsidRPr="001D5B9C" w14:paraId="6BEDB35C" w14:textId="77777777" w:rsidTr="001D5B9C">
        <w:trPr>
          <w:trHeight w:val="225"/>
        </w:trPr>
        <w:tc>
          <w:tcPr>
            <w:tcW w:w="1848" w:type="dxa"/>
            <w:tcBorders>
              <w:top w:val="dashSmallGap" w:sz="4" w:space="0" w:color="auto"/>
              <w:left w:val="nil"/>
              <w:bottom w:val="nil"/>
              <w:right w:val="nil"/>
            </w:tcBorders>
            <w:noWrap/>
            <w:vAlign w:val="bottom"/>
            <w:hideMark/>
          </w:tcPr>
          <w:p w14:paraId="2F2CD3B3" w14:textId="77777777" w:rsidR="005B4528" w:rsidRPr="001D5B9C" w:rsidRDefault="005B4528" w:rsidP="001D5B9C">
            <w:pPr>
              <w:spacing w:line="257" w:lineRule="auto"/>
              <w:ind w:left="0"/>
              <w:contextualSpacing/>
              <w:jc w:val="left"/>
              <w:rPr>
                <w:rFonts w:cs="Calibri"/>
                <w:b/>
                <w:bCs/>
                <w:sz w:val="16"/>
                <w:szCs w:val="16"/>
                <w:lang w:eastAsia="en-US"/>
              </w:rPr>
            </w:pPr>
            <w:r w:rsidRPr="001D5B9C">
              <w:rPr>
                <w:rFonts w:cs="Calibri"/>
                <w:b/>
                <w:bCs/>
                <w:sz w:val="16"/>
                <w:szCs w:val="16"/>
                <w:lang w:eastAsia="en-US"/>
              </w:rPr>
              <w:t>B6</w:t>
            </w:r>
          </w:p>
        </w:tc>
        <w:tc>
          <w:tcPr>
            <w:tcW w:w="1284" w:type="dxa"/>
            <w:tcBorders>
              <w:top w:val="dashSmallGap" w:sz="4" w:space="0" w:color="auto"/>
              <w:left w:val="nil"/>
              <w:bottom w:val="nil"/>
              <w:right w:val="nil"/>
            </w:tcBorders>
            <w:noWrap/>
            <w:vAlign w:val="bottom"/>
            <w:hideMark/>
          </w:tcPr>
          <w:p w14:paraId="65C249AD" w14:textId="77777777" w:rsidR="005B4528" w:rsidRPr="001D5B9C" w:rsidRDefault="005B4528" w:rsidP="001D5B9C">
            <w:pPr>
              <w:spacing w:line="257" w:lineRule="auto"/>
              <w:contextualSpacing/>
              <w:jc w:val="center"/>
              <w:rPr>
                <w:rFonts w:cs="Calibri"/>
                <w:b/>
                <w:bCs/>
                <w:sz w:val="16"/>
                <w:szCs w:val="16"/>
                <w:lang w:eastAsia="en-US"/>
              </w:rPr>
            </w:pPr>
            <w:r w:rsidRPr="001D5B9C">
              <w:rPr>
                <w:rFonts w:cs="Calibri"/>
                <w:b/>
                <w:bCs/>
                <w:sz w:val="16"/>
                <w:szCs w:val="16"/>
                <w:lang w:eastAsia="en-US"/>
              </w:rPr>
              <w:t>BI</w:t>
            </w:r>
          </w:p>
        </w:tc>
        <w:tc>
          <w:tcPr>
            <w:tcW w:w="2538" w:type="dxa"/>
            <w:tcBorders>
              <w:top w:val="dashSmallGap" w:sz="4" w:space="0" w:color="auto"/>
              <w:left w:val="nil"/>
              <w:bottom w:val="nil"/>
              <w:right w:val="nil"/>
            </w:tcBorders>
            <w:noWrap/>
            <w:vAlign w:val="bottom"/>
            <w:hideMark/>
          </w:tcPr>
          <w:p w14:paraId="69914EE8" w14:textId="77777777" w:rsidR="005B4528" w:rsidRPr="001D5B9C" w:rsidRDefault="005B4528" w:rsidP="001D5B9C">
            <w:pPr>
              <w:spacing w:line="257" w:lineRule="auto"/>
              <w:contextualSpacing/>
              <w:jc w:val="center"/>
              <w:rPr>
                <w:rFonts w:cs="Calibri"/>
                <w:b/>
                <w:bCs/>
                <w:sz w:val="16"/>
                <w:szCs w:val="16"/>
                <w:lang w:eastAsia="en-US"/>
              </w:rPr>
            </w:pPr>
            <w:r w:rsidRPr="001D5B9C">
              <w:rPr>
                <w:rFonts w:cs="Calibri"/>
                <w:b/>
                <w:bCs/>
                <w:sz w:val="16"/>
                <w:szCs w:val="16"/>
                <w:lang w:eastAsia="en-US"/>
              </w:rPr>
              <w:t>0,109</w:t>
            </w:r>
          </w:p>
        </w:tc>
        <w:tc>
          <w:tcPr>
            <w:tcW w:w="2126" w:type="dxa"/>
            <w:tcBorders>
              <w:top w:val="dashSmallGap" w:sz="4" w:space="0" w:color="auto"/>
              <w:left w:val="nil"/>
              <w:bottom w:val="nil"/>
              <w:right w:val="nil"/>
            </w:tcBorders>
            <w:noWrap/>
            <w:vAlign w:val="bottom"/>
            <w:hideMark/>
          </w:tcPr>
          <w:p w14:paraId="068D0B0D" w14:textId="77777777" w:rsidR="005B4528" w:rsidRPr="001D5B9C" w:rsidRDefault="005B4528" w:rsidP="001D5B9C">
            <w:pPr>
              <w:spacing w:line="257" w:lineRule="auto"/>
              <w:contextualSpacing/>
              <w:jc w:val="center"/>
              <w:rPr>
                <w:rFonts w:cs="Calibri"/>
                <w:b/>
                <w:bCs/>
                <w:sz w:val="16"/>
                <w:szCs w:val="16"/>
                <w:lang w:eastAsia="en-US"/>
              </w:rPr>
            </w:pPr>
            <w:r w:rsidRPr="001D5B9C">
              <w:rPr>
                <w:rFonts w:cs="Calibri"/>
                <w:b/>
                <w:bCs/>
                <w:sz w:val="16"/>
                <w:szCs w:val="16"/>
                <w:lang w:eastAsia="en-US"/>
              </w:rPr>
              <w:t>V.</w:t>
            </w:r>
          </w:p>
        </w:tc>
      </w:tr>
      <w:tr w:rsidR="005B4528" w14:paraId="174463CB" w14:textId="77777777" w:rsidTr="00543E89">
        <w:trPr>
          <w:trHeight w:val="225"/>
        </w:trPr>
        <w:tc>
          <w:tcPr>
            <w:tcW w:w="7796" w:type="dxa"/>
            <w:gridSpan w:val="4"/>
            <w:tcBorders>
              <w:top w:val="nil"/>
              <w:left w:val="nil"/>
              <w:bottom w:val="dashSmallGap" w:sz="4" w:space="0" w:color="auto"/>
              <w:right w:val="nil"/>
            </w:tcBorders>
            <w:noWrap/>
            <w:vAlign w:val="bottom"/>
          </w:tcPr>
          <w:p w14:paraId="1906AEC2" w14:textId="77777777" w:rsidR="005B4528" w:rsidRPr="001D5B9C" w:rsidRDefault="005B4528" w:rsidP="001D5B9C">
            <w:pPr>
              <w:spacing w:line="257" w:lineRule="auto"/>
              <w:ind w:left="0"/>
              <w:contextualSpacing/>
              <w:jc w:val="left"/>
              <w:rPr>
                <w:rFonts w:cs="Calibri"/>
                <w:b/>
                <w:bCs/>
                <w:i/>
                <w:iCs/>
                <w:sz w:val="16"/>
                <w:szCs w:val="16"/>
                <w:lang w:eastAsia="en-US"/>
              </w:rPr>
            </w:pPr>
            <w:r w:rsidRPr="001D5B9C">
              <w:rPr>
                <w:rFonts w:cs="Calibri"/>
                <w:b/>
                <w:bCs/>
                <w:i/>
                <w:iCs/>
                <w:sz w:val="16"/>
                <w:szCs w:val="16"/>
                <w:lang w:eastAsia="en-US"/>
              </w:rPr>
              <w:t xml:space="preserve">zdůvodnění navrácení: </w:t>
            </w:r>
          </w:p>
          <w:p w14:paraId="306B1654" w14:textId="77777777" w:rsidR="005B4528" w:rsidRDefault="005B4528">
            <w:pPr>
              <w:pStyle w:val="Odstavecseseznamem"/>
              <w:numPr>
                <w:ilvl w:val="0"/>
                <w:numId w:val="35"/>
              </w:numPr>
              <w:spacing w:before="0" w:after="0" w:line="257" w:lineRule="auto"/>
              <w:ind w:left="218" w:hanging="142"/>
              <w:jc w:val="left"/>
              <w:rPr>
                <w:rFonts w:cs="Calibri"/>
                <w:sz w:val="16"/>
                <w:szCs w:val="16"/>
              </w:rPr>
            </w:pPr>
            <w:r>
              <w:rPr>
                <w:rFonts w:cs="Calibri"/>
                <w:i/>
                <w:iCs/>
                <w:sz w:val="16"/>
                <w:szCs w:val="16"/>
              </w:rPr>
              <w:t>nevyužitá a dále nevyužitelná část plochy s ohledem na realizované využití plochy B6</w:t>
            </w:r>
          </w:p>
        </w:tc>
      </w:tr>
      <w:tr w:rsidR="005B4528" w:rsidRPr="001D5B9C" w14:paraId="654827D4" w14:textId="77777777" w:rsidTr="001D5B9C">
        <w:trPr>
          <w:trHeight w:val="225"/>
        </w:trPr>
        <w:tc>
          <w:tcPr>
            <w:tcW w:w="1848" w:type="dxa"/>
            <w:tcBorders>
              <w:top w:val="dashSmallGap" w:sz="4" w:space="0" w:color="auto"/>
              <w:left w:val="nil"/>
              <w:bottom w:val="nil"/>
              <w:right w:val="nil"/>
            </w:tcBorders>
            <w:noWrap/>
            <w:vAlign w:val="bottom"/>
            <w:hideMark/>
          </w:tcPr>
          <w:p w14:paraId="35B51CF7" w14:textId="77777777" w:rsidR="005B4528" w:rsidRPr="001D5B9C" w:rsidRDefault="005B4528" w:rsidP="001D5B9C">
            <w:pPr>
              <w:spacing w:line="257" w:lineRule="auto"/>
              <w:ind w:left="0"/>
              <w:contextualSpacing/>
              <w:jc w:val="left"/>
              <w:rPr>
                <w:rFonts w:cs="Calibri"/>
                <w:b/>
                <w:bCs/>
                <w:sz w:val="16"/>
                <w:szCs w:val="16"/>
                <w:lang w:eastAsia="en-US"/>
              </w:rPr>
            </w:pPr>
            <w:r w:rsidRPr="001D5B9C">
              <w:rPr>
                <w:rFonts w:cs="Calibri"/>
                <w:b/>
                <w:bCs/>
                <w:sz w:val="16"/>
                <w:szCs w:val="16"/>
                <w:lang w:eastAsia="en-US"/>
              </w:rPr>
              <w:t>B14</w:t>
            </w:r>
          </w:p>
        </w:tc>
        <w:tc>
          <w:tcPr>
            <w:tcW w:w="1284" w:type="dxa"/>
            <w:tcBorders>
              <w:top w:val="dashSmallGap" w:sz="4" w:space="0" w:color="auto"/>
              <w:left w:val="nil"/>
              <w:bottom w:val="nil"/>
              <w:right w:val="nil"/>
            </w:tcBorders>
            <w:noWrap/>
            <w:vAlign w:val="bottom"/>
            <w:hideMark/>
          </w:tcPr>
          <w:p w14:paraId="00250EBE" w14:textId="77777777" w:rsidR="005B4528" w:rsidRPr="001D5B9C" w:rsidRDefault="005B4528" w:rsidP="001D5B9C">
            <w:pPr>
              <w:spacing w:line="257" w:lineRule="auto"/>
              <w:contextualSpacing/>
              <w:jc w:val="center"/>
              <w:rPr>
                <w:rFonts w:cs="Calibri"/>
                <w:b/>
                <w:bCs/>
                <w:sz w:val="16"/>
                <w:szCs w:val="16"/>
                <w:lang w:eastAsia="en-US"/>
              </w:rPr>
            </w:pPr>
            <w:r w:rsidRPr="001D5B9C">
              <w:rPr>
                <w:rFonts w:cs="Calibri"/>
                <w:b/>
                <w:bCs/>
                <w:sz w:val="16"/>
                <w:szCs w:val="16"/>
                <w:lang w:eastAsia="en-US"/>
              </w:rPr>
              <w:t>BI</w:t>
            </w:r>
          </w:p>
        </w:tc>
        <w:tc>
          <w:tcPr>
            <w:tcW w:w="2538" w:type="dxa"/>
            <w:tcBorders>
              <w:top w:val="dashSmallGap" w:sz="4" w:space="0" w:color="auto"/>
              <w:left w:val="nil"/>
              <w:bottom w:val="nil"/>
              <w:right w:val="nil"/>
            </w:tcBorders>
            <w:noWrap/>
            <w:vAlign w:val="bottom"/>
            <w:hideMark/>
          </w:tcPr>
          <w:p w14:paraId="28B34ECA" w14:textId="77777777" w:rsidR="005B4528" w:rsidRPr="001D5B9C" w:rsidRDefault="005B4528" w:rsidP="001D5B9C">
            <w:pPr>
              <w:spacing w:line="257" w:lineRule="auto"/>
              <w:contextualSpacing/>
              <w:jc w:val="center"/>
              <w:rPr>
                <w:rFonts w:cs="Calibri"/>
                <w:b/>
                <w:bCs/>
                <w:sz w:val="16"/>
                <w:szCs w:val="16"/>
                <w:lang w:eastAsia="en-US"/>
              </w:rPr>
            </w:pPr>
            <w:r w:rsidRPr="001D5B9C">
              <w:rPr>
                <w:rFonts w:cs="Calibri"/>
                <w:b/>
                <w:bCs/>
                <w:sz w:val="16"/>
                <w:szCs w:val="16"/>
                <w:lang w:eastAsia="en-US"/>
              </w:rPr>
              <w:t>0,513</w:t>
            </w:r>
          </w:p>
        </w:tc>
        <w:tc>
          <w:tcPr>
            <w:tcW w:w="2126" w:type="dxa"/>
            <w:tcBorders>
              <w:top w:val="dashSmallGap" w:sz="4" w:space="0" w:color="auto"/>
              <w:left w:val="nil"/>
              <w:bottom w:val="nil"/>
              <w:right w:val="nil"/>
            </w:tcBorders>
            <w:noWrap/>
            <w:vAlign w:val="bottom"/>
            <w:hideMark/>
          </w:tcPr>
          <w:p w14:paraId="01E264F8" w14:textId="77777777" w:rsidR="005B4528" w:rsidRPr="001D5B9C" w:rsidRDefault="005B4528" w:rsidP="001D5B9C">
            <w:pPr>
              <w:spacing w:line="257" w:lineRule="auto"/>
              <w:contextualSpacing/>
              <w:jc w:val="center"/>
              <w:rPr>
                <w:rFonts w:cs="Calibri"/>
                <w:b/>
                <w:bCs/>
                <w:sz w:val="16"/>
                <w:szCs w:val="16"/>
                <w:lang w:eastAsia="en-US"/>
              </w:rPr>
            </w:pPr>
            <w:r w:rsidRPr="001D5B9C">
              <w:rPr>
                <w:rFonts w:cs="Calibri"/>
                <w:b/>
                <w:bCs/>
                <w:sz w:val="16"/>
                <w:szCs w:val="16"/>
                <w:lang w:eastAsia="en-US"/>
              </w:rPr>
              <w:t>II., V.</w:t>
            </w:r>
          </w:p>
        </w:tc>
      </w:tr>
      <w:tr w:rsidR="005B4528" w14:paraId="196E2574" w14:textId="77777777" w:rsidTr="00543E89">
        <w:trPr>
          <w:trHeight w:val="225"/>
        </w:trPr>
        <w:tc>
          <w:tcPr>
            <w:tcW w:w="7796" w:type="dxa"/>
            <w:gridSpan w:val="4"/>
            <w:tcBorders>
              <w:top w:val="nil"/>
              <w:left w:val="nil"/>
              <w:bottom w:val="dashSmallGap" w:sz="4" w:space="0" w:color="auto"/>
              <w:right w:val="nil"/>
            </w:tcBorders>
            <w:noWrap/>
            <w:vAlign w:val="bottom"/>
          </w:tcPr>
          <w:p w14:paraId="1C2CD087" w14:textId="77777777" w:rsidR="005B4528" w:rsidRPr="001D5B9C" w:rsidRDefault="005B4528" w:rsidP="001D5B9C">
            <w:pPr>
              <w:spacing w:line="257" w:lineRule="auto"/>
              <w:ind w:left="0"/>
              <w:contextualSpacing/>
              <w:jc w:val="left"/>
              <w:rPr>
                <w:rFonts w:cs="Calibri"/>
                <w:b/>
                <w:bCs/>
                <w:i/>
                <w:iCs/>
                <w:sz w:val="16"/>
                <w:szCs w:val="16"/>
                <w:lang w:eastAsia="en-US"/>
              </w:rPr>
            </w:pPr>
            <w:r w:rsidRPr="001D5B9C">
              <w:rPr>
                <w:rFonts w:cs="Calibri"/>
                <w:b/>
                <w:bCs/>
                <w:i/>
                <w:iCs/>
                <w:sz w:val="16"/>
                <w:szCs w:val="16"/>
                <w:lang w:eastAsia="en-US"/>
              </w:rPr>
              <w:t xml:space="preserve">zdůvodnění navrácení: </w:t>
            </w:r>
          </w:p>
          <w:p w14:paraId="7E4893B8" w14:textId="77777777" w:rsidR="005B4528" w:rsidRPr="004A7254" w:rsidRDefault="005B4528">
            <w:pPr>
              <w:pStyle w:val="Odstavecseseznamem"/>
              <w:numPr>
                <w:ilvl w:val="0"/>
                <w:numId w:val="35"/>
              </w:numPr>
              <w:spacing w:before="0" w:after="0" w:line="257" w:lineRule="auto"/>
              <w:ind w:left="218" w:hanging="142"/>
              <w:jc w:val="left"/>
              <w:rPr>
                <w:rFonts w:cs="Calibri"/>
                <w:i/>
                <w:iCs/>
                <w:sz w:val="16"/>
                <w:szCs w:val="16"/>
              </w:rPr>
            </w:pPr>
            <w:r w:rsidRPr="004A7254">
              <w:rPr>
                <w:rFonts w:cs="Calibri"/>
                <w:i/>
                <w:iCs/>
                <w:sz w:val="16"/>
                <w:szCs w:val="16"/>
              </w:rPr>
              <w:t>plocha je dlouhodobě nevyužita</w:t>
            </w:r>
            <w:r>
              <w:rPr>
                <w:rFonts w:cs="Calibri"/>
                <w:i/>
                <w:iCs/>
                <w:sz w:val="16"/>
                <w:szCs w:val="16"/>
              </w:rPr>
              <w:t xml:space="preserve"> (více než 5 let od nabytí účinnosti poslední změny ÚP Hlubočky)</w:t>
            </w:r>
          </w:p>
          <w:p w14:paraId="41580164" w14:textId="77777777" w:rsidR="005B4528" w:rsidRPr="00B31CD8" w:rsidRDefault="005B4528">
            <w:pPr>
              <w:pStyle w:val="Odstavecseseznamem"/>
              <w:numPr>
                <w:ilvl w:val="0"/>
                <w:numId w:val="35"/>
              </w:numPr>
              <w:spacing w:before="0" w:after="0" w:line="257" w:lineRule="auto"/>
              <w:ind w:left="218" w:hanging="142"/>
              <w:jc w:val="left"/>
              <w:rPr>
                <w:rFonts w:cs="Calibri"/>
                <w:i/>
                <w:iCs/>
                <w:sz w:val="16"/>
                <w:szCs w:val="16"/>
              </w:rPr>
            </w:pPr>
            <w:r w:rsidRPr="00B31CD8">
              <w:rPr>
                <w:rFonts w:cs="Calibri"/>
                <w:i/>
                <w:iCs/>
                <w:sz w:val="16"/>
                <w:szCs w:val="16"/>
              </w:rPr>
              <w:t>plocha není v souladu s urbanistickou koncepcí – ve vyšších polohách svahů údolí Bystřice a jejích přítoků zástavbu stabilizovat a plošně nerozvíjet,</w:t>
            </w:r>
          </w:p>
          <w:p w14:paraId="683A236E" w14:textId="77777777" w:rsidR="005B4528" w:rsidRDefault="005B4528">
            <w:pPr>
              <w:pStyle w:val="Odstavecseseznamem"/>
              <w:numPr>
                <w:ilvl w:val="0"/>
                <w:numId w:val="35"/>
              </w:numPr>
              <w:spacing w:before="0" w:after="0" w:line="257" w:lineRule="auto"/>
              <w:ind w:left="218" w:hanging="142"/>
              <w:jc w:val="left"/>
              <w:rPr>
                <w:rFonts w:cs="Calibri"/>
                <w:sz w:val="16"/>
                <w:szCs w:val="16"/>
              </w:rPr>
            </w:pPr>
            <w:r w:rsidRPr="00B31CD8">
              <w:rPr>
                <w:rFonts w:cs="Calibri"/>
                <w:i/>
                <w:iCs/>
                <w:sz w:val="16"/>
                <w:szCs w:val="16"/>
              </w:rPr>
              <w:t>plocha není vhodná ke stavebnímu využití z důvodu limitů napojení na veřejnou infrastrukturu a morfologické podmínky</w:t>
            </w:r>
            <w:r>
              <w:rPr>
                <w:rFonts w:cs="Calibri"/>
                <w:i/>
                <w:iCs/>
                <w:sz w:val="16"/>
                <w:szCs w:val="16"/>
              </w:rPr>
              <w:t>.</w:t>
            </w:r>
          </w:p>
        </w:tc>
      </w:tr>
      <w:tr w:rsidR="005B4528" w:rsidRPr="001D5B9C" w14:paraId="05665703" w14:textId="77777777" w:rsidTr="001D5B9C">
        <w:trPr>
          <w:trHeight w:val="225"/>
        </w:trPr>
        <w:tc>
          <w:tcPr>
            <w:tcW w:w="1848" w:type="dxa"/>
            <w:tcBorders>
              <w:top w:val="dashSmallGap" w:sz="4" w:space="0" w:color="auto"/>
              <w:left w:val="nil"/>
              <w:bottom w:val="nil"/>
              <w:right w:val="nil"/>
            </w:tcBorders>
            <w:noWrap/>
            <w:vAlign w:val="bottom"/>
            <w:hideMark/>
          </w:tcPr>
          <w:p w14:paraId="319F9B99" w14:textId="77777777" w:rsidR="005B4528" w:rsidRPr="001D5B9C" w:rsidRDefault="005B4528" w:rsidP="001D5B9C">
            <w:pPr>
              <w:spacing w:line="257" w:lineRule="auto"/>
              <w:ind w:left="0"/>
              <w:contextualSpacing/>
              <w:jc w:val="left"/>
              <w:rPr>
                <w:rFonts w:cs="Calibri"/>
                <w:b/>
                <w:bCs/>
                <w:sz w:val="16"/>
                <w:szCs w:val="16"/>
                <w:lang w:eastAsia="en-US"/>
              </w:rPr>
            </w:pPr>
            <w:r w:rsidRPr="001D5B9C">
              <w:rPr>
                <w:rFonts w:cs="Calibri"/>
                <w:b/>
                <w:bCs/>
                <w:sz w:val="16"/>
                <w:szCs w:val="16"/>
                <w:lang w:eastAsia="en-US"/>
              </w:rPr>
              <w:t>V6</w:t>
            </w:r>
          </w:p>
        </w:tc>
        <w:tc>
          <w:tcPr>
            <w:tcW w:w="1284" w:type="dxa"/>
            <w:tcBorders>
              <w:top w:val="dashSmallGap" w:sz="4" w:space="0" w:color="auto"/>
              <w:left w:val="nil"/>
              <w:bottom w:val="nil"/>
              <w:right w:val="nil"/>
            </w:tcBorders>
            <w:noWrap/>
            <w:vAlign w:val="bottom"/>
            <w:hideMark/>
          </w:tcPr>
          <w:p w14:paraId="532108DC" w14:textId="77777777" w:rsidR="005B4528" w:rsidRPr="001D5B9C" w:rsidRDefault="005B4528" w:rsidP="001D5B9C">
            <w:pPr>
              <w:spacing w:line="257" w:lineRule="auto"/>
              <w:contextualSpacing/>
              <w:jc w:val="center"/>
              <w:rPr>
                <w:rFonts w:cs="Calibri"/>
                <w:b/>
                <w:bCs/>
                <w:sz w:val="16"/>
                <w:szCs w:val="16"/>
                <w:lang w:eastAsia="en-US"/>
              </w:rPr>
            </w:pPr>
            <w:r w:rsidRPr="001D5B9C">
              <w:rPr>
                <w:rFonts w:cs="Calibri"/>
                <w:b/>
                <w:bCs/>
                <w:sz w:val="16"/>
                <w:szCs w:val="16"/>
                <w:lang w:eastAsia="en-US"/>
              </w:rPr>
              <w:t>VZ</w:t>
            </w:r>
          </w:p>
        </w:tc>
        <w:tc>
          <w:tcPr>
            <w:tcW w:w="2538" w:type="dxa"/>
            <w:tcBorders>
              <w:top w:val="dashSmallGap" w:sz="4" w:space="0" w:color="auto"/>
              <w:left w:val="nil"/>
              <w:bottom w:val="nil"/>
              <w:right w:val="nil"/>
            </w:tcBorders>
            <w:noWrap/>
            <w:vAlign w:val="bottom"/>
            <w:hideMark/>
          </w:tcPr>
          <w:p w14:paraId="355DB651" w14:textId="77777777" w:rsidR="005B4528" w:rsidRPr="001D5B9C" w:rsidRDefault="005B4528" w:rsidP="001D5B9C">
            <w:pPr>
              <w:spacing w:line="257" w:lineRule="auto"/>
              <w:contextualSpacing/>
              <w:jc w:val="center"/>
              <w:rPr>
                <w:rFonts w:cs="Calibri"/>
                <w:b/>
                <w:bCs/>
                <w:sz w:val="16"/>
                <w:szCs w:val="16"/>
                <w:lang w:eastAsia="en-US"/>
              </w:rPr>
            </w:pPr>
            <w:r w:rsidRPr="001D5B9C">
              <w:rPr>
                <w:rFonts w:cs="Calibri"/>
                <w:b/>
                <w:bCs/>
                <w:sz w:val="16"/>
                <w:szCs w:val="16"/>
                <w:lang w:eastAsia="en-US"/>
              </w:rPr>
              <w:t>1,042</w:t>
            </w:r>
          </w:p>
        </w:tc>
        <w:tc>
          <w:tcPr>
            <w:tcW w:w="2126" w:type="dxa"/>
            <w:tcBorders>
              <w:top w:val="dashSmallGap" w:sz="4" w:space="0" w:color="auto"/>
              <w:left w:val="nil"/>
              <w:bottom w:val="nil"/>
              <w:right w:val="nil"/>
            </w:tcBorders>
            <w:noWrap/>
            <w:vAlign w:val="bottom"/>
            <w:hideMark/>
          </w:tcPr>
          <w:p w14:paraId="67280575" w14:textId="77777777" w:rsidR="005B4528" w:rsidRPr="001D5B9C" w:rsidRDefault="005B4528" w:rsidP="001D5B9C">
            <w:pPr>
              <w:spacing w:line="257" w:lineRule="auto"/>
              <w:contextualSpacing/>
              <w:jc w:val="center"/>
              <w:rPr>
                <w:rFonts w:cs="Calibri"/>
                <w:b/>
                <w:bCs/>
                <w:sz w:val="16"/>
                <w:szCs w:val="16"/>
                <w:lang w:eastAsia="en-US"/>
              </w:rPr>
            </w:pPr>
            <w:r w:rsidRPr="001D5B9C">
              <w:rPr>
                <w:rFonts w:cs="Calibri"/>
                <w:b/>
                <w:bCs/>
                <w:sz w:val="16"/>
                <w:szCs w:val="16"/>
                <w:lang w:eastAsia="en-US"/>
              </w:rPr>
              <w:t>II.</w:t>
            </w:r>
          </w:p>
        </w:tc>
      </w:tr>
      <w:tr w:rsidR="005B4528" w14:paraId="46A284F0" w14:textId="77777777" w:rsidTr="00543E89">
        <w:trPr>
          <w:trHeight w:val="225"/>
        </w:trPr>
        <w:tc>
          <w:tcPr>
            <w:tcW w:w="7796" w:type="dxa"/>
            <w:gridSpan w:val="4"/>
            <w:tcBorders>
              <w:top w:val="nil"/>
              <w:left w:val="nil"/>
              <w:bottom w:val="dashSmallGap" w:sz="4" w:space="0" w:color="auto"/>
              <w:right w:val="nil"/>
            </w:tcBorders>
            <w:noWrap/>
            <w:vAlign w:val="bottom"/>
          </w:tcPr>
          <w:p w14:paraId="4224CB15" w14:textId="77777777" w:rsidR="005B4528" w:rsidRPr="001D5B9C" w:rsidRDefault="005B4528" w:rsidP="001D5B9C">
            <w:pPr>
              <w:spacing w:line="257" w:lineRule="auto"/>
              <w:ind w:left="0"/>
              <w:contextualSpacing/>
              <w:jc w:val="left"/>
              <w:rPr>
                <w:rFonts w:cs="Calibri"/>
                <w:b/>
                <w:bCs/>
                <w:i/>
                <w:iCs/>
                <w:sz w:val="16"/>
                <w:szCs w:val="16"/>
                <w:lang w:eastAsia="en-US"/>
              </w:rPr>
            </w:pPr>
            <w:r w:rsidRPr="001D5B9C">
              <w:rPr>
                <w:rFonts w:cs="Calibri"/>
                <w:b/>
                <w:bCs/>
                <w:i/>
                <w:iCs/>
                <w:sz w:val="16"/>
                <w:szCs w:val="16"/>
                <w:lang w:eastAsia="en-US"/>
              </w:rPr>
              <w:t xml:space="preserve">zdůvodnění navrácení: </w:t>
            </w:r>
          </w:p>
          <w:p w14:paraId="188FB8ED" w14:textId="77777777" w:rsidR="005B4528" w:rsidRPr="004A7254" w:rsidRDefault="005B4528">
            <w:pPr>
              <w:pStyle w:val="Odstavecseseznamem"/>
              <w:numPr>
                <w:ilvl w:val="0"/>
                <w:numId w:val="35"/>
              </w:numPr>
              <w:spacing w:before="0" w:after="0" w:line="257" w:lineRule="auto"/>
              <w:ind w:left="218" w:hanging="142"/>
              <w:jc w:val="left"/>
              <w:rPr>
                <w:rFonts w:cs="Calibri"/>
                <w:i/>
                <w:iCs/>
                <w:sz w:val="16"/>
                <w:szCs w:val="16"/>
              </w:rPr>
            </w:pPr>
            <w:r w:rsidRPr="004A7254">
              <w:rPr>
                <w:rFonts w:cs="Calibri"/>
                <w:i/>
                <w:iCs/>
                <w:sz w:val="16"/>
                <w:szCs w:val="16"/>
              </w:rPr>
              <w:t>plocha je dlouhodobě nevyužita</w:t>
            </w:r>
            <w:r>
              <w:rPr>
                <w:rFonts w:cs="Calibri"/>
                <w:i/>
                <w:iCs/>
                <w:sz w:val="16"/>
                <w:szCs w:val="16"/>
              </w:rPr>
              <w:t xml:space="preserve"> (více než 5 let od nabytí účinnosti poslední změny ÚP Hlubočky)</w:t>
            </w:r>
          </w:p>
          <w:p w14:paraId="5CB61CD6" w14:textId="77777777" w:rsidR="005B4528" w:rsidRPr="00665280" w:rsidRDefault="005B4528">
            <w:pPr>
              <w:pStyle w:val="Odstavecseseznamem"/>
              <w:numPr>
                <w:ilvl w:val="0"/>
                <w:numId w:val="35"/>
              </w:numPr>
              <w:spacing w:before="0" w:after="0" w:line="257" w:lineRule="auto"/>
              <w:ind w:left="218" w:hanging="142"/>
              <w:jc w:val="left"/>
              <w:rPr>
                <w:rFonts w:cs="Calibri"/>
                <w:sz w:val="16"/>
                <w:szCs w:val="16"/>
              </w:rPr>
            </w:pPr>
            <w:r>
              <w:rPr>
                <w:rFonts w:cs="Calibri"/>
                <w:i/>
                <w:iCs/>
                <w:sz w:val="16"/>
                <w:szCs w:val="16"/>
              </w:rPr>
              <w:t xml:space="preserve">plocha není v souladu s urbanistickou koncepcí – územně nerozšiřovat zástavbu samot, </w:t>
            </w:r>
          </w:p>
          <w:p w14:paraId="517D152F" w14:textId="77777777" w:rsidR="005B4528" w:rsidRDefault="005B4528">
            <w:pPr>
              <w:pStyle w:val="Odstavecseseznamem"/>
              <w:numPr>
                <w:ilvl w:val="0"/>
                <w:numId w:val="35"/>
              </w:numPr>
              <w:spacing w:before="0" w:after="0" w:line="257" w:lineRule="auto"/>
              <w:ind w:left="218" w:hanging="142"/>
              <w:jc w:val="left"/>
              <w:rPr>
                <w:rFonts w:cs="Calibri"/>
                <w:sz w:val="16"/>
                <w:szCs w:val="16"/>
              </w:rPr>
            </w:pPr>
            <w:r>
              <w:rPr>
                <w:rFonts w:cs="Calibri"/>
                <w:i/>
                <w:iCs/>
                <w:sz w:val="16"/>
                <w:szCs w:val="16"/>
              </w:rPr>
              <w:t>nevhodný způsob využit s negativním dopadem na krajinný ráz a hodnoty PP Údolí Bystřice.</w:t>
            </w:r>
          </w:p>
        </w:tc>
      </w:tr>
      <w:tr w:rsidR="005B4528" w:rsidRPr="001D5B9C" w14:paraId="5E0460DA" w14:textId="77777777" w:rsidTr="001D5B9C">
        <w:trPr>
          <w:trHeight w:val="225"/>
        </w:trPr>
        <w:tc>
          <w:tcPr>
            <w:tcW w:w="1848" w:type="dxa"/>
            <w:tcBorders>
              <w:top w:val="dashSmallGap" w:sz="4" w:space="0" w:color="auto"/>
              <w:left w:val="nil"/>
              <w:bottom w:val="nil"/>
              <w:right w:val="nil"/>
            </w:tcBorders>
            <w:noWrap/>
            <w:vAlign w:val="bottom"/>
            <w:hideMark/>
          </w:tcPr>
          <w:p w14:paraId="63D2D55C" w14:textId="77777777" w:rsidR="005B4528" w:rsidRPr="001D5B9C" w:rsidRDefault="005B4528" w:rsidP="001D5B9C">
            <w:pPr>
              <w:spacing w:line="257" w:lineRule="auto"/>
              <w:ind w:left="0"/>
              <w:contextualSpacing/>
              <w:jc w:val="left"/>
              <w:rPr>
                <w:rFonts w:cs="Calibri"/>
                <w:b/>
                <w:bCs/>
                <w:sz w:val="16"/>
                <w:szCs w:val="16"/>
                <w:lang w:eastAsia="en-US"/>
              </w:rPr>
            </w:pPr>
            <w:r w:rsidRPr="001D5B9C">
              <w:rPr>
                <w:rFonts w:cs="Calibri"/>
                <w:b/>
                <w:bCs/>
                <w:sz w:val="16"/>
                <w:szCs w:val="16"/>
                <w:lang w:eastAsia="en-US"/>
              </w:rPr>
              <w:t>R10</w:t>
            </w:r>
          </w:p>
        </w:tc>
        <w:tc>
          <w:tcPr>
            <w:tcW w:w="1284" w:type="dxa"/>
            <w:tcBorders>
              <w:top w:val="dashSmallGap" w:sz="4" w:space="0" w:color="auto"/>
              <w:left w:val="nil"/>
              <w:bottom w:val="nil"/>
              <w:right w:val="nil"/>
            </w:tcBorders>
            <w:noWrap/>
            <w:vAlign w:val="bottom"/>
            <w:hideMark/>
          </w:tcPr>
          <w:p w14:paraId="2A501306" w14:textId="77777777" w:rsidR="005B4528" w:rsidRPr="001D5B9C" w:rsidRDefault="005B4528" w:rsidP="001D5B9C">
            <w:pPr>
              <w:spacing w:line="257" w:lineRule="auto"/>
              <w:contextualSpacing/>
              <w:jc w:val="center"/>
              <w:rPr>
                <w:rFonts w:cs="Calibri"/>
                <w:b/>
                <w:bCs/>
                <w:sz w:val="16"/>
                <w:szCs w:val="16"/>
                <w:lang w:eastAsia="en-US"/>
              </w:rPr>
            </w:pPr>
            <w:r w:rsidRPr="001D5B9C">
              <w:rPr>
                <w:rFonts w:cs="Calibri"/>
                <w:b/>
                <w:bCs/>
                <w:sz w:val="16"/>
                <w:szCs w:val="16"/>
                <w:lang w:eastAsia="en-US"/>
              </w:rPr>
              <w:t>RH</w:t>
            </w:r>
          </w:p>
        </w:tc>
        <w:tc>
          <w:tcPr>
            <w:tcW w:w="2538" w:type="dxa"/>
            <w:tcBorders>
              <w:top w:val="dashSmallGap" w:sz="4" w:space="0" w:color="auto"/>
              <w:left w:val="nil"/>
              <w:bottom w:val="nil"/>
              <w:right w:val="nil"/>
            </w:tcBorders>
            <w:noWrap/>
            <w:vAlign w:val="bottom"/>
            <w:hideMark/>
          </w:tcPr>
          <w:p w14:paraId="5CF69688" w14:textId="77777777" w:rsidR="005B4528" w:rsidRPr="001D5B9C" w:rsidRDefault="005B4528" w:rsidP="001D5B9C">
            <w:pPr>
              <w:spacing w:line="257" w:lineRule="auto"/>
              <w:contextualSpacing/>
              <w:jc w:val="center"/>
              <w:rPr>
                <w:rFonts w:cs="Calibri"/>
                <w:b/>
                <w:bCs/>
                <w:sz w:val="16"/>
                <w:szCs w:val="16"/>
                <w:lang w:eastAsia="en-US"/>
              </w:rPr>
            </w:pPr>
            <w:r w:rsidRPr="001D5B9C">
              <w:rPr>
                <w:rFonts w:cs="Calibri"/>
                <w:b/>
                <w:bCs/>
                <w:sz w:val="16"/>
                <w:szCs w:val="16"/>
                <w:lang w:eastAsia="en-US"/>
              </w:rPr>
              <w:t>2,398</w:t>
            </w:r>
          </w:p>
        </w:tc>
        <w:tc>
          <w:tcPr>
            <w:tcW w:w="2126" w:type="dxa"/>
            <w:tcBorders>
              <w:top w:val="dashSmallGap" w:sz="4" w:space="0" w:color="auto"/>
              <w:left w:val="nil"/>
              <w:bottom w:val="nil"/>
              <w:right w:val="nil"/>
            </w:tcBorders>
            <w:noWrap/>
            <w:vAlign w:val="bottom"/>
            <w:hideMark/>
          </w:tcPr>
          <w:p w14:paraId="7AF9D8F0" w14:textId="77777777" w:rsidR="005B4528" w:rsidRPr="001D5B9C" w:rsidRDefault="005B4528" w:rsidP="001D5B9C">
            <w:pPr>
              <w:spacing w:line="257" w:lineRule="auto"/>
              <w:contextualSpacing/>
              <w:jc w:val="center"/>
              <w:rPr>
                <w:rFonts w:cs="Calibri"/>
                <w:b/>
                <w:bCs/>
                <w:sz w:val="16"/>
                <w:szCs w:val="16"/>
                <w:lang w:eastAsia="en-US"/>
              </w:rPr>
            </w:pPr>
            <w:r w:rsidRPr="001D5B9C">
              <w:rPr>
                <w:rFonts w:cs="Calibri"/>
                <w:b/>
                <w:bCs/>
                <w:sz w:val="16"/>
                <w:szCs w:val="16"/>
                <w:lang w:eastAsia="en-US"/>
              </w:rPr>
              <w:t>V.</w:t>
            </w:r>
          </w:p>
        </w:tc>
      </w:tr>
      <w:tr w:rsidR="005B4528" w14:paraId="26AD9608" w14:textId="77777777" w:rsidTr="00543E89">
        <w:trPr>
          <w:trHeight w:val="225"/>
        </w:trPr>
        <w:tc>
          <w:tcPr>
            <w:tcW w:w="7796" w:type="dxa"/>
            <w:gridSpan w:val="4"/>
            <w:tcBorders>
              <w:top w:val="nil"/>
              <w:left w:val="nil"/>
              <w:bottom w:val="dashSmallGap" w:sz="4" w:space="0" w:color="auto"/>
              <w:right w:val="nil"/>
            </w:tcBorders>
            <w:noWrap/>
            <w:vAlign w:val="bottom"/>
          </w:tcPr>
          <w:p w14:paraId="69047A29" w14:textId="77777777" w:rsidR="005B4528" w:rsidRPr="001D5B9C" w:rsidRDefault="005B4528" w:rsidP="001D5B9C">
            <w:pPr>
              <w:spacing w:line="257" w:lineRule="auto"/>
              <w:ind w:left="0"/>
              <w:contextualSpacing/>
              <w:jc w:val="left"/>
              <w:rPr>
                <w:rFonts w:cs="Calibri"/>
                <w:b/>
                <w:bCs/>
                <w:i/>
                <w:iCs/>
                <w:sz w:val="16"/>
                <w:szCs w:val="16"/>
                <w:lang w:eastAsia="en-US"/>
              </w:rPr>
            </w:pPr>
            <w:r w:rsidRPr="001D5B9C">
              <w:rPr>
                <w:rFonts w:cs="Calibri"/>
                <w:b/>
                <w:bCs/>
                <w:i/>
                <w:iCs/>
                <w:sz w:val="16"/>
                <w:szCs w:val="16"/>
                <w:lang w:eastAsia="en-US"/>
              </w:rPr>
              <w:t xml:space="preserve">zdůvodnění navrácení: </w:t>
            </w:r>
          </w:p>
          <w:p w14:paraId="6BCF7778" w14:textId="77777777" w:rsidR="005B4528" w:rsidRPr="004A7254" w:rsidRDefault="005B4528">
            <w:pPr>
              <w:pStyle w:val="Odstavecseseznamem"/>
              <w:numPr>
                <w:ilvl w:val="0"/>
                <w:numId w:val="35"/>
              </w:numPr>
              <w:spacing w:before="0" w:after="0" w:line="257" w:lineRule="auto"/>
              <w:ind w:left="218" w:hanging="142"/>
              <w:jc w:val="left"/>
              <w:rPr>
                <w:rFonts w:cs="Calibri"/>
                <w:i/>
                <w:iCs/>
                <w:sz w:val="16"/>
                <w:szCs w:val="16"/>
              </w:rPr>
            </w:pPr>
            <w:r w:rsidRPr="004A7254">
              <w:rPr>
                <w:rFonts w:cs="Calibri"/>
                <w:i/>
                <w:iCs/>
                <w:sz w:val="16"/>
                <w:szCs w:val="16"/>
              </w:rPr>
              <w:t>plocha je dlouhodobě nevyužita</w:t>
            </w:r>
            <w:r>
              <w:rPr>
                <w:rFonts w:cs="Calibri"/>
                <w:i/>
                <w:iCs/>
                <w:sz w:val="16"/>
                <w:szCs w:val="16"/>
              </w:rPr>
              <w:t xml:space="preserve"> (více než 5 let od nabytí účinnosti poslední změny ÚP Hlubočky)</w:t>
            </w:r>
          </w:p>
          <w:p w14:paraId="11272B1C" w14:textId="77777777" w:rsidR="005B4528" w:rsidRDefault="005B4528">
            <w:pPr>
              <w:pStyle w:val="Odstavecseseznamem"/>
              <w:numPr>
                <w:ilvl w:val="0"/>
                <w:numId w:val="35"/>
              </w:numPr>
              <w:spacing w:before="0" w:after="0" w:line="257" w:lineRule="auto"/>
              <w:ind w:left="218" w:hanging="142"/>
              <w:jc w:val="left"/>
              <w:rPr>
                <w:rFonts w:cs="Calibri"/>
                <w:sz w:val="16"/>
                <w:szCs w:val="16"/>
              </w:rPr>
            </w:pPr>
            <w:r>
              <w:rPr>
                <w:rFonts w:cs="Calibri"/>
                <w:i/>
                <w:iCs/>
                <w:sz w:val="16"/>
                <w:szCs w:val="16"/>
              </w:rPr>
              <w:t>plocha není v souladu s urbanistickou koncepcí – ve</w:t>
            </w:r>
            <w:r w:rsidRPr="00167D4F">
              <w:rPr>
                <w:rFonts w:cs="Calibri"/>
                <w:i/>
                <w:iCs/>
                <w:sz w:val="16"/>
                <w:szCs w:val="16"/>
              </w:rPr>
              <w:t xml:space="preserve"> vyšších polohách svahů údolí Bystřice a</w:t>
            </w:r>
            <w:r>
              <w:rPr>
                <w:rFonts w:cs="Calibri"/>
                <w:i/>
                <w:iCs/>
                <w:sz w:val="16"/>
                <w:szCs w:val="16"/>
              </w:rPr>
              <w:t> </w:t>
            </w:r>
            <w:r w:rsidRPr="00167D4F">
              <w:rPr>
                <w:rFonts w:cs="Calibri"/>
                <w:i/>
                <w:iCs/>
                <w:sz w:val="16"/>
                <w:szCs w:val="16"/>
              </w:rPr>
              <w:t>jejích přítoků zástavbu stabilizovat a plošně nerozvíjet</w:t>
            </w:r>
            <w:r>
              <w:rPr>
                <w:rFonts w:cs="Calibri"/>
                <w:i/>
                <w:iCs/>
                <w:sz w:val="16"/>
                <w:szCs w:val="16"/>
              </w:rPr>
              <w:t>.</w:t>
            </w:r>
          </w:p>
        </w:tc>
      </w:tr>
      <w:tr w:rsidR="005B4528" w14:paraId="733396BD" w14:textId="77777777" w:rsidTr="001D5B9C">
        <w:trPr>
          <w:trHeight w:val="225"/>
        </w:trPr>
        <w:tc>
          <w:tcPr>
            <w:tcW w:w="1848" w:type="dxa"/>
            <w:tcBorders>
              <w:top w:val="dashSmallGap" w:sz="4" w:space="0" w:color="auto"/>
              <w:left w:val="nil"/>
              <w:bottom w:val="dashSmallGap" w:sz="4" w:space="0" w:color="auto"/>
              <w:right w:val="nil"/>
            </w:tcBorders>
            <w:noWrap/>
            <w:vAlign w:val="bottom"/>
            <w:hideMark/>
          </w:tcPr>
          <w:p w14:paraId="6C6187F8" w14:textId="77777777" w:rsidR="005B4528" w:rsidRDefault="005B4528" w:rsidP="001D5B9C">
            <w:pPr>
              <w:spacing w:line="257" w:lineRule="auto"/>
              <w:ind w:left="0"/>
              <w:contextualSpacing/>
              <w:jc w:val="left"/>
              <w:rPr>
                <w:rFonts w:cs="Calibri"/>
                <w:b/>
                <w:bCs/>
                <w:sz w:val="16"/>
                <w:szCs w:val="16"/>
                <w:lang w:eastAsia="en-US"/>
              </w:rPr>
            </w:pPr>
            <w:r>
              <w:rPr>
                <w:rFonts w:cs="Calibri"/>
                <w:b/>
                <w:bCs/>
                <w:sz w:val="16"/>
                <w:szCs w:val="16"/>
                <w:lang w:eastAsia="en-US"/>
              </w:rPr>
              <w:t>Celkem</w:t>
            </w:r>
          </w:p>
        </w:tc>
        <w:tc>
          <w:tcPr>
            <w:tcW w:w="1284" w:type="dxa"/>
            <w:tcBorders>
              <w:top w:val="dashSmallGap" w:sz="4" w:space="0" w:color="auto"/>
              <w:left w:val="nil"/>
              <w:bottom w:val="dashSmallGap" w:sz="4" w:space="0" w:color="auto"/>
              <w:right w:val="nil"/>
            </w:tcBorders>
            <w:noWrap/>
            <w:vAlign w:val="bottom"/>
            <w:hideMark/>
          </w:tcPr>
          <w:p w14:paraId="74AA37D7" w14:textId="77777777" w:rsidR="005B4528" w:rsidRDefault="005B4528" w:rsidP="001D5B9C">
            <w:pPr>
              <w:spacing w:line="257" w:lineRule="auto"/>
              <w:contextualSpacing/>
              <w:jc w:val="center"/>
              <w:rPr>
                <w:rFonts w:cs="Calibri"/>
                <w:b/>
                <w:bCs/>
                <w:sz w:val="16"/>
                <w:szCs w:val="16"/>
                <w:lang w:eastAsia="en-US"/>
              </w:rPr>
            </w:pPr>
            <w:r>
              <w:rPr>
                <w:rFonts w:cs="Calibri"/>
                <w:b/>
                <w:bCs/>
                <w:sz w:val="16"/>
                <w:szCs w:val="16"/>
                <w:lang w:eastAsia="en-US"/>
              </w:rPr>
              <w:t> </w:t>
            </w:r>
          </w:p>
        </w:tc>
        <w:tc>
          <w:tcPr>
            <w:tcW w:w="2538" w:type="dxa"/>
            <w:tcBorders>
              <w:top w:val="dashSmallGap" w:sz="4" w:space="0" w:color="auto"/>
              <w:left w:val="nil"/>
              <w:bottom w:val="dashSmallGap" w:sz="4" w:space="0" w:color="auto"/>
              <w:right w:val="nil"/>
            </w:tcBorders>
            <w:noWrap/>
            <w:vAlign w:val="bottom"/>
            <w:hideMark/>
          </w:tcPr>
          <w:p w14:paraId="412D31F6" w14:textId="77777777" w:rsidR="005B4528" w:rsidRDefault="005B4528" w:rsidP="001D5B9C">
            <w:pPr>
              <w:spacing w:line="257" w:lineRule="auto"/>
              <w:contextualSpacing/>
              <w:jc w:val="center"/>
              <w:rPr>
                <w:rFonts w:cs="Calibri"/>
                <w:b/>
                <w:bCs/>
                <w:sz w:val="16"/>
                <w:szCs w:val="16"/>
                <w:lang w:eastAsia="en-US"/>
              </w:rPr>
            </w:pPr>
            <w:r>
              <w:rPr>
                <w:rFonts w:cs="Calibri"/>
                <w:b/>
                <w:bCs/>
                <w:sz w:val="16"/>
                <w:szCs w:val="16"/>
                <w:lang w:eastAsia="en-US"/>
              </w:rPr>
              <w:t>4,676</w:t>
            </w:r>
          </w:p>
        </w:tc>
        <w:tc>
          <w:tcPr>
            <w:tcW w:w="2126" w:type="dxa"/>
            <w:tcBorders>
              <w:top w:val="dashSmallGap" w:sz="4" w:space="0" w:color="auto"/>
              <w:left w:val="nil"/>
              <w:bottom w:val="dashSmallGap" w:sz="4" w:space="0" w:color="auto"/>
              <w:right w:val="nil"/>
            </w:tcBorders>
            <w:noWrap/>
            <w:vAlign w:val="bottom"/>
            <w:hideMark/>
          </w:tcPr>
          <w:p w14:paraId="7DE271C5" w14:textId="77777777" w:rsidR="005B4528" w:rsidRDefault="005B4528" w:rsidP="001D5B9C">
            <w:pPr>
              <w:spacing w:line="257" w:lineRule="auto"/>
              <w:contextualSpacing/>
              <w:jc w:val="center"/>
              <w:rPr>
                <w:rFonts w:cs="Calibri"/>
                <w:sz w:val="16"/>
                <w:szCs w:val="16"/>
                <w:lang w:eastAsia="en-US"/>
              </w:rPr>
            </w:pPr>
            <w:r>
              <w:rPr>
                <w:rFonts w:cs="Calibri"/>
                <w:sz w:val="16"/>
                <w:szCs w:val="16"/>
                <w:lang w:eastAsia="en-US"/>
              </w:rPr>
              <w:t> </w:t>
            </w:r>
          </w:p>
        </w:tc>
      </w:tr>
    </w:tbl>
    <w:p w14:paraId="1D2ABA63" w14:textId="77777777" w:rsidR="005B4528" w:rsidRDefault="005B4528" w:rsidP="005B4528"/>
    <w:p w14:paraId="0B3D26D5" w14:textId="77777777" w:rsidR="005B4528" w:rsidRDefault="005B4528" w:rsidP="005B4528">
      <w:r>
        <w:t>Navrácením dlouhodobě nevyužitých plocha nebo jejich částí do ZPF je vyvážen nový zábor ZPF v souladu s urbanistickou koncepcí rozvoje obce. V tabulce níže je uvedena celková bilance salda nových a navracených záborů ZPF. Z bilance je patrné, že řešení urbanistické koncepce respektuje ochranu ZPF s ohledem na ochranu krajiny a prostředí PP Údolí Bystřice a úpravy urbanistické koncepce jsou vyvažovány s ochranou ZPF.</w:t>
      </w:r>
    </w:p>
    <w:tbl>
      <w:tblPr>
        <w:tblW w:w="7765" w:type="dxa"/>
        <w:tblInd w:w="709" w:type="dxa"/>
        <w:tblLayout w:type="fixed"/>
        <w:tblCellMar>
          <w:left w:w="70" w:type="dxa"/>
          <w:right w:w="70" w:type="dxa"/>
        </w:tblCellMar>
        <w:tblLook w:val="04A0" w:firstRow="1" w:lastRow="0" w:firstColumn="1" w:lastColumn="0" w:noHBand="0" w:noVBand="1"/>
      </w:tblPr>
      <w:tblGrid>
        <w:gridCol w:w="1985"/>
        <w:gridCol w:w="1043"/>
        <w:gridCol w:w="947"/>
        <w:gridCol w:w="947"/>
        <w:gridCol w:w="947"/>
        <w:gridCol w:w="947"/>
        <w:gridCol w:w="949"/>
      </w:tblGrid>
      <w:tr w:rsidR="00EF3CD0" w:rsidRPr="00397493" w14:paraId="55A0F852" w14:textId="77777777" w:rsidTr="00EF3CD0">
        <w:trPr>
          <w:trHeight w:val="210"/>
        </w:trPr>
        <w:tc>
          <w:tcPr>
            <w:tcW w:w="7765" w:type="dxa"/>
            <w:gridSpan w:val="7"/>
            <w:tcBorders>
              <w:top w:val="nil"/>
              <w:left w:val="nil"/>
              <w:bottom w:val="nil"/>
              <w:right w:val="nil"/>
            </w:tcBorders>
            <w:noWrap/>
            <w:vAlign w:val="bottom"/>
            <w:hideMark/>
          </w:tcPr>
          <w:p w14:paraId="17A2A502" w14:textId="692BCF9D" w:rsidR="00EF3CD0" w:rsidRPr="00397493" w:rsidRDefault="00EF3CD0" w:rsidP="00EF3CD0">
            <w:pPr>
              <w:ind w:left="0"/>
              <w:contextualSpacing/>
              <w:jc w:val="left"/>
              <w:rPr>
                <w:rFonts w:ascii="Times New Roman" w:hAnsi="Times New Roman"/>
                <w:sz w:val="20"/>
                <w:szCs w:val="20"/>
              </w:rPr>
            </w:pPr>
            <w:r w:rsidRPr="00397493">
              <w:rPr>
                <w:rFonts w:cs="Calibri"/>
                <w:b/>
                <w:bCs/>
                <w:sz w:val="16"/>
                <w:szCs w:val="16"/>
              </w:rPr>
              <w:t>Saldo záborů ZPF zastavitelnými plochami</w:t>
            </w:r>
          </w:p>
        </w:tc>
      </w:tr>
      <w:tr w:rsidR="005B4528" w:rsidRPr="00397493" w14:paraId="57C84642" w14:textId="77777777" w:rsidTr="00EF3CD0">
        <w:trPr>
          <w:trHeight w:val="210"/>
        </w:trPr>
        <w:tc>
          <w:tcPr>
            <w:tcW w:w="1985" w:type="dxa"/>
            <w:vMerge w:val="restart"/>
            <w:tcBorders>
              <w:top w:val="dashed" w:sz="4" w:space="0" w:color="auto"/>
              <w:left w:val="nil"/>
              <w:right w:val="nil"/>
            </w:tcBorders>
            <w:hideMark/>
          </w:tcPr>
          <w:p w14:paraId="1B633D47" w14:textId="77777777" w:rsidR="005B4528" w:rsidRPr="00397493" w:rsidRDefault="005B4528" w:rsidP="00EF3CD0">
            <w:pPr>
              <w:ind w:left="0"/>
              <w:contextualSpacing/>
              <w:jc w:val="left"/>
              <w:rPr>
                <w:rFonts w:cs="Calibri"/>
                <w:b/>
                <w:bCs/>
                <w:sz w:val="16"/>
                <w:szCs w:val="16"/>
              </w:rPr>
            </w:pPr>
            <w:r w:rsidRPr="00397493">
              <w:rPr>
                <w:rFonts w:cs="Calibri"/>
                <w:b/>
                <w:bCs/>
                <w:sz w:val="16"/>
                <w:szCs w:val="16"/>
              </w:rPr>
              <w:t> </w:t>
            </w:r>
          </w:p>
          <w:p w14:paraId="49329E51" w14:textId="77777777" w:rsidR="005B4528" w:rsidRPr="00397493" w:rsidRDefault="005B4528" w:rsidP="00EF3CD0">
            <w:pPr>
              <w:contextualSpacing/>
              <w:jc w:val="left"/>
              <w:rPr>
                <w:rFonts w:cs="Calibri"/>
                <w:b/>
                <w:bCs/>
                <w:sz w:val="16"/>
                <w:szCs w:val="16"/>
              </w:rPr>
            </w:pPr>
            <w:r w:rsidRPr="00397493">
              <w:rPr>
                <w:rFonts w:cs="Calibri"/>
                <w:b/>
                <w:bCs/>
                <w:sz w:val="16"/>
                <w:szCs w:val="16"/>
              </w:rPr>
              <w:t> </w:t>
            </w:r>
          </w:p>
        </w:tc>
        <w:tc>
          <w:tcPr>
            <w:tcW w:w="1043" w:type="dxa"/>
            <w:vMerge w:val="restart"/>
            <w:tcBorders>
              <w:top w:val="dashed" w:sz="4" w:space="0" w:color="auto"/>
              <w:left w:val="nil"/>
              <w:bottom w:val="dashed" w:sz="4" w:space="0" w:color="auto"/>
              <w:right w:val="nil"/>
            </w:tcBorders>
            <w:hideMark/>
          </w:tcPr>
          <w:p w14:paraId="35F054E1" w14:textId="77777777" w:rsidR="005B4528" w:rsidRPr="00397493" w:rsidRDefault="005B4528" w:rsidP="00EF3CD0">
            <w:pPr>
              <w:ind w:left="0"/>
              <w:contextualSpacing/>
              <w:jc w:val="left"/>
              <w:rPr>
                <w:rFonts w:cs="Calibri"/>
                <w:b/>
                <w:bCs/>
                <w:sz w:val="16"/>
                <w:szCs w:val="16"/>
              </w:rPr>
            </w:pPr>
            <w:r w:rsidRPr="00397493">
              <w:rPr>
                <w:rFonts w:cs="Calibri"/>
                <w:b/>
                <w:bCs/>
                <w:sz w:val="16"/>
                <w:szCs w:val="16"/>
              </w:rPr>
              <w:t>Souhrn výměry záboru (ha)</w:t>
            </w:r>
          </w:p>
        </w:tc>
        <w:tc>
          <w:tcPr>
            <w:tcW w:w="4737" w:type="dxa"/>
            <w:gridSpan w:val="5"/>
            <w:tcBorders>
              <w:top w:val="dashed" w:sz="4" w:space="0" w:color="auto"/>
              <w:left w:val="nil"/>
              <w:bottom w:val="dashed" w:sz="4" w:space="0" w:color="auto"/>
              <w:right w:val="nil"/>
            </w:tcBorders>
            <w:vAlign w:val="bottom"/>
            <w:hideMark/>
          </w:tcPr>
          <w:p w14:paraId="5FF51234" w14:textId="77777777" w:rsidR="005B4528" w:rsidRPr="00397493" w:rsidRDefault="005B4528" w:rsidP="00EF3CD0">
            <w:pPr>
              <w:contextualSpacing/>
              <w:jc w:val="left"/>
              <w:rPr>
                <w:rFonts w:cs="Calibri"/>
                <w:b/>
                <w:bCs/>
                <w:sz w:val="16"/>
                <w:szCs w:val="16"/>
              </w:rPr>
            </w:pPr>
            <w:r w:rsidRPr="00397493">
              <w:rPr>
                <w:rFonts w:cs="Calibri"/>
                <w:b/>
                <w:bCs/>
                <w:sz w:val="16"/>
                <w:szCs w:val="16"/>
              </w:rPr>
              <w:t>Výměra záboru podle třídy ochrany</w:t>
            </w:r>
          </w:p>
        </w:tc>
      </w:tr>
      <w:tr w:rsidR="005B4528" w:rsidRPr="00397493" w14:paraId="5052CC8C" w14:textId="77777777" w:rsidTr="00EF3CD0">
        <w:trPr>
          <w:trHeight w:val="480"/>
        </w:trPr>
        <w:tc>
          <w:tcPr>
            <w:tcW w:w="1985" w:type="dxa"/>
            <w:vMerge/>
            <w:tcBorders>
              <w:left w:val="nil"/>
              <w:bottom w:val="dashed" w:sz="4" w:space="0" w:color="auto"/>
              <w:right w:val="nil"/>
            </w:tcBorders>
            <w:vAlign w:val="center"/>
            <w:hideMark/>
          </w:tcPr>
          <w:p w14:paraId="393C24FF" w14:textId="77777777" w:rsidR="005B4528" w:rsidRPr="00397493" w:rsidRDefault="005B4528" w:rsidP="00EF3CD0">
            <w:pPr>
              <w:contextualSpacing/>
              <w:jc w:val="left"/>
              <w:rPr>
                <w:rFonts w:cs="Calibri"/>
                <w:b/>
                <w:bCs/>
                <w:sz w:val="16"/>
                <w:szCs w:val="16"/>
              </w:rPr>
            </w:pPr>
          </w:p>
        </w:tc>
        <w:tc>
          <w:tcPr>
            <w:tcW w:w="1043" w:type="dxa"/>
            <w:vMerge/>
            <w:tcBorders>
              <w:top w:val="dashed" w:sz="4" w:space="0" w:color="auto"/>
              <w:left w:val="nil"/>
              <w:bottom w:val="dashed" w:sz="4" w:space="0" w:color="auto"/>
              <w:right w:val="nil"/>
            </w:tcBorders>
            <w:vAlign w:val="center"/>
            <w:hideMark/>
          </w:tcPr>
          <w:p w14:paraId="53642E5E" w14:textId="77777777" w:rsidR="005B4528" w:rsidRPr="00397493" w:rsidRDefault="005B4528" w:rsidP="00EF3CD0">
            <w:pPr>
              <w:contextualSpacing/>
              <w:jc w:val="left"/>
              <w:rPr>
                <w:rFonts w:cs="Calibri"/>
                <w:b/>
                <w:bCs/>
                <w:sz w:val="16"/>
                <w:szCs w:val="16"/>
              </w:rPr>
            </w:pPr>
          </w:p>
        </w:tc>
        <w:tc>
          <w:tcPr>
            <w:tcW w:w="947" w:type="dxa"/>
            <w:tcBorders>
              <w:top w:val="nil"/>
              <w:left w:val="nil"/>
              <w:bottom w:val="dashed" w:sz="4" w:space="0" w:color="auto"/>
              <w:right w:val="nil"/>
            </w:tcBorders>
            <w:vAlign w:val="center"/>
            <w:hideMark/>
          </w:tcPr>
          <w:p w14:paraId="45539CEC" w14:textId="77777777" w:rsidR="005B4528" w:rsidRPr="00397493" w:rsidRDefault="005B4528" w:rsidP="00EF3CD0">
            <w:pPr>
              <w:ind w:left="0"/>
              <w:contextualSpacing/>
              <w:jc w:val="left"/>
              <w:rPr>
                <w:rFonts w:cs="Calibri"/>
                <w:b/>
                <w:bCs/>
                <w:sz w:val="16"/>
                <w:szCs w:val="16"/>
              </w:rPr>
            </w:pPr>
            <w:r w:rsidRPr="00397493">
              <w:rPr>
                <w:rFonts w:cs="Calibri"/>
                <w:b/>
                <w:bCs/>
                <w:sz w:val="16"/>
                <w:szCs w:val="16"/>
              </w:rPr>
              <w:t>I.</w:t>
            </w:r>
          </w:p>
        </w:tc>
        <w:tc>
          <w:tcPr>
            <w:tcW w:w="947" w:type="dxa"/>
            <w:tcBorders>
              <w:top w:val="nil"/>
              <w:left w:val="nil"/>
              <w:bottom w:val="dashed" w:sz="4" w:space="0" w:color="auto"/>
              <w:right w:val="nil"/>
            </w:tcBorders>
            <w:vAlign w:val="center"/>
            <w:hideMark/>
          </w:tcPr>
          <w:p w14:paraId="33B7DC3B" w14:textId="77777777" w:rsidR="005B4528" w:rsidRPr="00397493" w:rsidRDefault="005B4528" w:rsidP="00EF3CD0">
            <w:pPr>
              <w:ind w:left="0"/>
              <w:contextualSpacing/>
              <w:jc w:val="left"/>
              <w:rPr>
                <w:rFonts w:cs="Calibri"/>
                <w:b/>
                <w:bCs/>
                <w:sz w:val="16"/>
                <w:szCs w:val="16"/>
              </w:rPr>
            </w:pPr>
            <w:r w:rsidRPr="00397493">
              <w:rPr>
                <w:rFonts w:cs="Calibri"/>
                <w:b/>
                <w:bCs/>
                <w:sz w:val="16"/>
                <w:szCs w:val="16"/>
              </w:rPr>
              <w:t>II.</w:t>
            </w:r>
          </w:p>
        </w:tc>
        <w:tc>
          <w:tcPr>
            <w:tcW w:w="947" w:type="dxa"/>
            <w:tcBorders>
              <w:top w:val="nil"/>
              <w:left w:val="nil"/>
              <w:bottom w:val="dashed" w:sz="4" w:space="0" w:color="auto"/>
              <w:right w:val="nil"/>
            </w:tcBorders>
            <w:vAlign w:val="center"/>
            <w:hideMark/>
          </w:tcPr>
          <w:p w14:paraId="2F889CC0" w14:textId="77777777" w:rsidR="005B4528" w:rsidRPr="00397493" w:rsidRDefault="005B4528" w:rsidP="00EF3CD0">
            <w:pPr>
              <w:ind w:left="0"/>
              <w:contextualSpacing/>
              <w:jc w:val="left"/>
              <w:rPr>
                <w:rFonts w:cs="Calibri"/>
                <w:b/>
                <w:bCs/>
                <w:sz w:val="16"/>
                <w:szCs w:val="16"/>
              </w:rPr>
            </w:pPr>
            <w:r w:rsidRPr="00397493">
              <w:rPr>
                <w:rFonts w:cs="Calibri"/>
                <w:b/>
                <w:bCs/>
                <w:sz w:val="16"/>
                <w:szCs w:val="16"/>
              </w:rPr>
              <w:t>III.</w:t>
            </w:r>
          </w:p>
        </w:tc>
        <w:tc>
          <w:tcPr>
            <w:tcW w:w="947" w:type="dxa"/>
            <w:tcBorders>
              <w:top w:val="nil"/>
              <w:left w:val="nil"/>
              <w:bottom w:val="dashed" w:sz="4" w:space="0" w:color="auto"/>
              <w:right w:val="nil"/>
            </w:tcBorders>
            <w:vAlign w:val="center"/>
            <w:hideMark/>
          </w:tcPr>
          <w:p w14:paraId="26F23902" w14:textId="77777777" w:rsidR="005B4528" w:rsidRPr="00397493" w:rsidRDefault="005B4528" w:rsidP="00EF3CD0">
            <w:pPr>
              <w:ind w:left="0"/>
              <w:contextualSpacing/>
              <w:jc w:val="left"/>
              <w:rPr>
                <w:rFonts w:cs="Calibri"/>
                <w:b/>
                <w:bCs/>
                <w:sz w:val="16"/>
                <w:szCs w:val="16"/>
              </w:rPr>
            </w:pPr>
            <w:r w:rsidRPr="00397493">
              <w:rPr>
                <w:rFonts w:cs="Calibri"/>
                <w:b/>
                <w:bCs/>
                <w:sz w:val="16"/>
                <w:szCs w:val="16"/>
              </w:rPr>
              <w:t>IV.</w:t>
            </w:r>
          </w:p>
        </w:tc>
        <w:tc>
          <w:tcPr>
            <w:tcW w:w="949" w:type="dxa"/>
            <w:tcBorders>
              <w:top w:val="nil"/>
              <w:left w:val="nil"/>
              <w:bottom w:val="dashed" w:sz="4" w:space="0" w:color="auto"/>
              <w:right w:val="nil"/>
            </w:tcBorders>
            <w:vAlign w:val="center"/>
            <w:hideMark/>
          </w:tcPr>
          <w:p w14:paraId="3581D19A" w14:textId="77777777" w:rsidR="005B4528" w:rsidRPr="00397493" w:rsidRDefault="005B4528" w:rsidP="00EF3CD0">
            <w:pPr>
              <w:ind w:left="0"/>
              <w:contextualSpacing/>
              <w:jc w:val="left"/>
              <w:rPr>
                <w:rFonts w:cs="Calibri"/>
                <w:b/>
                <w:bCs/>
                <w:sz w:val="16"/>
                <w:szCs w:val="16"/>
              </w:rPr>
            </w:pPr>
            <w:r w:rsidRPr="00397493">
              <w:rPr>
                <w:rFonts w:cs="Calibri"/>
                <w:b/>
                <w:bCs/>
                <w:sz w:val="16"/>
                <w:szCs w:val="16"/>
              </w:rPr>
              <w:t>V.</w:t>
            </w:r>
          </w:p>
        </w:tc>
      </w:tr>
      <w:tr w:rsidR="005B4528" w:rsidRPr="00397493" w14:paraId="2FFAB773" w14:textId="77777777" w:rsidTr="00EF3CD0">
        <w:trPr>
          <w:trHeight w:val="210"/>
        </w:trPr>
        <w:tc>
          <w:tcPr>
            <w:tcW w:w="1985" w:type="dxa"/>
            <w:tcBorders>
              <w:top w:val="nil"/>
              <w:left w:val="nil"/>
              <w:bottom w:val="nil"/>
              <w:right w:val="nil"/>
            </w:tcBorders>
            <w:noWrap/>
            <w:vAlign w:val="bottom"/>
            <w:hideMark/>
          </w:tcPr>
          <w:p w14:paraId="137DFB44" w14:textId="77777777" w:rsidR="005B4528" w:rsidRPr="00397493" w:rsidRDefault="005B4528" w:rsidP="00EF3CD0">
            <w:pPr>
              <w:ind w:left="0"/>
              <w:contextualSpacing/>
              <w:jc w:val="left"/>
              <w:rPr>
                <w:rFonts w:cs="Calibri"/>
                <w:sz w:val="16"/>
                <w:szCs w:val="16"/>
              </w:rPr>
            </w:pPr>
            <w:r w:rsidRPr="00397493">
              <w:rPr>
                <w:rFonts w:cs="Calibri"/>
                <w:sz w:val="16"/>
                <w:szCs w:val="16"/>
              </w:rPr>
              <w:t>Zastavitelné plochy navracené do ZPF</w:t>
            </w:r>
          </w:p>
        </w:tc>
        <w:tc>
          <w:tcPr>
            <w:tcW w:w="1043" w:type="dxa"/>
            <w:tcBorders>
              <w:top w:val="nil"/>
              <w:left w:val="nil"/>
              <w:bottom w:val="nil"/>
              <w:right w:val="nil"/>
            </w:tcBorders>
            <w:noWrap/>
            <w:vAlign w:val="bottom"/>
            <w:hideMark/>
          </w:tcPr>
          <w:p w14:paraId="631D2276" w14:textId="77777777" w:rsidR="005B4528" w:rsidRPr="00397493" w:rsidRDefault="005B4528" w:rsidP="00EF3CD0">
            <w:pPr>
              <w:ind w:left="0"/>
              <w:contextualSpacing/>
              <w:rPr>
                <w:rFonts w:cs="Calibri"/>
                <w:b/>
                <w:bCs/>
                <w:sz w:val="16"/>
                <w:szCs w:val="16"/>
              </w:rPr>
            </w:pPr>
            <w:r w:rsidRPr="00397493">
              <w:rPr>
                <w:rFonts w:cs="Calibri"/>
                <w:b/>
                <w:bCs/>
                <w:sz w:val="16"/>
                <w:szCs w:val="16"/>
              </w:rPr>
              <w:t>4,676</w:t>
            </w:r>
          </w:p>
        </w:tc>
        <w:tc>
          <w:tcPr>
            <w:tcW w:w="947" w:type="dxa"/>
            <w:tcBorders>
              <w:top w:val="nil"/>
              <w:left w:val="nil"/>
              <w:bottom w:val="nil"/>
              <w:right w:val="nil"/>
            </w:tcBorders>
            <w:noWrap/>
            <w:vAlign w:val="bottom"/>
            <w:hideMark/>
          </w:tcPr>
          <w:p w14:paraId="6FC002FF" w14:textId="77777777" w:rsidR="005B4528" w:rsidRPr="00397493" w:rsidRDefault="005B4528" w:rsidP="00EF3CD0">
            <w:pPr>
              <w:ind w:left="0"/>
              <w:contextualSpacing/>
              <w:rPr>
                <w:rFonts w:cs="Calibri"/>
                <w:b/>
                <w:bCs/>
                <w:sz w:val="16"/>
                <w:szCs w:val="16"/>
              </w:rPr>
            </w:pPr>
            <w:r w:rsidRPr="00397493">
              <w:rPr>
                <w:rFonts w:cs="Calibri"/>
                <w:b/>
                <w:bCs/>
                <w:sz w:val="16"/>
                <w:szCs w:val="16"/>
              </w:rPr>
              <w:t>0,000</w:t>
            </w:r>
          </w:p>
        </w:tc>
        <w:tc>
          <w:tcPr>
            <w:tcW w:w="947" w:type="dxa"/>
            <w:tcBorders>
              <w:top w:val="nil"/>
              <w:left w:val="nil"/>
              <w:bottom w:val="nil"/>
              <w:right w:val="nil"/>
            </w:tcBorders>
            <w:noWrap/>
            <w:vAlign w:val="bottom"/>
            <w:hideMark/>
          </w:tcPr>
          <w:p w14:paraId="343FF3B0" w14:textId="77777777" w:rsidR="005B4528" w:rsidRPr="00397493" w:rsidRDefault="005B4528" w:rsidP="00EF3CD0">
            <w:pPr>
              <w:ind w:left="0"/>
              <w:contextualSpacing/>
              <w:rPr>
                <w:rFonts w:cs="Calibri"/>
                <w:b/>
                <w:bCs/>
                <w:sz w:val="16"/>
                <w:szCs w:val="16"/>
              </w:rPr>
            </w:pPr>
            <w:r w:rsidRPr="00397493">
              <w:rPr>
                <w:rFonts w:cs="Calibri"/>
                <w:b/>
                <w:bCs/>
                <w:sz w:val="16"/>
                <w:szCs w:val="16"/>
              </w:rPr>
              <w:t>2,423</w:t>
            </w:r>
          </w:p>
        </w:tc>
        <w:tc>
          <w:tcPr>
            <w:tcW w:w="947" w:type="dxa"/>
            <w:tcBorders>
              <w:top w:val="nil"/>
              <w:left w:val="nil"/>
              <w:bottom w:val="nil"/>
              <w:right w:val="nil"/>
            </w:tcBorders>
            <w:noWrap/>
            <w:vAlign w:val="bottom"/>
            <w:hideMark/>
          </w:tcPr>
          <w:p w14:paraId="147474F1" w14:textId="77777777" w:rsidR="005B4528" w:rsidRPr="00397493" w:rsidRDefault="005B4528" w:rsidP="00EF3CD0">
            <w:pPr>
              <w:ind w:left="0"/>
              <w:contextualSpacing/>
              <w:rPr>
                <w:rFonts w:cs="Calibri"/>
                <w:b/>
                <w:bCs/>
                <w:sz w:val="16"/>
                <w:szCs w:val="16"/>
              </w:rPr>
            </w:pPr>
            <w:r w:rsidRPr="00397493">
              <w:rPr>
                <w:rFonts w:cs="Calibri"/>
                <w:b/>
                <w:bCs/>
                <w:sz w:val="16"/>
                <w:szCs w:val="16"/>
              </w:rPr>
              <w:t>0,614</w:t>
            </w:r>
          </w:p>
        </w:tc>
        <w:tc>
          <w:tcPr>
            <w:tcW w:w="947" w:type="dxa"/>
            <w:tcBorders>
              <w:top w:val="nil"/>
              <w:left w:val="nil"/>
              <w:bottom w:val="nil"/>
              <w:right w:val="nil"/>
            </w:tcBorders>
            <w:noWrap/>
            <w:vAlign w:val="bottom"/>
            <w:hideMark/>
          </w:tcPr>
          <w:p w14:paraId="52B6F866" w14:textId="77777777" w:rsidR="005B4528" w:rsidRPr="00397493" w:rsidRDefault="005B4528" w:rsidP="00EF3CD0">
            <w:pPr>
              <w:ind w:left="0"/>
              <w:contextualSpacing/>
              <w:rPr>
                <w:rFonts w:cs="Calibri"/>
                <w:b/>
                <w:bCs/>
                <w:sz w:val="16"/>
                <w:szCs w:val="16"/>
              </w:rPr>
            </w:pPr>
            <w:r w:rsidRPr="00397493">
              <w:rPr>
                <w:rFonts w:cs="Calibri"/>
                <w:b/>
                <w:bCs/>
                <w:sz w:val="16"/>
                <w:szCs w:val="16"/>
              </w:rPr>
              <w:t>0,000</w:t>
            </w:r>
          </w:p>
        </w:tc>
        <w:tc>
          <w:tcPr>
            <w:tcW w:w="949" w:type="dxa"/>
            <w:tcBorders>
              <w:top w:val="nil"/>
              <w:left w:val="nil"/>
              <w:bottom w:val="nil"/>
              <w:right w:val="nil"/>
            </w:tcBorders>
            <w:noWrap/>
            <w:vAlign w:val="bottom"/>
            <w:hideMark/>
          </w:tcPr>
          <w:p w14:paraId="50643965" w14:textId="77777777" w:rsidR="005B4528" w:rsidRPr="00397493" w:rsidRDefault="005B4528" w:rsidP="00EF3CD0">
            <w:pPr>
              <w:ind w:left="0"/>
              <w:contextualSpacing/>
              <w:rPr>
                <w:rFonts w:cs="Calibri"/>
                <w:b/>
                <w:bCs/>
                <w:sz w:val="16"/>
                <w:szCs w:val="16"/>
              </w:rPr>
            </w:pPr>
            <w:r w:rsidRPr="00B309AB">
              <w:rPr>
                <w:rFonts w:cs="Calibri"/>
                <w:b/>
                <w:bCs/>
                <w:sz w:val="16"/>
                <w:szCs w:val="16"/>
              </w:rPr>
              <w:t>0,597</w:t>
            </w:r>
          </w:p>
        </w:tc>
      </w:tr>
      <w:tr w:rsidR="005B4528" w:rsidRPr="00397493" w14:paraId="557214FC" w14:textId="77777777" w:rsidTr="00EF3CD0">
        <w:trPr>
          <w:trHeight w:val="210"/>
        </w:trPr>
        <w:tc>
          <w:tcPr>
            <w:tcW w:w="1985" w:type="dxa"/>
            <w:tcBorders>
              <w:top w:val="nil"/>
              <w:left w:val="nil"/>
              <w:bottom w:val="nil"/>
              <w:right w:val="nil"/>
            </w:tcBorders>
            <w:noWrap/>
            <w:vAlign w:val="bottom"/>
            <w:hideMark/>
          </w:tcPr>
          <w:p w14:paraId="405C95DD" w14:textId="77777777" w:rsidR="005B4528" w:rsidRPr="00397493" w:rsidRDefault="005B4528" w:rsidP="00EF3CD0">
            <w:pPr>
              <w:ind w:left="0"/>
              <w:contextualSpacing/>
              <w:jc w:val="left"/>
              <w:rPr>
                <w:rFonts w:cs="Calibri"/>
                <w:sz w:val="16"/>
                <w:szCs w:val="16"/>
              </w:rPr>
            </w:pPr>
            <w:r w:rsidRPr="00397493">
              <w:rPr>
                <w:rFonts w:cs="Calibri"/>
                <w:sz w:val="16"/>
                <w:szCs w:val="16"/>
              </w:rPr>
              <w:t>Nové zábory ZPF zastavitelných ploch</w:t>
            </w:r>
          </w:p>
        </w:tc>
        <w:tc>
          <w:tcPr>
            <w:tcW w:w="1043" w:type="dxa"/>
            <w:tcBorders>
              <w:top w:val="nil"/>
              <w:left w:val="nil"/>
              <w:bottom w:val="nil"/>
              <w:right w:val="nil"/>
            </w:tcBorders>
            <w:noWrap/>
            <w:vAlign w:val="bottom"/>
            <w:hideMark/>
          </w:tcPr>
          <w:p w14:paraId="3AEE0605" w14:textId="77777777" w:rsidR="005B4528" w:rsidRPr="00397493" w:rsidRDefault="005B4528" w:rsidP="00EF3CD0">
            <w:pPr>
              <w:ind w:left="0"/>
              <w:contextualSpacing/>
              <w:rPr>
                <w:rFonts w:cs="Calibri"/>
                <w:b/>
                <w:bCs/>
                <w:sz w:val="16"/>
                <w:szCs w:val="16"/>
              </w:rPr>
            </w:pPr>
            <w:r w:rsidRPr="00397493">
              <w:rPr>
                <w:rFonts w:cs="Calibri"/>
                <w:b/>
                <w:bCs/>
                <w:sz w:val="16"/>
                <w:szCs w:val="16"/>
              </w:rPr>
              <w:t>0,937</w:t>
            </w:r>
          </w:p>
        </w:tc>
        <w:tc>
          <w:tcPr>
            <w:tcW w:w="947" w:type="dxa"/>
            <w:tcBorders>
              <w:top w:val="nil"/>
              <w:left w:val="nil"/>
              <w:bottom w:val="nil"/>
              <w:right w:val="nil"/>
            </w:tcBorders>
            <w:noWrap/>
            <w:vAlign w:val="bottom"/>
            <w:hideMark/>
          </w:tcPr>
          <w:p w14:paraId="5869B346" w14:textId="77777777" w:rsidR="005B4528" w:rsidRPr="00397493" w:rsidRDefault="005B4528" w:rsidP="00EF3CD0">
            <w:pPr>
              <w:ind w:left="0"/>
              <w:contextualSpacing/>
              <w:rPr>
                <w:rFonts w:cs="Calibri"/>
                <w:b/>
                <w:bCs/>
                <w:sz w:val="16"/>
                <w:szCs w:val="16"/>
              </w:rPr>
            </w:pPr>
            <w:r w:rsidRPr="00397493">
              <w:rPr>
                <w:rFonts w:cs="Calibri"/>
                <w:b/>
                <w:bCs/>
                <w:sz w:val="16"/>
                <w:szCs w:val="16"/>
              </w:rPr>
              <w:t>0,000</w:t>
            </w:r>
          </w:p>
        </w:tc>
        <w:tc>
          <w:tcPr>
            <w:tcW w:w="947" w:type="dxa"/>
            <w:tcBorders>
              <w:top w:val="nil"/>
              <w:left w:val="nil"/>
              <w:bottom w:val="nil"/>
              <w:right w:val="nil"/>
            </w:tcBorders>
            <w:noWrap/>
            <w:vAlign w:val="bottom"/>
            <w:hideMark/>
          </w:tcPr>
          <w:p w14:paraId="6A0F6CE1" w14:textId="77777777" w:rsidR="005B4528" w:rsidRPr="00397493" w:rsidRDefault="005B4528" w:rsidP="00EF3CD0">
            <w:pPr>
              <w:ind w:left="0"/>
              <w:contextualSpacing/>
              <w:rPr>
                <w:rFonts w:cs="Calibri"/>
                <w:b/>
                <w:bCs/>
                <w:sz w:val="16"/>
                <w:szCs w:val="16"/>
              </w:rPr>
            </w:pPr>
            <w:r w:rsidRPr="00397493">
              <w:rPr>
                <w:rFonts w:cs="Calibri"/>
                <w:b/>
                <w:bCs/>
                <w:sz w:val="16"/>
                <w:szCs w:val="16"/>
              </w:rPr>
              <w:t>0,267</w:t>
            </w:r>
          </w:p>
        </w:tc>
        <w:tc>
          <w:tcPr>
            <w:tcW w:w="947" w:type="dxa"/>
            <w:tcBorders>
              <w:top w:val="nil"/>
              <w:left w:val="nil"/>
              <w:bottom w:val="nil"/>
              <w:right w:val="nil"/>
            </w:tcBorders>
            <w:noWrap/>
            <w:vAlign w:val="bottom"/>
            <w:hideMark/>
          </w:tcPr>
          <w:p w14:paraId="6CD0D584" w14:textId="77777777" w:rsidR="005B4528" w:rsidRPr="00397493" w:rsidRDefault="005B4528" w:rsidP="00EF3CD0">
            <w:pPr>
              <w:ind w:left="0"/>
              <w:contextualSpacing/>
              <w:rPr>
                <w:rFonts w:cs="Calibri"/>
                <w:b/>
                <w:bCs/>
                <w:sz w:val="16"/>
                <w:szCs w:val="16"/>
              </w:rPr>
            </w:pPr>
            <w:r w:rsidRPr="00397493">
              <w:rPr>
                <w:rFonts w:cs="Calibri"/>
                <w:b/>
                <w:bCs/>
                <w:sz w:val="16"/>
                <w:szCs w:val="16"/>
              </w:rPr>
              <w:t>0,000</w:t>
            </w:r>
          </w:p>
        </w:tc>
        <w:tc>
          <w:tcPr>
            <w:tcW w:w="947" w:type="dxa"/>
            <w:tcBorders>
              <w:top w:val="nil"/>
              <w:left w:val="nil"/>
              <w:bottom w:val="nil"/>
              <w:right w:val="nil"/>
            </w:tcBorders>
            <w:noWrap/>
            <w:vAlign w:val="bottom"/>
            <w:hideMark/>
          </w:tcPr>
          <w:p w14:paraId="229C2ABB" w14:textId="77777777" w:rsidR="005B4528" w:rsidRPr="00397493" w:rsidRDefault="005B4528" w:rsidP="00EF3CD0">
            <w:pPr>
              <w:ind w:left="0"/>
              <w:contextualSpacing/>
              <w:rPr>
                <w:rFonts w:cs="Calibri"/>
                <w:b/>
                <w:bCs/>
                <w:sz w:val="16"/>
                <w:szCs w:val="16"/>
              </w:rPr>
            </w:pPr>
            <w:r w:rsidRPr="00397493">
              <w:rPr>
                <w:rFonts w:cs="Calibri"/>
                <w:b/>
                <w:bCs/>
                <w:sz w:val="16"/>
                <w:szCs w:val="16"/>
              </w:rPr>
              <w:t>0,000</w:t>
            </w:r>
          </w:p>
        </w:tc>
        <w:tc>
          <w:tcPr>
            <w:tcW w:w="949" w:type="dxa"/>
            <w:tcBorders>
              <w:top w:val="nil"/>
              <w:left w:val="nil"/>
              <w:bottom w:val="nil"/>
              <w:right w:val="nil"/>
            </w:tcBorders>
            <w:noWrap/>
            <w:vAlign w:val="bottom"/>
            <w:hideMark/>
          </w:tcPr>
          <w:p w14:paraId="5C20127C" w14:textId="77777777" w:rsidR="005B4528" w:rsidRPr="00397493" w:rsidRDefault="005B4528" w:rsidP="00EF3CD0">
            <w:pPr>
              <w:ind w:left="0"/>
              <w:contextualSpacing/>
              <w:rPr>
                <w:rFonts w:cs="Calibri"/>
                <w:b/>
                <w:bCs/>
                <w:sz w:val="16"/>
                <w:szCs w:val="16"/>
              </w:rPr>
            </w:pPr>
            <w:r w:rsidRPr="00B309AB">
              <w:rPr>
                <w:rFonts w:cs="Calibri"/>
                <w:b/>
                <w:bCs/>
                <w:sz w:val="16"/>
                <w:szCs w:val="16"/>
              </w:rPr>
              <w:t>0,670</w:t>
            </w:r>
          </w:p>
        </w:tc>
      </w:tr>
      <w:tr w:rsidR="005B4528" w:rsidRPr="00397493" w14:paraId="08B77160" w14:textId="77777777" w:rsidTr="00EF3CD0">
        <w:trPr>
          <w:trHeight w:val="210"/>
        </w:trPr>
        <w:tc>
          <w:tcPr>
            <w:tcW w:w="1985" w:type="dxa"/>
            <w:tcBorders>
              <w:top w:val="dashed" w:sz="4" w:space="0" w:color="auto"/>
              <w:left w:val="nil"/>
              <w:bottom w:val="dashed" w:sz="4" w:space="0" w:color="auto"/>
              <w:right w:val="nil"/>
            </w:tcBorders>
            <w:vAlign w:val="center"/>
            <w:hideMark/>
          </w:tcPr>
          <w:p w14:paraId="149BDDA4" w14:textId="77777777" w:rsidR="005B4528" w:rsidRPr="00397493" w:rsidRDefault="005B4528" w:rsidP="00EF3CD0">
            <w:pPr>
              <w:ind w:left="0"/>
              <w:contextualSpacing/>
              <w:jc w:val="left"/>
              <w:rPr>
                <w:rFonts w:cs="Calibri"/>
                <w:b/>
                <w:bCs/>
                <w:i/>
                <w:iCs/>
                <w:sz w:val="16"/>
                <w:szCs w:val="16"/>
              </w:rPr>
            </w:pPr>
            <w:r w:rsidRPr="00397493">
              <w:rPr>
                <w:rFonts w:cs="Calibri"/>
                <w:b/>
                <w:bCs/>
                <w:i/>
                <w:iCs/>
                <w:sz w:val="16"/>
                <w:szCs w:val="16"/>
              </w:rPr>
              <w:t>Saldo záborů ZPF zastavitelnými plochami celkem</w:t>
            </w:r>
          </w:p>
        </w:tc>
        <w:tc>
          <w:tcPr>
            <w:tcW w:w="1043" w:type="dxa"/>
            <w:tcBorders>
              <w:top w:val="dashed" w:sz="4" w:space="0" w:color="auto"/>
              <w:left w:val="nil"/>
              <w:bottom w:val="dashed" w:sz="4" w:space="0" w:color="auto"/>
              <w:right w:val="nil"/>
            </w:tcBorders>
            <w:vAlign w:val="center"/>
            <w:hideMark/>
          </w:tcPr>
          <w:p w14:paraId="3A92AB1B" w14:textId="21F7E22C" w:rsidR="005B4528" w:rsidRPr="00397493" w:rsidRDefault="001A6579" w:rsidP="00EF3CD0">
            <w:pPr>
              <w:ind w:left="0"/>
              <w:contextualSpacing/>
              <w:rPr>
                <w:rFonts w:cs="Calibri"/>
                <w:b/>
                <w:bCs/>
                <w:i/>
                <w:iCs/>
                <w:sz w:val="16"/>
                <w:szCs w:val="16"/>
              </w:rPr>
            </w:pPr>
            <w:r>
              <w:rPr>
                <w:rFonts w:cs="Calibri"/>
                <w:b/>
                <w:bCs/>
                <w:i/>
                <w:iCs/>
                <w:sz w:val="16"/>
                <w:szCs w:val="16"/>
              </w:rPr>
              <w:t>-</w:t>
            </w:r>
            <w:r w:rsidR="005B4528" w:rsidRPr="00397493">
              <w:rPr>
                <w:rFonts w:cs="Calibri"/>
                <w:b/>
                <w:bCs/>
                <w:i/>
                <w:iCs/>
                <w:sz w:val="16"/>
                <w:szCs w:val="16"/>
              </w:rPr>
              <w:t>3,739</w:t>
            </w:r>
          </w:p>
        </w:tc>
        <w:tc>
          <w:tcPr>
            <w:tcW w:w="947" w:type="dxa"/>
            <w:tcBorders>
              <w:top w:val="dashed" w:sz="4" w:space="0" w:color="auto"/>
              <w:left w:val="nil"/>
              <w:bottom w:val="dashed" w:sz="4" w:space="0" w:color="auto"/>
              <w:right w:val="nil"/>
            </w:tcBorders>
            <w:vAlign w:val="center"/>
            <w:hideMark/>
          </w:tcPr>
          <w:p w14:paraId="27BAEC13" w14:textId="77777777" w:rsidR="005B4528" w:rsidRPr="00397493" w:rsidRDefault="005B4528" w:rsidP="00EF3CD0">
            <w:pPr>
              <w:ind w:left="0"/>
              <w:contextualSpacing/>
              <w:rPr>
                <w:rFonts w:cs="Calibri"/>
                <w:b/>
                <w:bCs/>
                <w:i/>
                <w:iCs/>
                <w:sz w:val="16"/>
                <w:szCs w:val="16"/>
              </w:rPr>
            </w:pPr>
            <w:r w:rsidRPr="00397493">
              <w:rPr>
                <w:rFonts w:cs="Calibri"/>
                <w:b/>
                <w:bCs/>
                <w:i/>
                <w:iCs/>
                <w:sz w:val="16"/>
                <w:szCs w:val="16"/>
              </w:rPr>
              <w:t>0,000</w:t>
            </w:r>
          </w:p>
        </w:tc>
        <w:tc>
          <w:tcPr>
            <w:tcW w:w="947" w:type="dxa"/>
            <w:tcBorders>
              <w:top w:val="dashed" w:sz="4" w:space="0" w:color="auto"/>
              <w:left w:val="nil"/>
              <w:bottom w:val="dashed" w:sz="4" w:space="0" w:color="auto"/>
              <w:right w:val="nil"/>
            </w:tcBorders>
            <w:vAlign w:val="center"/>
            <w:hideMark/>
          </w:tcPr>
          <w:p w14:paraId="48FF5065" w14:textId="3DAC7FD6" w:rsidR="005B4528" w:rsidRPr="00397493" w:rsidRDefault="001A6579" w:rsidP="00EF3CD0">
            <w:pPr>
              <w:ind w:left="0"/>
              <w:contextualSpacing/>
              <w:rPr>
                <w:rFonts w:cs="Calibri"/>
                <w:b/>
                <w:bCs/>
                <w:i/>
                <w:iCs/>
                <w:sz w:val="16"/>
                <w:szCs w:val="16"/>
              </w:rPr>
            </w:pPr>
            <w:r>
              <w:rPr>
                <w:rFonts w:cs="Calibri"/>
                <w:b/>
                <w:bCs/>
                <w:i/>
                <w:iCs/>
                <w:sz w:val="16"/>
                <w:szCs w:val="16"/>
              </w:rPr>
              <w:t>-</w:t>
            </w:r>
            <w:r w:rsidR="005B4528" w:rsidRPr="00397493">
              <w:rPr>
                <w:rFonts w:cs="Calibri"/>
                <w:b/>
                <w:bCs/>
                <w:i/>
                <w:iCs/>
                <w:sz w:val="16"/>
                <w:szCs w:val="16"/>
              </w:rPr>
              <w:t>2,156</w:t>
            </w:r>
          </w:p>
        </w:tc>
        <w:tc>
          <w:tcPr>
            <w:tcW w:w="947" w:type="dxa"/>
            <w:tcBorders>
              <w:top w:val="dashed" w:sz="4" w:space="0" w:color="auto"/>
              <w:left w:val="nil"/>
              <w:bottom w:val="dashed" w:sz="4" w:space="0" w:color="auto"/>
              <w:right w:val="nil"/>
            </w:tcBorders>
            <w:vAlign w:val="center"/>
            <w:hideMark/>
          </w:tcPr>
          <w:p w14:paraId="05BC1513" w14:textId="1DB10405" w:rsidR="005B4528" w:rsidRPr="00397493" w:rsidRDefault="001A6579" w:rsidP="00EF3CD0">
            <w:pPr>
              <w:ind w:left="0"/>
              <w:contextualSpacing/>
              <w:rPr>
                <w:rFonts w:cs="Calibri"/>
                <w:b/>
                <w:bCs/>
                <w:i/>
                <w:iCs/>
                <w:sz w:val="16"/>
                <w:szCs w:val="16"/>
              </w:rPr>
            </w:pPr>
            <w:r>
              <w:rPr>
                <w:rFonts w:cs="Calibri"/>
                <w:b/>
                <w:bCs/>
                <w:i/>
                <w:iCs/>
                <w:sz w:val="16"/>
                <w:szCs w:val="16"/>
              </w:rPr>
              <w:t>-</w:t>
            </w:r>
            <w:r w:rsidR="005B4528" w:rsidRPr="00397493">
              <w:rPr>
                <w:rFonts w:cs="Calibri"/>
                <w:b/>
                <w:bCs/>
                <w:i/>
                <w:iCs/>
                <w:sz w:val="16"/>
                <w:szCs w:val="16"/>
              </w:rPr>
              <w:t>0,614</w:t>
            </w:r>
          </w:p>
        </w:tc>
        <w:tc>
          <w:tcPr>
            <w:tcW w:w="947" w:type="dxa"/>
            <w:tcBorders>
              <w:top w:val="dashed" w:sz="4" w:space="0" w:color="auto"/>
              <w:left w:val="nil"/>
              <w:bottom w:val="dashed" w:sz="4" w:space="0" w:color="auto"/>
              <w:right w:val="nil"/>
            </w:tcBorders>
            <w:vAlign w:val="center"/>
            <w:hideMark/>
          </w:tcPr>
          <w:p w14:paraId="1B814056" w14:textId="77777777" w:rsidR="005B4528" w:rsidRPr="00397493" w:rsidRDefault="005B4528" w:rsidP="00EF3CD0">
            <w:pPr>
              <w:ind w:left="0"/>
              <w:contextualSpacing/>
              <w:rPr>
                <w:rFonts w:cs="Calibri"/>
                <w:b/>
                <w:bCs/>
                <w:i/>
                <w:iCs/>
                <w:sz w:val="16"/>
                <w:szCs w:val="16"/>
              </w:rPr>
            </w:pPr>
            <w:r w:rsidRPr="00397493">
              <w:rPr>
                <w:rFonts w:cs="Calibri"/>
                <w:b/>
                <w:bCs/>
                <w:i/>
                <w:iCs/>
                <w:sz w:val="16"/>
                <w:szCs w:val="16"/>
              </w:rPr>
              <w:t>0,000</w:t>
            </w:r>
          </w:p>
        </w:tc>
        <w:tc>
          <w:tcPr>
            <w:tcW w:w="949" w:type="dxa"/>
            <w:tcBorders>
              <w:top w:val="dashed" w:sz="4" w:space="0" w:color="auto"/>
              <w:left w:val="nil"/>
              <w:bottom w:val="dashed" w:sz="4" w:space="0" w:color="auto"/>
              <w:right w:val="nil"/>
            </w:tcBorders>
            <w:vAlign w:val="center"/>
            <w:hideMark/>
          </w:tcPr>
          <w:p w14:paraId="488DF331" w14:textId="77777777" w:rsidR="005B4528" w:rsidRPr="00397493" w:rsidRDefault="005B4528" w:rsidP="00EF3CD0">
            <w:pPr>
              <w:ind w:left="0"/>
              <w:contextualSpacing/>
              <w:rPr>
                <w:rFonts w:cs="Calibri"/>
                <w:b/>
                <w:bCs/>
                <w:i/>
                <w:iCs/>
                <w:sz w:val="16"/>
                <w:szCs w:val="16"/>
              </w:rPr>
            </w:pPr>
            <w:r w:rsidRPr="00B309AB">
              <w:rPr>
                <w:rFonts w:cs="Calibri"/>
                <w:b/>
                <w:bCs/>
                <w:i/>
                <w:iCs/>
                <w:sz w:val="16"/>
                <w:szCs w:val="16"/>
              </w:rPr>
              <w:t>0,073</w:t>
            </w:r>
          </w:p>
        </w:tc>
      </w:tr>
    </w:tbl>
    <w:p w14:paraId="1F9DA28C" w14:textId="77777777" w:rsidR="005B4528" w:rsidRDefault="005B4528" w:rsidP="005B4528">
      <w:r>
        <w:t xml:space="preserve">Do ZPF je po odečtení nových záborů zastavitelných ploch navráceno 3,739 ha ploch, z toho 2,156 se nachází </w:t>
      </w:r>
      <w:r w:rsidRPr="00B309AB">
        <w:t>na nadprůměrně produkčních půdách (II. třída ochrany ZPF)</w:t>
      </w:r>
      <w:r>
        <w:t xml:space="preserve">. K navýšení záborů ZPF dochází pouze na </w:t>
      </w:r>
      <w:r w:rsidRPr="006F6F15">
        <w:t>velmi málo produkčních půd</w:t>
      </w:r>
      <w:r>
        <w:t xml:space="preserve">ách </w:t>
      </w:r>
      <w:r w:rsidRPr="006F6F15">
        <w:t>(V. třída ochrany ZPF)</w:t>
      </w:r>
      <w:r>
        <w:t xml:space="preserve"> a to pouze o 0,073 ha.</w:t>
      </w:r>
    </w:p>
    <w:p w14:paraId="6B1B3F90" w14:textId="77777777" w:rsidR="00060D18" w:rsidRPr="00060D18" w:rsidRDefault="00060D18" w:rsidP="00060D18"/>
    <w:p w14:paraId="410FD52D" w14:textId="72E90E91" w:rsidR="002E3D64" w:rsidRPr="002E3D64" w:rsidRDefault="002E3D64" w:rsidP="002E3D64">
      <w:pPr>
        <w:pStyle w:val="Nadpis2"/>
      </w:pPr>
      <w:bookmarkStart w:id="180" w:name="_Toc213941424"/>
      <w:bookmarkStart w:id="181" w:name="_Toc213941692"/>
      <w:bookmarkStart w:id="182" w:name="_Toc213941740"/>
      <w:bookmarkStart w:id="183" w:name="_Toc213947253"/>
      <w:bookmarkStart w:id="184" w:name="_Toc214308175"/>
      <w:bookmarkStart w:id="185" w:name="_Toc232612677"/>
      <w:r w:rsidRPr="00040C21">
        <w:t>Vyhodnocení předpokládaných důsledků navrhovaného řešení na pozemky určené k plnění funkcí lesa (PUPFL)</w:t>
      </w:r>
      <w:bookmarkEnd w:id="180"/>
      <w:bookmarkEnd w:id="181"/>
      <w:bookmarkEnd w:id="182"/>
      <w:bookmarkEnd w:id="183"/>
      <w:bookmarkEnd w:id="184"/>
      <w:bookmarkEnd w:id="185"/>
    </w:p>
    <w:p w14:paraId="07788372" w14:textId="3EFB1D90" w:rsidR="00467755" w:rsidRPr="00040C21" w:rsidRDefault="005B4528" w:rsidP="005B4528">
      <w:r w:rsidRPr="007317F2">
        <w:t>Nejsou navrženy žádné zábory v rámci PUPFL.</w:t>
      </w:r>
    </w:p>
    <w:p w14:paraId="050B832C" w14:textId="77777777" w:rsidR="00EF3CD0" w:rsidRDefault="00EF3CD0">
      <w:pPr>
        <w:spacing w:before="0" w:after="0"/>
        <w:ind w:left="0"/>
        <w:jc w:val="left"/>
      </w:pPr>
      <w:r>
        <w:br w:type="page"/>
      </w:r>
    </w:p>
    <w:tbl>
      <w:tblPr>
        <w:tblW w:w="8936" w:type="dxa"/>
        <w:tblCellMar>
          <w:left w:w="70" w:type="dxa"/>
          <w:right w:w="70" w:type="dxa"/>
        </w:tblCellMar>
        <w:tblLook w:val="04A0" w:firstRow="1" w:lastRow="0" w:firstColumn="1" w:lastColumn="0" w:noHBand="0" w:noVBand="1"/>
      </w:tblPr>
      <w:tblGrid>
        <w:gridCol w:w="1078"/>
        <w:gridCol w:w="1184"/>
        <w:gridCol w:w="587"/>
        <w:gridCol w:w="580"/>
        <w:gridCol w:w="760"/>
        <w:gridCol w:w="580"/>
        <w:gridCol w:w="640"/>
        <w:gridCol w:w="720"/>
        <w:gridCol w:w="860"/>
        <w:gridCol w:w="420"/>
        <w:gridCol w:w="380"/>
        <w:gridCol w:w="347"/>
        <w:gridCol w:w="800"/>
      </w:tblGrid>
      <w:tr w:rsidR="00EF3CD0" w:rsidRPr="00EF3CD0" w14:paraId="5DB5D6BC" w14:textId="77777777" w:rsidTr="003C0210">
        <w:trPr>
          <w:trHeight w:val="2117"/>
          <w:tblHeader/>
        </w:trPr>
        <w:tc>
          <w:tcPr>
            <w:tcW w:w="1078" w:type="dxa"/>
            <w:vMerge w:val="restart"/>
            <w:tcBorders>
              <w:top w:val="dashed" w:sz="4" w:space="0" w:color="auto"/>
              <w:left w:val="nil"/>
              <w:bottom w:val="dashed" w:sz="4" w:space="0" w:color="auto"/>
              <w:right w:val="nil"/>
            </w:tcBorders>
            <w:textDirection w:val="btLr"/>
            <w:hideMark/>
          </w:tcPr>
          <w:p w14:paraId="47F0578F" w14:textId="77777777" w:rsidR="00EF3CD0" w:rsidRPr="00EF3CD0" w:rsidRDefault="00EF3CD0" w:rsidP="00EF3CD0">
            <w:pPr>
              <w:spacing w:before="0" w:after="0"/>
              <w:ind w:left="0"/>
              <w:jc w:val="left"/>
              <w:rPr>
                <w:rFonts w:cs="Calibri"/>
                <w:b/>
                <w:bCs/>
                <w:sz w:val="16"/>
                <w:szCs w:val="16"/>
              </w:rPr>
            </w:pPr>
            <w:r w:rsidRPr="00EF3CD0">
              <w:rPr>
                <w:rFonts w:cs="Calibri"/>
                <w:b/>
                <w:bCs/>
                <w:sz w:val="16"/>
                <w:szCs w:val="16"/>
              </w:rPr>
              <w:lastRenderedPageBreak/>
              <w:t>Označení plochy/ koridoru</w:t>
            </w:r>
          </w:p>
        </w:tc>
        <w:tc>
          <w:tcPr>
            <w:tcW w:w="1184" w:type="dxa"/>
            <w:vMerge w:val="restart"/>
            <w:tcBorders>
              <w:top w:val="dashed" w:sz="4" w:space="0" w:color="auto"/>
              <w:left w:val="nil"/>
              <w:bottom w:val="dashed" w:sz="4" w:space="0" w:color="auto"/>
              <w:right w:val="nil"/>
            </w:tcBorders>
            <w:textDirection w:val="btLr"/>
            <w:hideMark/>
          </w:tcPr>
          <w:p w14:paraId="6A5BD97F" w14:textId="77777777" w:rsidR="00EF3CD0" w:rsidRPr="00EF3CD0" w:rsidRDefault="00EF3CD0" w:rsidP="00EF3CD0">
            <w:pPr>
              <w:spacing w:before="0" w:after="0"/>
              <w:ind w:left="0"/>
              <w:jc w:val="left"/>
              <w:rPr>
                <w:rFonts w:cs="Calibri"/>
                <w:b/>
                <w:bCs/>
                <w:sz w:val="16"/>
                <w:szCs w:val="16"/>
              </w:rPr>
            </w:pPr>
            <w:r w:rsidRPr="00EF3CD0">
              <w:rPr>
                <w:rFonts w:cs="Calibri"/>
                <w:b/>
                <w:bCs/>
                <w:sz w:val="16"/>
                <w:szCs w:val="16"/>
              </w:rPr>
              <w:t>Navržené využití</w:t>
            </w:r>
          </w:p>
        </w:tc>
        <w:tc>
          <w:tcPr>
            <w:tcW w:w="587" w:type="dxa"/>
            <w:vMerge w:val="restart"/>
            <w:tcBorders>
              <w:top w:val="dashed" w:sz="4" w:space="0" w:color="auto"/>
              <w:left w:val="nil"/>
              <w:bottom w:val="dashed" w:sz="4" w:space="0" w:color="auto"/>
              <w:right w:val="nil"/>
            </w:tcBorders>
            <w:textDirection w:val="btLr"/>
            <w:hideMark/>
          </w:tcPr>
          <w:p w14:paraId="60B3C117" w14:textId="77777777" w:rsidR="00EF3CD0" w:rsidRPr="00EF3CD0" w:rsidRDefault="00EF3CD0" w:rsidP="00EF3CD0">
            <w:pPr>
              <w:spacing w:before="0" w:after="0"/>
              <w:ind w:left="0"/>
              <w:jc w:val="left"/>
              <w:rPr>
                <w:rFonts w:cs="Calibri"/>
                <w:b/>
                <w:bCs/>
                <w:sz w:val="16"/>
                <w:szCs w:val="16"/>
              </w:rPr>
            </w:pPr>
            <w:r w:rsidRPr="00EF3CD0">
              <w:rPr>
                <w:rFonts w:cs="Calibri"/>
                <w:b/>
                <w:bCs/>
                <w:sz w:val="16"/>
                <w:szCs w:val="16"/>
              </w:rPr>
              <w:t>Souhrn výměry záboru (ha)</w:t>
            </w:r>
          </w:p>
        </w:tc>
        <w:tc>
          <w:tcPr>
            <w:tcW w:w="3280" w:type="dxa"/>
            <w:gridSpan w:val="5"/>
            <w:tcBorders>
              <w:top w:val="dashed" w:sz="4" w:space="0" w:color="auto"/>
              <w:left w:val="nil"/>
              <w:bottom w:val="dashed" w:sz="4" w:space="0" w:color="auto"/>
              <w:right w:val="nil"/>
            </w:tcBorders>
            <w:hideMark/>
          </w:tcPr>
          <w:p w14:paraId="6B037508" w14:textId="77777777" w:rsidR="00EF3CD0" w:rsidRPr="00EF3CD0" w:rsidRDefault="00EF3CD0" w:rsidP="00EF3CD0">
            <w:pPr>
              <w:spacing w:before="0" w:after="0"/>
              <w:ind w:left="0"/>
              <w:jc w:val="left"/>
              <w:rPr>
                <w:rFonts w:cs="Calibri"/>
                <w:b/>
                <w:bCs/>
                <w:sz w:val="16"/>
                <w:szCs w:val="16"/>
              </w:rPr>
            </w:pPr>
            <w:r w:rsidRPr="00EF3CD0">
              <w:rPr>
                <w:rFonts w:cs="Calibri"/>
                <w:b/>
                <w:bCs/>
                <w:sz w:val="16"/>
                <w:szCs w:val="16"/>
              </w:rPr>
              <w:t>Výměra záboru podle třídy ochrany</w:t>
            </w:r>
          </w:p>
        </w:tc>
        <w:tc>
          <w:tcPr>
            <w:tcW w:w="860" w:type="dxa"/>
            <w:vMerge w:val="restart"/>
            <w:tcBorders>
              <w:top w:val="dashed" w:sz="4" w:space="0" w:color="auto"/>
              <w:left w:val="nil"/>
              <w:bottom w:val="dashed" w:sz="4" w:space="0" w:color="auto"/>
              <w:right w:val="nil"/>
            </w:tcBorders>
            <w:textDirection w:val="btLr"/>
            <w:hideMark/>
          </w:tcPr>
          <w:p w14:paraId="7EADA066" w14:textId="77777777" w:rsidR="00EF3CD0" w:rsidRPr="00EF3CD0" w:rsidRDefault="00EF3CD0" w:rsidP="00EF3CD0">
            <w:pPr>
              <w:spacing w:before="0" w:after="0"/>
              <w:ind w:left="0"/>
              <w:jc w:val="left"/>
              <w:rPr>
                <w:rFonts w:cs="Calibri"/>
                <w:b/>
                <w:bCs/>
                <w:sz w:val="16"/>
                <w:szCs w:val="16"/>
              </w:rPr>
            </w:pPr>
            <w:r w:rsidRPr="00EF3CD0">
              <w:rPr>
                <w:rFonts w:cs="Calibri"/>
                <w:b/>
                <w:bCs/>
                <w:sz w:val="16"/>
                <w:szCs w:val="16"/>
              </w:rPr>
              <w:t>Odhad výměry záboru, na které bude provedena rekultivace na zemědělskou půdu</w:t>
            </w:r>
          </w:p>
        </w:tc>
        <w:tc>
          <w:tcPr>
            <w:tcW w:w="420" w:type="dxa"/>
            <w:vMerge w:val="restart"/>
            <w:tcBorders>
              <w:top w:val="dashed" w:sz="4" w:space="0" w:color="auto"/>
              <w:left w:val="nil"/>
              <w:bottom w:val="dashed" w:sz="4" w:space="0" w:color="auto"/>
              <w:right w:val="nil"/>
            </w:tcBorders>
            <w:textDirection w:val="btLr"/>
            <w:hideMark/>
          </w:tcPr>
          <w:p w14:paraId="65EF69DB" w14:textId="77777777" w:rsidR="00EF3CD0" w:rsidRPr="00EF3CD0" w:rsidRDefault="00EF3CD0" w:rsidP="00EF3CD0">
            <w:pPr>
              <w:spacing w:before="0" w:after="0"/>
              <w:ind w:left="0"/>
              <w:jc w:val="left"/>
              <w:rPr>
                <w:rFonts w:cs="Calibri"/>
                <w:b/>
                <w:bCs/>
                <w:sz w:val="16"/>
                <w:szCs w:val="16"/>
              </w:rPr>
            </w:pPr>
            <w:r w:rsidRPr="00EF3CD0">
              <w:rPr>
                <w:rFonts w:cs="Calibri"/>
                <w:b/>
                <w:bCs/>
                <w:sz w:val="16"/>
                <w:szCs w:val="16"/>
              </w:rPr>
              <w:t>Informace o existenci závlah</w:t>
            </w:r>
          </w:p>
        </w:tc>
        <w:tc>
          <w:tcPr>
            <w:tcW w:w="380" w:type="dxa"/>
            <w:vMerge w:val="restart"/>
            <w:tcBorders>
              <w:top w:val="dashed" w:sz="4" w:space="0" w:color="auto"/>
              <w:left w:val="nil"/>
              <w:bottom w:val="dashed" w:sz="4" w:space="0" w:color="auto"/>
              <w:right w:val="nil"/>
            </w:tcBorders>
            <w:textDirection w:val="btLr"/>
            <w:hideMark/>
          </w:tcPr>
          <w:p w14:paraId="2CBCD9B1" w14:textId="77777777" w:rsidR="00EF3CD0" w:rsidRPr="00EF3CD0" w:rsidRDefault="00EF3CD0" w:rsidP="00EF3CD0">
            <w:pPr>
              <w:spacing w:before="0" w:after="0"/>
              <w:ind w:left="0"/>
              <w:jc w:val="left"/>
              <w:rPr>
                <w:rFonts w:cs="Calibri"/>
                <w:b/>
                <w:bCs/>
                <w:sz w:val="16"/>
                <w:szCs w:val="16"/>
              </w:rPr>
            </w:pPr>
            <w:r w:rsidRPr="00EF3CD0">
              <w:rPr>
                <w:rFonts w:cs="Calibri"/>
                <w:b/>
                <w:bCs/>
                <w:sz w:val="16"/>
                <w:szCs w:val="16"/>
              </w:rPr>
              <w:t>Informace o existenci odvodnění</w:t>
            </w:r>
          </w:p>
        </w:tc>
        <w:tc>
          <w:tcPr>
            <w:tcW w:w="347" w:type="dxa"/>
            <w:vMerge w:val="restart"/>
            <w:tcBorders>
              <w:top w:val="dashed" w:sz="4" w:space="0" w:color="auto"/>
              <w:left w:val="nil"/>
              <w:bottom w:val="dashed" w:sz="4" w:space="0" w:color="auto"/>
              <w:right w:val="nil"/>
            </w:tcBorders>
            <w:textDirection w:val="btLr"/>
            <w:hideMark/>
          </w:tcPr>
          <w:p w14:paraId="63F81AB0" w14:textId="77777777" w:rsidR="00EF3CD0" w:rsidRPr="00EF3CD0" w:rsidRDefault="00EF3CD0" w:rsidP="00EF3CD0">
            <w:pPr>
              <w:spacing w:before="0" w:after="0"/>
              <w:ind w:left="0"/>
              <w:jc w:val="left"/>
              <w:rPr>
                <w:rFonts w:cs="Calibri"/>
                <w:b/>
                <w:bCs/>
                <w:sz w:val="16"/>
                <w:szCs w:val="16"/>
              </w:rPr>
            </w:pPr>
            <w:r w:rsidRPr="00EF3CD0">
              <w:rPr>
                <w:rFonts w:cs="Calibri"/>
                <w:b/>
                <w:bCs/>
                <w:sz w:val="16"/>
                <w:szCs w:val="16"/>
              </w:rPr>
              <w:t>Informace o existenci staveb k ochraně pozemku před erozní činností vody</w:t>
            </w:r>
          </w:p>
        </w:tc>
        <w:tc>
          <w:tcPr>
            <w:tcW w:w="800" w:type="dxa"/>
            <w:vMerge w:val="restart"/>
            <w:tcBorders>
              <w:top w:val="dashed" w:sz="4" w:space="0" w:color="auto"/>
              <w:left w:val="nil"/>
              <w:bottom w:val="dashed" w:sz="4" w:space="0" w:color="auto"/>
              <w:right w:val="nil"/>
            </w:tcBorders>
            <w:textDirection w:val="btLr"/>
            <w:hideMark/>
          </w:tcPr>
          <w:p w14:paraId="4024C567" w14:textId="61332587" w:rsidR="00EF3CD0" w:rsidRPr="00EF3CD0" w:rsidRDefault="00EF3CD0" w:rsidP="00EF3CD0">
            <w:pPr>
              <w:spacing w:before="0" w:after="0"/>
              <w:ind w:left="0"/>
              <w:jc w:val="left"/>
              <w:rPr>
                <w:rFonts w:cs="Calibri"/>
                <w:b/>
                <w:bCs/>
                <w:sz w:val="16"/>
                <w:szCs w:val="16"/>
              </w:rPr>
            </w:pPr>
            <w:r w:rsidRPr="00EF3CD0">
              <w:rPr>
                <w:rFonts w:cs="Calibri"/>
                <w:b/>
                <w:bCs/>
                <w:sz w:val="16"/>
                <w:szCs w:val="16"/>
              </w:rPr>
              <w:t>Informace podle ustanovení  § 3 odst. 1</w:t>
            </w:r>
            <w:r>
              <w:rPr>
                <w:rFonts w:cs="Calibri"/>
                <w:b/>
                <w:bCs/>
                <w:sz w:val="16"/>
                <w:szCs w:val="16"/>
              </w:rPr>
              <w:t xml:space="preserve"> </w:t>
            </w:r>
            <w:r w:rsidRPr="00EF3CD0">
              <w:rPr>
                <w:rFonts w:cs="Calibri"/>
                <w:b/>
                <w:bCs/>
                <w:sz w:val="16"/>
                <w:szCs w:val="16"/>
              </w:rPr>
              <w:t xml:space="preserve">písm. g) </w:t>
            </w:r>
          </w:p>
        </w:tc>
      </w:tr>
      <w:tr w:rsidR="00EF3CD0" w:rsidRPr="00EF3CD0" w14:paraId="63FD943E" w14:textId="77777777" w:rsidTr="003C0210">
        <w:trPr>
          <w:trHeight w:val="50"/>
          <w:tblHeader/>
        </w:trPr>
        <w:tc>
          <w:tcPr>
            <w:tcW w:w="1078" w:type="dxa"/>
            <w:vMerge/>
            <w:tcBorders>
              <w:top w:val="dashed" w:sz="4" w:space="0" w:color="auto"/>
              <w:left w:val="nil"/>
              <w:bottom w:val="dashed" w:sz="4" w:space="0" w:color="auto"/>
              <w:right w:val="nil"/>
            </w:tcBorders>
            <w:vAlign w:val="center"/>
            <w:hideMark/>
          </w:tcPr>
          <w:p w14:paraId="23FBCDBB" w14:textId="77777777" w:rsidR="00EF3CD0" w:rsidRPr="00EF3CD0" w:rsidRDefault="00EF3CD0" w:rsidP="00EF3CD0">
            <w:pPr>
              <w:spacing w:before="0" w:after="0"/>
              <w:ind w:left="0"/>
              <w:jc w:val="left"/>
              <w:rPr>
                <w:rFonts w:cs="Calibri"/>
                <w:b/>
                <w:bCs/>
                <w:sz w:val="16"/>
                <w:szCs w:val="16"/>
              </w:rPr>
            </w:pPr>
          </w:p>
        </w:tc>
        <w:tc>
          <w:tcPr>
            <w:tcW w:w="1184" w:type="dxa"/>
            <w:vMerge/>
            <w:tcBorders>
              <w:top w:val="dashed" w:sz="4" w:space="0" w:color="auto"/>
              <w:left w:val="nil"/>
              <w:bottom w:val="dashed" w:sz="4" w:space="0" w:color="auto"/>
              <w:right w:val="nil"/>
            </w:tcBorders>
            <w:vAlign w:val="center"/>
            <w:hideMark/>
          </w:tcPr>
          <w:p w14:paraId="0E1033D6" w14:textId="77777777" w:rsidR="00EF3CD0" w:rsidRPr="00EF3CD0" w:rsidRDefault="00EF3CD0" w:rsidP="00EF3CD0">
            <w:pPr>
              <w:spacing w:before="0" w:after="0"/>
              <w:ind w:left="0"/>
              <w:jc w:val="left"/>
              <w:rPr>
                <w:rFonts w:cs="Calibri"/>
                <w:b/>
                <w:bCs/>
                <w:sz w:val="16"/>
                <w:szCs w:val="16"/>
              </w:rPr>
            </w:pPr>
          </w:p>
        </w:tc>
        <w:tc>
          <w:tcPr>
            <w:tcW w:w="587" w:type="dxa"/>
            <w:vMerge/>
            <w:tcBorders>
              <w:top w:val="dashed" w:sz="4" w:space="0" w:color="auto"/>
              <w:left w:val="nil"/>
              <w:bottom w:val="dashed" w:sz="4" w:space="0" w:color="auto"/>
              <w:right w:val="nil"/>
            </w:tcBorders>
            <w:vAlign w:val="center"/>
            <w:hideMark/>
          </w:tcPr>
          <w:p w14:paraId="1EA1555D" w14:textId="77777777" w:rsidR="00EF3CD0" w:rsidRPr="00EF3CD0" w:rsidRDefault="00EF3CD0" w:rsidP="00EF3CD0">
            <w:pPr>
              <w:spacing w:before="0" w:after="0"/>
              <w:ind w:left="0"/>
              <w:jc w:val="left"/>
              <w:rPr>
                <w:rFonts w:cs="Calibri"/>
                <w:b/>
                <w:bCs/>
                <w:sz w:val="16"/>
                <w:szCs w:val="16"/>
              </w:rPr>
            </w:pPr>
          </w:p>
        </w:tc>
        <w:tc>
          <w:tcPr>
            <w:tcW w:w="580" w:type="dxa"/>
            <w:tcBorders>
              <w:top w:val="nil"/>
              <w:left w:val="nil"/>
              <w:bottom w:val="dashed" w:sz="4" w:space="0" w:color="auto"/>
              <w:right w:val="nil"/>
            </w:tcBorders>
            <w:vAlign w:val="center"/>
            <w:hideMark/>
          </w:tcPr>
          <w:p w14:paraId="2E54823D" w14:textId="77777777" w:rsidR="00EF3CD0" w:rsidRPr="00EF3CD0" w:rsidRDefault="00EF3CD0" w:rsidP="00EF3CD0">
            <w:pPr>
              <w:spacing w:before="0" w:after="0"/>
              <w:ind w:left="0"/>
              <w:jc w:val="left"/>
              <w:rPr>
                <w:rFonts w:cs="Calibri"/>
                <w:b/>
                <w:bCs/>
                <w:sz w:val="16"/>
                <w:szCs w:val="16"/>
              </w:rPr>
            </w:pPr>
            <w:r w:rsidRPr="00EF3CD0">
              <w:rPr>
                <w:rFonts w:cs="Calibri"/>
                <w:b/>
                <w:bCs/>
                <w:sz w:val="16"/>
                <w:szCs w:val="16"/>
              </w:rPr>
              <w:t>I.</w:t>
            </w:r>
          </w:p>
        </w:tc>
        <w:tc>
          <w:tcPr>
            <w:tcW w:w="760" w:type="dxa"/>
            <w:tcBorders>
              <w:top w:val="nil"/>
              <w:left w:val="nil"/>
              <w:bottom w:val="dashed" w:sz="4" w:space="0" w:color="auto"/>
              <w:right w:val="nil"/>
            </w:tcBorders>
            <w:vAlign w:val="center"/>
            <w:hideMark/>
          </w:tcPr>
          <w:p w14:paraId="7B153380" w14:textId="77777777" w:rsidR="00EF3CD0" w:rsidRPr="00EF3CD0" w:rsidRDefault="00EF3CD0" w:rsidP="00EF3CD0">
            <w:pPr>
              <w:spacing w:before="0" w:after="0"/>
              <w:ind w:left="0"/>
              <w:jc w:val="left"/>
              <w:rPr>
                <w:rFonts w:cs="Calibri"/>
                <w:b/>
                <w:bCs/>
                <w:sz w:val="16"/>
                <w:szCs w:val="16"/>
              </w:rPr>
            </w:pPr>
            <w:r w:rsidRPr="00EF3CD0">
              <w:rPr>
                <w:rFonts w:cs="Calibri"/>
                <w:b/>
                <w:bCs/>
                <w:sz w:val="16"/>
                <w:szCs w:val="16"/>
              </w:rPr>
              <w:t>II.</w:t>
            </w:r>
          </w:p>
        </w:tc>
        <w:tc>
          <w:tcPr>
            <w:tcW w:w="580" w:type="dxa"/>
            <w:tcBorders>
              <w:top w:val="nil"/>
              <w:left w:val="nil"/>
              <w:bottom w:val="dashed" w:sz="4" w:space="0" w:color="auto"/>
              <w:right w:val="nil"/>
            </w:tcBorders>
            <w:vAlign w:val="center"/>
            <w:hideMark/>
          </w:tcPr>
          <w:p w14:paraId="7765B16E" w14:textId="77777777" w:rsidR="00EF3CD0" w:rsidRPr="00EF3CD0" w:rsidRDefault="00EF3CD0" w:rsidP="00EF3CD0">
            <w:pPr>
              <w:spacing w:before="0" w:after="0"/>
              <w:ind w:left="0"/>
              <w:jc w:val="left"/>
              <w:rPr>
                <w:rFonts w:cs="Calibri"/>
                <w:b/>
                <w:bCs/>
                <w:sz w:val="16"/>
                <w:szCs w:val="16"/>
              </w:rPr>
            </w:pPr>
            <w:r w:rsidRPr="00EF3CD0">
              <w:rPr>
                <w:rFonts w:cs="Calibri"/>
                <w:b/>
                <w:bCs/>
                <w:sz w:val="16"/>
                <w:szCs w:val="16"/>
              </w:rPr>
              <w:t>III.</w:t>
            </w:r>
          </w:p>
        </w:tc>
        <w:tc>
          <w:tcPr>
            <w:tcW w:w="640" w:type="dxa"/>
            <w:tcBorders>
              <w:top w:val="nil"/>
              <w:left w:val="nil"/>
              <w:bottom w:val="dashed" w:sz="4" w:space="0" w:color="auto"/>
              <w:right w:val="nil"/>
            </w:tcBorders>
            <w:vAlign w:val="center"/>
            <w:hideMark/>
          </w:tcPr>
          <w:p w14:paraId="1354B396" w14:textId="77777777" w:rsidR="00EF3CD0" w:rsidRPr="00EF3CD0" w:rsidRDefault="00EF3CD0" w:rsidP="00EF3CD0">
            <w:pPr>
              <w:spacing w:before="0" w:after="0"/>
              <w:ind w:left="0"/>
              <w:jc w:val="left"/>
              <w:rPr>
                <w:rFonts w:cs="Calibri"/>
                <w:b/>
                <w:bCs/>
                <w:sz w:val="16"/>
                <w:szCs w:val="16"/>
              </w:rPr>
            </w:pPr>
            <w:r w:rsidRPr="00EF3CD0">
              <w:rPr>
                <w:rFonts w:cs="Calibri"/>
                <w:b/>
                <w:bCs/>
                <w:sz w:val="16"/>
                <w:szCs w:val="16"/>
              </w:rPr>
              <w:t>IV.</w:t>
            </w:r>
          </w:p>
        </w:tc>
        <w:tc>
          <w:tcPr>
            <w:tcW w:w="720" w:type="dxa"/>
            <w:tcBorders>
              <w:top w:val="nil"/>
              <w:left w:val="nil"/>
              <w:bottom w:val="dashed" w:sz="4" w:space="0" w:color="auto"/>
              <w:right w:val="nil"/>
            </w:tcBorders>
            <w:vAlign w:val="center"/>
            <w:hideMark/>
          </w:tcPr>
          <w:p w14:paraId="337A4740" w14:textId="77777777" w:rsidR="00EF3CD0" w:rsidRPr="00EF3CD0" w:rsidRDefault="00EF3CD0" w:rsidP="00EF3CD0">
            <w:pPr>
              <w:spacing w:before="0" w:after="0"/>
              <w:ind w:left="0"/>
              <w:jc w:val="left"/>
              <w:rPr>
                <w:rFonts w:cs="Calibri"/>
                <w:b/>
                <w:bCs/>
                <w:sz w:val="16"/>
                <w:szCs w:val="16"/>
              </w:rPr>
            </w:pPr>
            <w:r w:rsidRPr="00EF3CD0">
              <w:rPr>
                <w:rFonts w:cs="Calibri"/>
                <w:b/>
                <w:bCs/>
                <w:sz w:val="16"/>
                <w:szCs w:val="16"/>
              </w:rPr>
              <w:t>V.</w:t>
            </w:r>
          </w:p>
        </w:tc>
        <w:tc>
          <w:tcPr>
            <w:tcW w:w="860" w:type="dxa"/>
            <w:vMerge/>
            <w:tcBorders>
              <w:top w:val="dashed" w:sz="4" w:space="0" w:color="auto"/>
              <w:left w:val="nil"/>
              <w:bottom w:val="dashed" w:sz="4" w:space="0" w:color="auto"/>
              <w:right w:val="nil"/>
            </w:tcBorders>
            <w:vAlign w:val="center"/>
            <w:hideMark/>
          </w:tcPr>
          <w:p w14:paraId="750C4035" w14:textId="77777777" w:rsidR="00EF3CD0" w:rsidRPr="00EF3CD0" w:rsidRDefault="00EF3CD0" w:rsidP="00EF3CD0">
            <w:pPr>
              <w:spacing w:before="0" w:after="0"/>
              <w:ind w:left="0"/>
              <w:jc w:val="left"/>
              <w:rPr>
                <w:rFonts w:cs="Calibri"/>
                <w:b/>
                <w:bCs/>
                <w:sz w:val="16"/>
                <w:szCs w:val="16"/>
              </w:rPr>
            </w:pPr>
          </w:p>
        </w:tc>
        <w:tc>
          <w:tcPr>
            <w:tcW w:w="420" w:type="dxa"/>
            <w:vMerge/>
            <w:tcBorders>
              <w:top w:val="dashed" w:sz="4" w:space="0" w:color="auto"/>
              <w:left w:val="nil"/>
              <w:bottom w:val="dashed" w:sz="4" w:space="0" w:color="auto"/>
              <w:right w:val="nil"/>
            </w:tcBorders>
            <w:vAlign w:val="center"/>
            <w:hideMark/>
          </w:tcPr>
          <w:p w14:paraId="720828E9" w14:textId="77777777" w:rsidR="00EF3CD0" w:rsidRPr="00EF3CD0" w:rsidRDefault="00EF3CD0" w:rsidP="00EF3CD0">
            <w:pPr>
              <w:spacing w:before="0" w:after="0"/>
              <w:ind w:left="0"/>
              <w:jc w:val="left"/>
              <w:rPr>
                <w:rFonts w:cs="Calibri"/>
                <w:b/>
                <w:bCs/>
                <w:sz w:val="16"/>
                <w:szCs w:val="16"/>
              </w:rPr>
            </w:pPr>
          </w:p>
        </w:tc>
        <w:tc>
          <w:tcPr>
            <w:tcW w:w="380" w:type="dxa"/>
            <w:vMerge/>
            <w:tcBorders>
              <w:top w:val="dashed" w:sz="4" w:space="0" w:color="auto"/>
              <w:left w:val="nil"/>
              <w:bottom w:val="dashed" w:sz="4" w:space="0" w:color="auto"/>
              <w:right w:val="nil"/>
            </w:tcBorders>
            <w:vAlign w:val="center"/>
            <w:hideMark/>
          </w:tcPr>
          <w:p w14:paraId="3E1675FF" w14:textId="77777777" w:rsidR="00EF3CD0" w:rsidRPr="00EF3CD0" w:rsidRDefault="00EF3CD0" w:rsidP="00EF3CD0">
            <w:pPr>
              <w:spacing w:before="0" w:after="0"/>
              <w:ind w:left="0"/>
              <w:jc w:val="left"/>
              <w:rPr>
                <w:rFonts w:cs="Calibri"/>
                <w:b/>
                <w:bCs/>
                <w:sz w:val="16"/>
                <w:szCs w:val="16"/>
              </w:rPr>
            </w:pPr>
          </w:p>
        </w:tc>
        <w:tc>
          <w:tcPr>
            <w:tcW w:w="347" w:type="dxa"/>
            <w:vMerge/>
            <w:tcBorders>
              <w:top w:val="dashed" w:sz="4" w:space="0" w:color="auto"/>
              <w:left w:val="nil"/>
              <w:bottom w:val="dashed" w:sz="4" w:space="0" w:color="auto"/>
              <w:right w:val="nil"/>
            </w:tcBorders>
            <w:vAlign w:val="center"/>
            <w:hideMark/>
          </w:tcPr>
          <w:p w14:paraId="7EB97B25" w14:textId="77777777" w:rsidR="00EF3CD0" w:rsidRPr="00EF3CD0" w:rsidRDefault="00EF3CD0" w:rsidP="00EF3CD0">
            <w:pPr>
              <w:spacing w:before="0" w:after="0"/>
              <w:ind w:left="0"/>
              <w:jc w:val="left"/>
              <w:rPr>
                <w:rFonts w:cs="Calibri"/>
                <w:b/>
                <w:bCs/>
                <w:sz w:val="16"/>
                <w:szCs w:val="16"/>
              </w:rPr>
            </w:pPr>
          </w:p>
        </w:tc>
        <w:tc>
          <w:tcPr>
            <w:tcW w:w="800" w:type="dxa"/>
            <w:vMerge/>
            <w:tcBorders>
              <w:top w:val="dashed" w:sz="4" w:space="0" w:color="auto"/>
              <w:left w:val="nil"/>
              <w:bottom w:val="dashed" w:sz="4" w:space="0" w:color="auto"/>
              <w:right w:val="nil"/>
            </w:tcBorders>
            <w:vAlign w:val="center"/>
            <w:hideMark/>
          </w:tcPr>
          <w:p w14:paraId="2CB62D88" w14:textId="77777777" w:rsidR="00EF3CD0" w:rsidRPr="00EF3CD0" w:rsidRDefault="00EF3CD0" w:rsidP="00EF3CD0">
            <w:pPr>
              <w:spacing w:before="0" w:after="0"/>
              <w:ind w:left="0"/>
              <w:jc w:val="left"/>
              <w:rPr>
                <w:rFonts w:cs="Calibri"/>
                <w:b/>
                <w:bCs/>
                <w:sz w:val="16"/>
                <w:szCs w:val="16"/>
              </w:rPr>
            </w:pPr>
          </w:p>
        </w:tc>
      </w:tr>
      <w:tr w:rsidR="00EF3CD0" w:rsidRPr="00EF3CD0" w14:paraId="64617556" w14:textId="77777777" w:rsidTr="00F937DD">
        <w:trPr>
          <w:trHeight w:val="210"/>
        </w:trPr>
        <w:tc>
          <w:tcPr>
            <w:tcW w:w="8936" w:type="dxa"/>
            <w:gridSpan w:val="13"/>
            <w:tcBorders>
              <w:top w:val="nil"/>
              <w:left w:val="nil"/>
              <w:bottom w:val="dashed" w:sz="4" w:space="0" w:color="auto"/>
              <w:right w:val="nil"/>
            </w:tcBorders>
            <w:vAlign w:val="center"/>
            <w:hideMark/>
          </w:tcPr>
          <w:p w14:paraId="122D0690" w14:textId="77777777" w:rsidR="00EF3CD0" w:rsidRPr="00EF3CD0" w:rsidRDefault="00EF3CD0" w:rsidP="00EF3CD0">
            <w:pPr>
              <w:spacing w:before="0" w:after="0"/>
              <w:ind w:left="0"/>
              <w:jc w:val="left"/>
              <w:rPr>
                <w:rFonts w:cs="Calibri"/>
                <w:b/>
                <w:bCs/>
                <w:sz w:val="16"/>
                <w:szCs w:val="16"/>
              </w:rPr>
            </w:pPr>
            <w:r w:rsidRPr="00EF3CD0">
              <w:rPr>
                <w:rFonts w:cs="Calibri"/>
                <w:b/>
                <w:bCs/>
                <w:sz w:val="16"/>
                <w:szCs w:val="16"/>
              </w:rPr>
              <w:t> </w:t>
            </w:r>
          </w:p>
        </w:tc>
      </w:tr>
      <w:tr w:rsidR="00EF3CD0" w:rsidRPr="00EF3CD0" w14:paraId="585FAF21" w14:textId="77777777" w:rsidTr="00F937DD">
        <w:trPr>
          <w:trHeight w:val="220"/>
        </w:trPr>
        <w:tc>
          <w:tcPr>
            <w:tcW w:w="8936" w:type="dxa"/>
            <w:gridSpan w:val="13"/>
            <w:tcBorders>
              <w:top w:val="dashed" w:sz="4" w:space="0" w:color="auto"/>
              <w:left w:val="nil"/>
              <w:bottom w:val="dashed" w:sz="4" w:space="0" w:color="auto"/>
              <w:right w:val="nil"/>
            </w:tcBorders>
            <w:vAlign w:val="center"/>
            <w:hideMark/>
          </w:tcPr>
          <w:p w14:paraId="09DF58D6" w14:textId="77777777" w:rsidR="00EF3CD0" w:rsidRPr="00EF3CD0" w:rsidRDefault="00EF3CD0" w:rsidP="00EF3CD0">
            <w:pPr>
              <w:spacing w:before="0" w:after="0"/>
              <w:ind w:left="0"/>
              <w:jc w:val="left"/>
              <w:rPr>
                <w:rFonts w:cs="Calibri"/>
                <w:b/>
                <w:bCs/>
                <w:i/>
                <w:iCs/>
                <w:sz w:val="16"/>
                <w:szCs w:val="16"/>
              </w:rPr>
            </w:pPr>
            <w:r w:rsidRPr="00EF3CD0">
              <w:rPr>
                <w:rFonts w:cs="Calibri"/>
                <w:b/>
                <w:bCs/>
                <w:i/>
                <w:iCs/>
                <w:sz w:val="16"/>
                <w:szCs w:val="16"/>
              </w:rPr>
              <w:t>Plochy smíšené obytné</w:t>
            </w:r>
          </w:p>
        </w:tc>
      </w:tr>
      <w:tr w:rsidR="00EF3CD0" w:rsidRPr="00EF3CD0" w14:paraId="30C4B266" w14:textId="77777777" w:rsidTr="00F937DD">
        <w:trPr>
          <w:trHeight w:val="210"/>
        </w:trPr>
        <w:tc>
          <w:tcPr>
            <w:tcW w:w="8936" w:type="dxa"/>
            <w:gridSpan w:val="13"/>
            <w:tcBorders>
              <w:top w:val="dashed" w:sz="4" w:space="0" w:color="auto"/>
              <w:left w:val="nil"/>
              <w:bottom w:val="dashed" w:sz="4" w:space="0" w:color="auto"/>
              <w:right w:val="nil"/>
            </w:tcBorders>
            <w:vAlign w:val="center"/>
            <w:hideMark/>
          </w:tcPr>
          <w:p w14:paraId="69CE7754" w14:textId="77777777" w:rsidR="00EF3CD0" w:rsidRPr="00EF3CD0" w:rsidRDefault="00EF3CD0" w:rsidP="00EF3CD0">
            <w:pPr>
              <w:spacing w:before="0" w:after="0"/>
              <w:ind w:left="0"/>
              <w:jc w:val="left"/>
              <w:rPr>
                <w:rFonts w:cs="Calibri"/>
                <w:b/>
                <w:bCs/>
                <w:i/>
                <w:iCs/>
                <w:sz w:val="16"/>
                <w:szCs w:val="16"/>
              </w:rPr>
            </w:pPr>
            <w:r w:rsidRPr="00EF3CD0">
              <w:rPr>
                <w:rFonts w:cs="Calibri"/>
                <w:b/>
                <w:bCs/>
                <w:i/>
                <w:iCs/>
                <w:sz w:val="16"/>
                <w:szCs w:val="16"/>
              </w:rPr>
              <w:t xml:space="preserve">plochy transformační </w:t>
            </w:r>
          </w:p>
        </w:tc>
      </w:tr>
      <w:tr w:rsidR="00EF3CD0" w:rsidRPr="00EF3CD0" w14:paraId="023CD81B" w14:textId="77777777" w:rsidTr="00F937DD">
        <w:trPr>
          <w:trHeight w:val="210"/>
        </w:trPr>
        <w:tc>
          <w:tcPr>
            <w:tcW w:w="1078" w:type="dxa"/>
            <w:tcBorders>
              <w:top w:val="nil"/>
              <w:left w:val="nil"/>
              <w:bottom w:val="dashed" w:sz="4" w:space="0" w:color="auto"/>
              <w:right w:val="nil"/>
            </w:tcBorders>
            <w:noWrap/>
            <w:vAlign w:val="bottom"/>
            <w:hideMark/>
          </w:tcPr>
          <w:p w14:paraId="04FCC794" w14:textId="77777777" w:rsidR="00EF3CD0" w:rsidRPr="00EF3CD0" w:rsidRDefault="00EF3CD0" w:rsidP="00EF3CD0">
            <w:pPr>
              <w:spacing w:before="0" w:after="0"/>
              <w:ind w:left="0"/>
              <w:jc w:val="left"/>
              <w:rPr>
                <w:rFonts w:cs="Calibri"/>
                <w:sz w:val="16"/>
                <w:szCs w:val="16"/>
              </w:rPr>
            </w:pPr>
            <w:r w:rsidRPr="00EF3CD0">
              <w:rPr>
                <w:rFonts w:cs="Calibri"/>
                <w:sz w:val="16"/>
                <w:szCs w:val="16"/>
              </w:rPr>
              <w:t>T.02-1</w:t>
            </w:r>
          </w:p>
        </w:tc>
        <w:tc>
          <w:tcPr>
            <w:tcW w:w="1184" w:type="dxa"/>
            <w:tcBorders>
              <w:top w:val="nil"/>
              <w:left w:val="nil"/>
              <w:bottom w:val="dashed" w:sz="4" w:space="0" w:color="auto"/>
              <w:right w:val="nil"/>
            </w:tcBorders>
            <w:noWrap/>
            <w:vAlign w:val="bottom"/>
            <w:hideMark/>
          </w:tcPr>
          <w:p w14:paraId="7081280B" w14:textId="77777777" w:rsidR="00EF3CD0" w:rsidRPr="00EF3CD0" w:rsidRDefault="00EF3CD0" w:rsidP="00EF3CD0">
            <w:pPr>
              <w:spacing w:before="0" w:after="0"/>
              <w:ind w:left="0"/>
              <w:jc w:val="left"/>
              <w:rPr>
                <w:rFonts w:cs="Calibri"/>
                <w:sz w:val="16"/>
                <w:szCs w:val="16"/>
              </w:rPr>
            </w:pPr>
            <w:r w:rsidRPr="00EF3CD0">
              <w:rPr>
                <w:rFonts w:cs="Calibri"/>
                <w:sz w:val="16"/>
                <w:szCs w:val="16"/>
              </w:rPr>
              <w:t>SV</w:t>
            </w:r>
          </w:p>
        </w:tc>
        <w:tc>
          <w:tcPr>
            <w:tcW w:w="587" w:type="dxa"/>
            <w:tcBorders>
              <w:top w:val="nil"/>
              <w:left w:val="nil"/>
              <w:bottom w:val="dashed" w:sz="4" w:space="0" w:color="auto"/>
              <w:right w:val="nil"/>
            </w:tcBorders>
            <w:noWrap/>
            <w:vAlign w:val="bottom"/>
            <w:hideMark/>
          </w:tcPr>
          <w:p w14:paraId="25EA1F71" w14:textId="77777777" w:rsidR="00EF3CD0" w:rsidRPr="00EF3CD0" w:rsidRDefault="00EF3CD0" w:rsidP="00EF3CD0">
            <w:pPr>
              <w:spacing w:before="0" w:after="0"/>
              <w:ind w:left="0"/>
              <w:jc w:val="right"/>
              <w:rPr>
                <w:rFonts w:cs="Calibri"/>
                <w:b/>
                <w:bCs/>
                <w:sz w:val="16"/>
                <w:szCs w:val="16"/>
              </w:rPr>
            </w:pPr>
            <w:r w:rsidRPr="00EF3CD0">
              <w:rPr>
                <w:rFonts w:cs="Calibri"/>
                <w:b/>
                <w:bCs/>
                <w:sz w:val="16"/>
                <w:szCs w:val="16"/>
              </w:rPr>
              <w:t>0,126</w:t>
            </w:r>
          </w:p>
        </w:tc>
        <w:tc>
          <w:tcPr>
            <w:tcW w:w="580" w:type="dxa"/>
            <w:tcBorders>
              <w:top w:val="nil"/>
              <w:left w:val="nil"/>
              <w:bottom w:val="dashed" w:sz="4" w:space="0" w:color="auto"/>
              <w:right w:val="nil"/>
            </w:tcBorders>
            <w:noWrap/>
            <w:vAlign w:val="bottom"/>
            <w:hideMark/>
          </w:tcPr>
          <w:p w14:paraId="21C4E5D4" w14:textId="77777777" w:rsidR="00EF3CD0" w:rsidRPr="00EF3CD0" w:rsidRDefault="00EF3CD0" w:rsidP="00EF3CD0">
            <w:pPr>
              <w:spacing w:before="0" w:after="0"/>
              <w:ind w:left="0"/>
              <w:jc w:val="center"/>
              <w:rPr>
                <w:rFonts w:cs="Calibri"/>
                <w:sz w:val="16"/>
                <w:szCs w:val="16"/>
              </w:rPr>
            </w:pPr>
            <w:r w:rsidRPr="00EF3CD0">
              <w:rPr>
                <w:rFonts w:cs="Calibri"/>
                <w:sz w:val="16"/>
                <w:szCs w:val="16"/>
              </w:rPr>
              <w:t>-</w:t>
            </w:r>
          </w:p>
        </w:tc>
        <w:tc>
          <w:tcPr>
            <w:tcW w:w="760" w:type="dxa"/>
            <w:tcBorders>
              <w:top w:val="nil"/>
              <w:left w:val="nil"/>
              <w:bottom w:val="dashed" w:sz="4" w:space="0" w:color="auto"/>
              <w:right w:val="nil"/>
            </w:tcBorders>
            <w:noWrap/>
            <w:vAlign w:val="bottom"/>
            <w:hideMark/>
          </w:tcPr>
          <w:p w14:paraId="19B1BD33" w14:textId="77777777" w:rsidR="00EF3CD0" w:rsidRPr="00EF3CD0" w:rsidRDefault="00EF3CD0" w:rsidP="00EF3CD0">
            <w:pPr>
              <w:spacing w:before="0" w:after="0"/>
              <w:ind w:left="0"/>
              <w:jc w:val="center"/>
              <w:rPr>
                <w:rFonts w:cs="Calibri"/>
                <w:sz w:val="16"/>
                <w:szCs w:val="16"/>
              </w:rPr>
            </w:pPr>
            <w:r w:rsidRPr="00EF3CD0">
              <w:rPr>
                <w:rFonts w:cs="Calibri"/>
                <w:sz w:val="16"/>
                <w:szCs w:val="16"/>
              </w:rPr>
              <w:t>-</w:t>
            </w:r>
          </w:p>
        </w:tc>
        <w:tc>
          <w:tcPr>
            <w:tcW w:w="580" w:type="dxa"/>
            <w:tcBorders>
              <w:top w:val="nil"/>
              <w:left w:val="nil"/>
              <w:bottom w:val="dashed" w:sz="4" w:space="0" w:color="auto"/>
              <w:right w:val="nil"/>
            </w:tcBorders>
            <w:noWrap/>
            <w:vAlign w:val="bottom"/>
            <w:hideMark/>
          </w:tcPr>
          <w:p w14:paraId="52B4166F" w14:textId="77777777" w:rsidR="00EF3CD0" w:rsidRPr="00EF3CD0" w:rsidRDefault="00EF3CD0" w:rsidP="00EF3CD0">
            <w:pPr>
              <w:spacing w:before="0" w:after="0"/>
              <w:ind w:left="0"/>
              <w:jc w:val="center"/>
              <w:rPr>
                <w:rFonts w:cs="Calibri"/>
                <w:sz w:val="16"/>
                <w:szCs w:val="16"/>
              </w:rPr>
            </w:pPr>
            <w:r w:rsidRPr="00EF3CD0">
              <w:rPr>
                <w:rFonts w:cs="Calibri"/>
                <w:sz w:val="16"/>
                <w:szCs w:val="16"/>
              </w:rPr>
              <w:t>-</w:t>
            </w:r>
          </w:p>
        </w:tc>
        <w:tc>
          <w:tcPr>
            <w:tcW w:w="640" w:type="dxa"/>
            <w:tcBorders>
              <w:top w:val="nil"/>
              <w:left w:val="nil"/>
              <w:bottom w:val="dashed" w:sz="4" w:space="0" w:color="auto"/>
              <w:right w:val="nil"/>
            </w:tcBorders>
            <w:noWrap/>
            <w:vAlign w:val="bottom"/>
            <w:hideMark/>
          </w:tcPr>
          <w:p w14:paraId="61CD700C" w14:textId="77777777" w:rsidR="00EF3CD0" w:rsidRPr="00EF3CD0" w:rsidRDefault="00EF3CD0" w:rsidP="00EF3CD0">
            <w:pPr>
              <w:spacing w:before="0" w:after="0"/>
              <w:ind w:left="0"/>
              <w:jc w:val="center"/>
              <w:rPr>
                <w:rFonts w:cs="Calibri"/>
                <w:sz w:val="16"/>
                <w:szCs w:val="16"/>
              </w:rPr>
            </w:pPr>
            <w:r w:rsidRPr="00EF3CD0">
              <w:rPr>
                <w:rFonts w:cs="Calibri"/>
                <w:sz w:val="16"/>
                <w:szCs w:val="16"/>
              </w:rPr>
              <w:t>-</w:t>
            </w:r>
          </w:p>
        </w:tc>
        <w:tc>
          <w:tcPr>
            <w:tcW w:w="720" w:type="dxa"/>
            <w:tcBorders>
              <w:top w:val="nil"/>
              <w:left w:val="nil"/>
              <w:bottom w:val="dashed" w:sz="4" w:space="0" w:color="auto"/>
              <w:right w:val="nil"/>
            </w:tcBorders>
            <w:noWrap/>
            <w:vAlign w:val="bottom"/>
            <w:hideMark/>
          </w:tcPr>
          <w:p w14:paraId="21506064" w14:textId="77777777" w:rsidR="00EF3CD0" w:rsidRPr="00EF3CD0" w:rsidRDefault="00EF3CD0" w:rsidP="00EF3CD0">
            <w:pPr>
              <w:spacing w:before="0" w:after="0"/>
              <w:ind w:left="0"/>
              <w:jc w:val="right"/>
              <w:rPr>
                <w:rFonts w:cs="Calibri"/>
                <w:sz w:val="16"/>
                <w:szCs w:val="16"/>
              </w:rPr>
            </w:pPr>
            <w:r w:rsidRPr="00EF3CD0">
              <w:rPr>
                <w:rFonts w:cs="Calibri"/>
                <w:sz w:val="16"/>
                <w:szCs w:val="16"/>
              </w:rPr>
              <w:t>0,126</w:t>
            </w:r>
          </w:p>
        </w:tc>
        <w:tc>
          <w:tcPr>
            <w:tcW w:w="860" w:type="dxa"/>
            <w:tcBorders>
              <w:top w:val="nil"/>
              <w:left w:val="nil"/>
              <w:bottom w:val="dashed" w:sz="4" w:space="0" w:color="auto"/>
              <w:right w:val="nil"/>
            </w:tcBorders>
            <w:noWrap/>
            <w:vAlign w:val="bottom"/>
            <w:hideMark/>
          </w:tcPr>
          <w:p w14:paraId="238EA29D" w14:textId="77777777" w:rsidR="00EF3CD0" w:rsidRPr="00EF3CD0" w:rsidRDefault="00EF3CD0" w:rsidP="00EF3CD0">
            <w:pPr>
              <w:spacing w:before="0" w:after="0"/>
              <w:ind w:left="0"/>
              <w:jc w:val="center"/>
              <w:rPr>
                <w:rFonts w:cs="Calibri"/>
                <w:sz w:val="16"/>
                <w:szCs w:val="16"/>
              </w:rPr>
            </w:pPr>
            <w:r w:rsidRPr="00EF3CD0">
              <w:rPr>
                <w:rFonts w:cs="Calibri"/>
                <w:sz w:val="16"/>
                <w:szCs w:val="16"/>
              </w:rPr>
              <w:t>-</w:t>
            </w:r>
          </w:p>
        </w:tc>
        <w:tc>
          <w:tcPr>
            <w:tcW w:w="420" w:type="dxa"/>
            <w:tcBorders>
              <w:top w:val="nil"/>
              <w:left w:val="nil"/>
              <w:bottom w:val="dashed" w:sz="4" w:space="0" w:color="auto"/>
              <w:right w:val="nil"/>
            </w:tcBorders>
            <w:noWrap/>
            <w:vAlign w:val="bottom"/>
            <w:hideMark/>
          </w:tcPr>
          <w:p w14:paraId="3201230C" w14:textId="77777777" w:rsidR="00EF3CD0" w:rsidRPr="00EF3CD0" w:rsidRDefault="00EF3CD0" w:rsidP="00EF3CD0">
            <w:pPr>
              <w:spacing w:before="0" w:after="0"/>
              <w:ind w:left="0"/>
              <w:jc w:val="center"/>
              <w:rPr>
                <w:rFonts w:cs="Calibri"/>
                <w:sz w:val="16"/>
                <w:szCs w:val="16"/>
              </w:rPr>
            </w:pPr>
            <w:r w:rsidRPr="00EF3CD0">
              <w:rPr>
                <w:rFonts w:cs="Calibri"/>
                <w:sz w:val="16"/>
                <w:szCs w:val="16"/>
              </w:rPr>
              <w:t>-</w:t>
            </w:r>
          </w:p>
        </w:tc>
        <w:tc>
          <w:tcPr>
            <w:tcW w:w="380" w:type="dxa"/>
            <w:tcBorders>
              <w:top w:val="nil"/>
              <w:left w:val="nil"/>
              <w:bottom w:val="dashed" w:sz="4" w:space="0" w:color="auto"/>
              <w:right w:val="nil"/>
            </w:tcBorders>
            <w:noWrap/>
            <w:vAlign w:val="bottom"/>
            <w:hideMark/>
          </w:tcPr>
          <w:p w14:paraId="70AA5E2B" w14:textId="77777777" w:rsidR="00EF3CD0" w:rsidRPr="00EF3CD0" w:rsidRDefault="00EF3CD0" w:rsidP="00EF3CD0">
            <w:pPr>
              <w:spacing w:before="0" w:after="0"/>
              <w:ind w:left="0"/>
              <w:jc w:val="center"/>
              <w:rPr>
                <w:rFonts w:cs="Calibri"/>
                <w:sz w:val="16"/>
                <w:szCs w:val="16"/>
              </w:rPr>
            </w:pPr>
            <w:r w:rsidRPr="00EF3CD0">
              <w:rPr>
                <w:rFonts w:cs="Calibri"/>
                <w:sz w:val="16"/>
                <w:szCs w:val="16"/>
              </w:rPr>
              <w:t>-</w:t>
            </w:r>
          </w:p>
        </w:tc>
        <w:tc>
          <w:tcPr>
            <w:tcW w:w="347" w:type="dxa"/>
            <w:tcBorders>
              <w:top w:val="nil"/>
              <w:left w:val="nil"/>
              <w:bottom w:val="dashed" w:sz="4" w:space="0" w:color="auto"/>
              <w:right w:val="nil"/>
            </w:tcBorders>
            <w:noWrap/>
            <w:vAlign w:val="bottom"/>
            <w:hideMark/>
          </w:tcPr>
          <w:p w14:paraId="52EB9D84" w14:textId="77777777" w:rsidR="00EF3CD0" w:rsidRPr="00EF3CD0" w:rsidRDefault="00EF3CD0" w:rsidP="00EF3CD0">
            <w:pPr>
              <w:spacing w:before="0" w:after="0"/>
              <w:ind w:left="0"/>
              <w:jc w:val="center"/>
              <w:rPr>
                <w:rFonts w:cs="Calibri"/>
                <w:sz w:val="16"/>
                <w:szCs w:val="16"/>
              </w:rPr>
            </w:pPr>
            <w:r w:rsidRPr="00EF3CD0">
              <w:rPr>
                <w:rFonts w:cs="Calibri"/>
                <w:sz w:val="16"/>
                <w:szCs w:val="16"/>
              </w:rPr>
              <w:t>-</w:t>
            </w:r>
          </w:p>
        </w:tc>
        <w:tc>
          <w:tcPr>
            <w:tcW w:w="800" w:type="dxa"/>
            <w:tcBorders>
              <w:top w:val="nil"/>
              <w:left w:val="nil"/>
              <w:bottom w:val="dashed" w:sz="4" w:space="0" w:color="auto"/>
              <w:right w:val="nil"/>
            </w:tcBorders>
            <w:noWrap/>
            <w:vAlign w:val="bottom"/>
            <w:hideMark/>
          </w:tcPr>
          <w:p w14:paraId="3406C192" w14:textId="77777777" w:rsidR="00EF3CD0" w:rsidRPr="00EF3CD0" w:rsidRDefault="00EF3CD0" w:rsidP="00EF3CD0">
            <w:pPr>
              <w:spacing w:before="0" w:after="0"/>
              <w:ind w:left="0"/>
              <w:jc w:val="center"/>
              <w:rPr>
                <w:rFonts w:cs="Calibri"/>
                <w:sz w:val="16"/>
                <w:szCs w:val="16"/>
              </w:rPr>
            </w:pPr>
            <w:r w:rsidRPr="00EF3CD0">
              <w:rPr>
                <w:rFonts w:cs="Calibri"/>
                <w:sz w:val="16"/>
                <w:szCs w:val="16"/>
              </w:rPr>
              <w:t>-</w:t>
            </w:r>
          </w:p>
        </w:tc>
      </w:tr>
      <w:tr w:rsidR="00EF3CD0" w:rsidRPr="00EF3CD0" w14:paraId="69C7146A" w14:textId="77777777" w:rsidTr="00F937DD">
        <w:trPr>
          <w:trHeight w:val="210"/>
        </w:trPr>
        <w:tc>
          <w:tcPr>
            <w:tcW w:w="1078" w:type="dxa"/>
            <w:tcBorders>
              <w:top w:val="nil"/>
              <w:left w:val="nil"/>
              <w:bottom w:val="dashed" w:sz="4" w:space="0" w:color="auto"/>
              <w:right w:val="nil"/>
            </w:tcBorders>
            <w:noWrap/>
            <w:vAlign w:val="bottom"/>
            <w:hideMark/>
          </w:tcPr>
          <w:p w14:paraId="733B4405" w14:textId="77777777" w:rsidR="00EF3CD0" w:rsidRPr="00EF3CD0" w:rsidRDefault="00EF3CD0" w:rsidP="00EF3CD0">
            <w:pPr>
              <w:spacing w:before="0" w:after="0"/>
              <w:ind w:left="0"/>
              <w:jc w:val="left"/>
              <w:rPr>
                <w:rFonts w:cs="Calibri"/>
                <w:sz w:val="16"/>
                <w:szCs w:val="16"/>
              </w:rPr>
            </w:pPr>
            <w:r w:rsidRPr="00EF3CD0">
              <w:rPr>
                <w:rFonts w:cs="Calibri"/>
                <w:sz w:val="16"/>
                <w:szCs w:val="16"/>
              </w:rPr>
              <w:t>T.02-2</w:t>
            </w:r>
          </w:p>
        </w:tc>
        <w:tc>
          <w:tcPr>
            <w:tcW w:w="1184" w:type="dxa"/>
            <w:tcBorders>
              <w:top w:val="nil"/>
              <w:left w:val="nil"/>
              <w:bottom w:val="dashed" w:sz="4" w:space="0" w:color="auto"/>
              <w:right w:val="nil"/>
            </w:tcBorders>
            <w:noWrap/>
            <w:vAlign w:val="bottom"/>
            <w:hideMark/>
          </w:tcPr>
          <w:p w14:paraId="43AD6735" w14:textId="77777777" w:rsidR="00EF3CD0" w:rsidRPr="00EF3CD0" w:rsidRDefault="00EF3CD0" w:rsidP="00EF3CD0">
            <w:pPr>
              <w:spacing w:before="0" w:after="0"/>
              <w:ind w:left="0"/>
              <w:jc w:val="left"/>
              <w:rPr>
                <w:rFonts w:cs="Calibri"/>
                <w:sz w:val="16"/>
                <w:szCs w:val="16"/>
              </w:rPr>
            </w:pPr>
            <w:r w:rsidRPr="00EF3CD0">
              <w:rPr>
                <w:rFonts w:cs="Calibri"/>
                <w:sz w:val="16"/>
                <w:szCs w:val="16"/>
              </w:rPr>
              <w:t>SV</w:t>
            </w:r>
          </w:p>
        </w:tc>
        <w:tc>
          <w:tcPr>
            <w:tcW w:w="587" w:type="dxa"/>
            <w:tcBorders>
              <w:top w:val="nil"/>
              <w:left w:val="nil"/>
              <w:bottom w:val="dashed" w:sz="4" w:space="0" w:color="auto"/>
              <w:right w:val="nil"/>
            </w:tcBorders>
            <w:noWrap/>
            <w:vAlign w:val="bottom"/>
            <w:hideMark/>
          </w:tcPr>
          <w:p w14:paraId="6E5D42AE" w14:textId="77777777" w:rsidR="00EF3CD0" w:rsidRPr="00EF3CD0" w:rsidRDefault="00EF3CD0" w:rsidP="00EF3CD0">
            <w:pPr>
              <w:spacing w:before="0" w:after="0"/>
              <w:ind w:left="0"/>
              <w:jc w:val="right"/>
              <w:rPr>
                <w:rFonts w:cs="Calibri"/>
                <w:b/>
                <w:bCs/>
                <w:sz w:val="16"/>
                <w:szCs w:val="16"/>
              </w:rPr>
            </w:pPr>
            <w:r w:rsidRPr="00EF3CD0">
              <w:rPr>
                <w:rFonts w:cs="Calibri"/>
                <w:b/>
                <w:bCs/>
                <w:sz w:val="16"/>
                <w:szCs w:val="16"/>
              </w:rPr>
              <w:t>0,151</w:t>
            </w:r>
          </w:p>
        </w:tc>
        <w:tc>
          <w:tcPr>
            <w:tcW w:w="580" w:type="dxa"/>
            <w:tcBorders>
              <w:top w:val="nil"/>
              <w:left w:val="nil"/>
              <w:bottom w:val="dashed" w:sz="4" w:space="0" w:color="auto"/>
              <w:right w:val="nil"/>
            </w:tcBorders>
            <w:noWrap/>
            <w:vAlign w:val="bottom"/>
            <w:hideMark/>
          </w:tcPr>
          <w:p w14:paraId="0AD3F2AB" w14:textId="77777777" w:rsidR="00EF3CD0" w:rsidRPr="00EF3CD0" w:rsidRDefault="00EF3CD0" w:rsidP="00EF3CD0">
            <w:pPr>
              <w:spacing w:before="0" w:after="0"/>
              <w:ind w:left="0"/>
              <w:jc w:val="center"/>
              <w:rPr>
                <w:rFonts w:cs="Calibri"/>
                <w:sz w:val="16"/>
                <w:szCs w:val="16"/>
              </w:rPr>
            </w:pPr>
            <w:r w:rsidRPr="00EF3CD0">
              <w:rPr>
                <w:rFonts w:cs="Calibri"/>
                <w:sz w:val="16"/>
                <w:szCs w:val="16"/>
              </w:rPr>
              <w:t>-</w:t>
            </w:r>
          </w:p>
        </w:tc>
        <w:tc>
          <w:tcPr>
            <w:tcW w:w="760" w:type="dxa"/>
            <w:tcBorders>
              <w:top w:val="nil"/>
              <w:left w:val="nil"/>
              <w:bottom w:val="dashed" w:sz="4" w:space="0" w:color="auto"/>
              <w:right w:val="nil"/>
            </w:tcBorders>
            <w:noWrap/>
            <w:vAlign w:val="bottom"/>
            <w:hideMark/>
          </w:tcPr>
          <w:p w14:paraId="00113B81" w14:textId="77777777" w:rsidR="00EF3CD0" w:rsidRPr="00EF3CD0" w:rsidRDefault="00EF3CD0" w:rsidP="00EF3CD0">
            <w:pPr>
              <w:spacing w:before="0" w:after="0"/>
              <w:ind w:left="0"/>
              <w:jc w:val="center"/>
              <w:rPr>
                <w:rFonts w:cs="Calibri"/>
                <w:sz w:val="16"/>
                <w:szCs w:val="16"/>
              </w:rPr>
            </w:pPr>
            <w:r w:rsidRPr="00EF3CD0">
              <w:rPr>
                <w:rFonts w:cs="Calibri"/>
                <w:sz w:val="16"/>
                <w:szCs w:val="16"/>
              </w:rPr>
              <w:t>-</w:t>
            </w:r>
          </w:p>
        </w:tc>
        <w:tc>
          <w:tcPr>
            <w:tcW w:w="580" w:type="dxa"/>
            <w:tcBorders>
              <w:top w:val="nil"/>
              <w:left w:val="nil"/>
              <w:bottom w:val="dashed" w:sz="4" w:space="0" w:color="auto"/>
              <w:right w:val="nil"/>
            </w:tcBorders>
            <w:noWrap/>
            <w:vAlign w:val="bottom"/>
            <w:hideMark/>
          </w:tcPr>
          <w:p w14:paraId="30246BE0" w14:textId="77777777" w:rsidR="00EF3CD0" w:rsidRPr="00EF3CD0" w:rsidRDefault="00EF3CD0" w:rsidP="00EF3CD0">
            <w:pPr>
              <w:spacing w:before="0" w:after="0"/>
              <w:ind w:left="0"/>
              <w:jc w:val="center"/>
              <w:rPr>
                <w:rFonts w:cs="Calibri"/>
                <w:sz w:val="16"/>
                <w:szCs w:val="16"/>
              </w:rPr>
            </w:pPr>
            <w:r w:rsidRPr="00EF3CD0">
              <w:rPr>
                <w:rFonts w:cs="Calibri"/>
                <w:sz w:val="16"/>
                <w:szCs w:val="16"/>
              </w:rPr>
              <w:t>-</w:t>
            </w:r>
          </w:p>
        </w:tc>
        <w:tc>
          <w:tcPr>
            <w:tcW w:w="640" w:type="dxa"/>
            <w:tcBorders>
              <w:top w:val="nil"/>
              <w:left w:val="nil"/>
              <w:bottom w:val="dashed" w:sz="4" w:space="0" w:color="auto"/>
              <w:right w:val="nil"/>
            </w:tcBorders>
            <w:noWrap/>
            <w:vAlign w:val="bottom"/>
            <w:hideMark/>
          </w:tcPr>
          <w:p w14:paraId="004B4A12" w14:textId="77777777" w:rsidR="00EF3CD0" w:rsidRPr="00EF3CD0" w:rsidRDefault="00EF3CD0" w:rsidP="00EF3CD0">
            <w:pPr>
              <w:spacing w:before="0" w:after="0"/>
              <w:ind w:left="0"/>
              <w:jc w:val="center"/>
              <w:rPr>
                <w:rFonts w:cs="Calibri"/>
                <w:sz w:val="16"/>
                <w:szCs w:val="16"/>
              </w:rPr>
            </w:pPr>
            <w:r w:rsidRPr="00EF3CD0">
              <w:rPr>
                <w:rFonts w:cs="Calibri"/>
                <w:sz w:val="16"/>
                <w:szCs w:val="16"/>
              </w:rPr>
              <w:t>-</w:t>
            </w:r>
          </w:p>
        </w:tc>
        <w:tc>
          <w:tcPr>
            <w:tcW w:w="720" w:type="dxa"/>
            <w:tcBorders>
              <w:top w:val="nil"/>
              <w:left w:val="nil"/>
              <w:bottom w:val="dashed" w:sz="4" w:space="0" w:color="auto"/>
              <w:right w:val="nil"/>
            </w:tcBorders>
            <w:noWrap/>
            <w:vAlign w:val="bottom"/>
            <w:hideMark/>
          </w:tcPr>
          <w:p w14:paraId="63653F8C" w14:textId="77777777" w:rsidR="00EF3CD0" w:rsidRPr="00EF3CD0" w:rsidRDefault="00EF3CD0" w:rsidP="00EF3CD0">
            <w:pPr>
              <w:spacing w:before="0" w:after="0"/>
              <w:ind w:left="0"/>
              <w:jc w:val="right"/>
              <w:rPr>
                <w:rFonts w:cs="Calibri"/>
                <w:sz w:val="16"/>
                <w:szCs w:val="16"/>
              </w:rPr>
            </w:pPr>
            <w:r w:rsidRPr="00EF3CD0">
              <w:rPr>
                <w:rFonts w:cs="Calibri"/>
                <w:sz w:val="16"/>
                <w:szCs w:val="16"/>
              </w:rPr>
              <w:t>0,151</w:t>
            </w:r>
          </w:p>
        </w:tc>
        <w:tc>
          <w:tcPr>
            <w:tcW w:w="860" w:type="dxa"/>
            <w:tcBorders>
              <w:top w:val="nil"/>
              <w:left w:val="nil"/>
              <w:bottom w:val="dashed" w:sz="4" w:space="0" w:color="auto"/>
              <w:right w:val="nil"/>
            </w:tcBorders>
            <w:noWrap/>
            <w:vAlign w:val="bottom"/>
            <w:hideMark/>
          </w:tcPr>
          <w:p w14:paraId="3E43C1BE" w14:textId="77777777" w:rsidR="00EF3CD0" w:rsidRPr="00EF3CD0" w:rsidRDefault="00EF3CD0" w:rsidP="00EF3CD0">
            <w:pPr>
              <w:spacing w:before="0" w:after="0"/>
              <w:ind w:left="0"/>
              <w:jc w:val="center"/>
              <w:rPr>
                <w:rFonts w:cs="Calibri"/>
                <w:sz w:val="16"/>
                <w:szCs w:val="16"/>
              </w:rPr>
            </w:pPr>
            <w:r w:rsidRPr="00EF3CD0">
              <w:rPr>
                <w:rFonts w:cs="Calibri"/>
                <w:sz w:val="16"/>
                <w:szCs w:val="16"/>
              </w:rPr>
              <w:t>-</w:t>
            </w:r>
          </w:p>
        </w:tc>
        <w:tc>
          <w:tcPr>
            <w:tcW w:w="420" w:type="dxa"/>
            <w:tcBorders>
              <w:top w:val="nil"/>
              <w:left w:val="nil"/>
              <w:bottom w:val="dashed" w:sz="4" w:space="0" w:color="auto"/>
              <w:right w:val="nil"/>
            </w:tcBorders>
            <w:noWrap/>
            <w:vAlign w:val="bottom"/>
            <w:hideMark/>
          </w:tcPr>
          <w:p w14:paraId="486C5CC1" w14:textId="77777777" w:rsidR="00EF3CD0" w:rsidRPr="00EF3CD0" w:rsidRDefault="00EF3CD0" w:rsidP="00EF3CD0">
            <w:pPr>
              <w:spacing w:before="0" w:after="0"/>
              <w:ind w:left="0"/>
              <w:jc w:val="center"/>
              <w:rPr>
                <w:rFonts w:cs="Calibri"/>
                <w:sz w:val="16"/>
                <w:szCs w:val="16"/>
              </w:rPr>
            </w:pPr>
            <w:r w:rsidRPr="00EF3CD0">
              <w:rPr>
                <w:rFonts w:cs="Calibri"/>
                <w:sz w:val="16"/>
                <w:szCs w:val="16"/>
              </w:rPr>
              <w:t>-</w:t>
            </w:r>
          </w:p>
        </w:tc>
        <w:tc>
          <w:tcPr>
            <w:tcW w:w="380" w:type="dxa"/>
            <w:tcBorders>
              <w:top w:val="nil"/>
              <w:left w:val="nil"/>
              <w:bottom w:val="dashed" w:sz="4" w:space="0" w:color="auto"/>
              <w:right w:val="nil"/>
            </w:tcBorders>
            <w:noWrap/>
            <w:vAlign w:val="bottom"/>
            <w:hideMark/>
          </w:tcPr>
          <w:p w14:paraId="002F43F0" w14:textId="77777777" w:rsidR="00EF3CD0" w:rsidRPr="00EF3CD0" w:rsidRDefault="00EF3CD0" w:rsidP="00EF3CD0">
            <w:pPr>
              <w:spacing w:before="0" w:after="0"/>
              <w:ind w:left="0"/>
              <w:jc w:val="center"/>
              <w:rPr>
                <w:rFonts w:cs="Calibri"/>
                <w:sz w:val="16"/>
                <w:szCs w:val="16"/>
              </w:rPr>
            </w:pPr>
            <w:r w:rsidRPr="00EF3CD0">
              <w:rPr>
                <w:rFonts w:cs="Calibri"/>
                <w:sz w:val="16"/>
                <w:szCs w:val="16"/>
              </w:rPr>
              <w:t>-</w:t>
            </w:r>
          </w:p>
        </w:tc>
        <w:tc>
          <w:tcPr>
            <w:tcW w:w="347" w:type="dxa"/>
            <w:tcBorders>
              <w:top w:val="nil"/>
              <w:left w:val="nil"/>
              <w:bottom w:val="dashed" w:sz="4" w:space="0" w:color="auto"/>
              <w:right w:val="nil"/>
            </w:tcBorders>
            <w:noWrap/>
            <w:vAlign w:val="bottom"/>
            <w:hideMark/>
          </w:tcPr>
          <w:p w14:paraId="304E1047" w14:textId="77777777" w:rsidR="00EF3CD0" w:rsidRPr="00EF3CD0" w:rsidRDefault="00EF3CD0" w:rsidP="00EF3CD0">
            <w:pPr>
              <w:spacing w:before="0" w:after="0"/>
              <w:ind w:left="0"/>
              <w:jc w:val="center"/>
              <w:rPr>
                <w:rFonts w:cs="Calibri"/>
                <w:sz w:val="16"/>
                <w:szCs w:val="16"/>
              </w:rPr>
            </w:pPr>
            <w:r w:rsidRPr="00EF3CD0">
              <w:rPr>
                <w:rFonts w:cs="Calibri"/>
                <w:sz w:val="16"/>
                <w:szCs w:val="16"/>
              </w:rPr>
              <w:t>-</w:t>
            </w:r>
          </w:p>
        </w:tc>
        <w:tc>
          <w:tcPr>
            <w:tcW w:w="800" w:type="dxa"/>
            <w:tcBorders>
              <w:top w:val="nil"/>
              <w:left w:val="nil"/>
              <w:bottom w:val="dashed" w:sz="4" w:space="0" w:color="auto"/>
              <w:right w:val="nil"/>
            </w:tcBorders>
            <w:noWrap/>
            <w:vAlign w:val="bottom"/>
            <w:hideMark/>
          </w:tcPr>
          <w:p w14:paraId="3DD32F37" w14:textId="77777777" w:rsidR="00EF3CD0" w:rsidRPr="00EF3CD0" w:rsidRDefault="00EF3CD0" w:rsidP="00EF3CD0">
            <w:pPr>
              <w:spacing w:before="0" w:after="0"/>
              <w:ind w:left="0"/>
              <w:jc w:val="center"/>
              <w:rPr>
                <w:rFonts w:cs="Calibri"/>
                <w:sz w:val="16"/>
                <w:szCs w:val="16"/>
              </w:rPr>
            </w:pPr>
            <w:r w:rsidRPr="00EF3CD0">
              <w:rPr>
                <w:rFonts w:cs="Calibri"/>
                <w:sz w:val="16"/>
                <w:szCs w:val="16"/>
              </w:rPr>
              <w:t>-</w:t>
            </w:r>
          </w:p>
        </w:tc>
      </w:tr>
      <w:tr w:rsidR="00EF3CD0" w:rsidRPr="00EF3CD0" w14:paraId="11D378DE" w14:textId="77777777" w:rsidTr="00F937DD">
        <w:trPr>
          <w:trHeight w:val="210"/>
        </w:trPr>
        <w:tc>
          <w:tcPr>
            <w:tcW w:w="1078" w:type="dxa"/>
            <w:tcBorders>
              <w:top w:val="nil"/>
              <w:left w:val="nil"/>
              <w:bottom w:val="dashed" w:sz="4" w:space="0" w:color="auto"/>
              <w:right w:val="nil"/>
            </w:tcBorders>
            <w:noWrap/>
            <w:vAlign w:val="bottom"/>
            <w:hideMark/>
          </w:tcPr>
          <w:p w14:paraId="156712A2" w14:textId="77777777" w:rsidR="00EF3CD0" w:rsidRPr="00EF3CD0" w:rsidRDefault="00EF3CD0" w:rsidP="00EF3CD0">
            <w:pPr>
              <w:spacing w:before="0" w:after="0"/>
              <w:ind w:left="0"/>
              <w:jc w:val="left"/>
              <w:rPr>
                <w:rFonts w:cs="Calibri"/>
                <w:sz w:val="16"/>
                <w:szCs w:val="16"/>
              </w:rPr>
            </w:pPr>
            <w:r w:rsidRPr="00EF3CD0">
              <w:rPr>
                <w:rFonts w:cs="Calibri"/>
                <w:sz w:val="16"/>
                <w:szCs w:val="16"/>
              </w:rPr>
              <w:t>T.02-3</w:t>
            </w:r>
          </w:p>
        </w:tc>
        <w:tc>
          <w:tcPr>
            <w:tcW w:w="1184" w:type="dxa"/>
            <w:tcBorders>
              <w:top w:val="nil"/>
              <w:left w:val="nil"/>
              <w:bottom w:val="dashed" w:sz="4" w:space="0" w:color="auto"/>
              <w:right w:val="nil"/>
            </w:tcBorders>
            <w:noWrap/>
            <w:vAlign w:val="bottom"/>
            <w:hideMark/>
          </w:tcPr>
          <w:p w14:paraId="2E428873" w14:textId="77777777" w:rsidR="00EF3CD0" w:rsidRPr="00EF3CD0" w:rsidRDefault="00EF3CD0" w:rsidP="00EF3CD0">
            <w:pPr>
              <w:spacing w:before="0" w:after="0"/>
              <w:ind w:left="0"/>
              <w:jc w:val="left"/>
              <w:rPr>
                <w:rFonts w:cs="Calibri"/>
                <w:sz w:val="16"/>
                <w:szCs w:val="16"/>
              </w:rPr>
            </w:pPr>
            <w:r w:rsidRPr="00EF3CD0">
              <w:rPr>
                <w:rFonts w:cs="Calibri"/>
                <w:sz w:val="16"/>
                <w:szCs w:val="16"/>
              </w:rPr>
              <w:t>SV</w:t>
            </w:r>
          </w:p>
        </w:tc>
        <w:tc>
          <w:tcPr>
            <w:tcW w:w="587" w:type="dxa"/>
            <w:tcBorders>
              <w:top w:val="nil"/>
              <w:left w:val="nil"/>
              <w:bottom w:val="dashed" w:sz="4" w:space="0" w:color="auto"/>
              <w:right w:val="nil"/>
            </w:tcBorders>
            <w:noWrap/>
            <w:vAlign w:val="bottom"/>
            <w:hideMark/>
          </w:tcPr>
          <w:p w14:paraId="49797513" w14:textId="77777777" w:rsidR="00EF3CD0" w:rsidRPr="00EF3CD0" w:rsidRDefault="00EF3CD0" w:rsidP="00EF3CD0">
            <w:pPr>
              <w:spacing w:before="0" w:after="0"/>
              <w:ind w:left="0"/>
              <w:jc w:val="right"/>
              <w:rPr>
                <w:rFonts w:cs="Calibri"/>
                <w:b/>
                <w:bCs/>
                <w:sz w:val="16"/>
                <w:szCs w:val="16"/>
              </w:rPr>
            </w:pPr>
            <w:r w:rsidRPr="00EF3CD0">
              <w:rPr>
                <w:rFonts w:cs="Calibri"/>
                <w:b/>
                <w:bCs/>
                <w:sz w:val="16"/>
                <w:szCs w:val="16"/>
              </w:rPr>
              <w:t>1,380</w:t>
            </w:r>
          </w:p>
        </w:tc>
        <w:tc>
          <w:tcPr>
            <w:tcW w:w="580" w:type="dxa"/>
            <w:tcBorders>
              <w:top w:val="nil"/>
              <w:left w:val="nil"/>
              <w:bottom w:val="dashed" w:sz="4" w:space="0" w:color="auto"/>
              <w:right w:val="nil"/>
            </w:tcBorders>
            <w:noWrap/>
            <w:vAlign w:val="bottom"/>
            <w:hideMark/>
          </w:tcPr>
          <w:p w14:paraId="538D36D0" w14:textId="77777777" w:rsidR="00EF3CD0" w:rsidRPr="00EF3CD0" w:rsidRDefault="00EF3CD0" w:rsidP="00EF3CD0">
            <w:pPr>
              <w:spacing w:before="0" w:after="0"/>
              <w:ind w:left="0"/>
              <w:jc w:val="center"/>
              <w:rPr>
                <w:rFonts w:cs="Calibri"/>
                <w:sz w:val="16"/>
                <w:szCs w:val="16"/>
              </w:rPr>
            </w:pPr>
            <w:r w:rsidRPr="00EF3CD0">
              <w:rPr>
                <w:rFonts w:cs="Calibri"/>
                <w:sz w:val="16"/>
                <w:szCs w:val="16"/>
              </w:rPr>
              <w:t>-</w:t>
            </w:r>
          </w:p>
        </w:tc>
        <w:tc>
          <w:tcPr>
            <w:tcW w:w="760" w:type="dxa"/>
            <w:tcBorders>
              <w:top w:val="nil"/>
              <w:left w:val="nil"/>
              <w:bottom w:val="dashed" w:sz="4" w:space="0" w:color="auto"/>
              <w:right w:val="nil"/>
            </w:tcBorders>
            <w:noWrap/>
            <w:vAlign w:val="bottom"/>
            <w:hideMark/>
          </w:tcPr>
          <w:p w14:paraId="6B7CAC64" w14:textId="77777777" w:rsidR="00EF3CD0" w:rsidRPr="00EF3CD0" w:rsidRDefault="00EF3CD0" w:rsidP="00EF3CD0">
            <w:pPr>
              <w:spacing w:before="0" w:after="0"/>
              <w:ind w:left="0"/>
              <w:jc w:val="center"/>
              <w:rPr>
                <w:rFonts w:cs="Calibri"/>
                <w:sz w:val="16"/>
                <w:szCs w:val="16"/>
              </w:rPr>
            </w:pPr>
            <w:r w:rsidRPr="00EF3CD0">
              <w:rPr>
                <w:rFonts w:cs="Calibri"/>
                <w:sz w:val="16"/>
                <w:szCs w:val="16"/>
              </w:rPr>
              <w:t>-</w:t>
            </w:r>
          </w:p>
        </w:tc>
        <w:tc>
          <w:tcPr>
            <w:tcW w:w="580" w:type="dxa"/>
            <w:tcBorders>
              <w:top w:val="nil"/>
              <w:left w:val="nil"/>
              <w:bottom w:val="dashed" w:sz="4" w:space="0" w:color="auto"/>
              <w:right w:val="nil"/>
            </w:tcBorders>
            <w:noWrap/>
            <w:vAlign w:val="bottom"/>
            <w:hideMark/>
          </w:tcPr>
          <w:p w14:paraId="28EE6893" w14:textId="77777777" w:rsidR="00EF3CD0" w:rsidRPr="00EF3CD0" w:rsidRDefault="00EF3CD0" w:rsidP="00EF3CD0">
            <w:pPr>
              <w:spacing w:before="0" w:after="0"/>
              <w:ind w:left="0"/>
              <w:jc w:val="center"/>
              <w:rPr>
                <w:rFonts w:cs="Calibri"/>
                <w:sz w:val="16"/>
                <w:szCs w:val="16"/>
              </w:rPr>
            </w:pPr>
            <w:r w:rsidRPr="00EF3CD0">
              <w:rPr>
                <w:rFonts w:cs="Calibri"/>
                <w:sz w:val="16"/>
                <w:szCs w:val="16"/>
              </w:rPr>
              <w:t>-</w:t>
            </w:r>
          </w:p>
        </w:tc>
        <w:tc>
          <w:tcPr>
            <w:tcW w:w="640" w:type="dxa"/>
            <w:tcBorders>
              <w:top w:val="nil"/>
              <w:left w:val="nil"/>
              <w:bottom w:val="dashed" w:sz="4" w:space="0" w:color="auto"/>
              <w:right w:val="nil"/>
            </w:tcBorders>
            <w:noWrap/>
            <w:vAlign w:val="bottom"/>
            <w:hideMark/>
          </w:tcPr>
          <w:p w14:paraId="5D2E86C6" w14:textId="77777777" w:rsidR="00EF3CD0" w:rsidRPr="00EF3CD0" w:rsidRDefault="00EF3CD0" w:rsidP="00EF3CD0">
            <w:pPr>
              <w:spacing w:before="0" w:after="0"/>
              <w:ind w:left="0"/>
              <w:jc w:val="center"/>
              <w:rPr>
                <w:rFonts w:cs="Calibri"/>
                <w:sz w:val="16"/>
                <w:szCs w:val="16"/>
              </w:rPr>
            </w:pPr>
            <w:r w:rsidRPr="00EF3CD0">
              <w:rPr>
                <w:rFonts w:cs="Calibri"/>
                <w:sz w:val="16"/>
                <w:szCs w:val="16"/>
              </w:rPr>
              <w:t>-</w:t>
            </w:r>
          </w:p>
        </w:tc>
        <w:tc>
          <w:tcPr>
            <w:tcW w:w="720" w:type="dxa"/>
            <w:tcBorders>
              <w:top w:val="nil"/>
              <w:left w:val="nil"/>
              <w:bottom w:val="dashed" w:sz="4" w:space="0" w:color="auto"/>
              <w:right w:val="nil"/>
            </w:tcBorders>
            <w:noWrap/>
            <w:vAlign w:val="bottom"/>
            <w:hideMark/>
          </w:tcPr>
          <w:p w14:paraId="5CF53CAF" w14:textId="77777777" w:rsidR="00EF3CD0" w:rsidRPr="00EF3CD0" w:rsidRDefault="00EF3CD0" w:rsidP="00EF3CD0">
            <w:pPr>
              <w:spacing w:before="0" w:after="0"/>
              <w:ind w:left="0"/>
              <w:jc w:val="right"/>
              <w:rPr>
                <w:rFonts w:cs="Calibri"/>
                <w:sz w:val="16"/>
                <w:szCs w:val="16"/>
              </w:rPr>
            </w:pPr>
            <w:r w:rsidRPr="00EF3CD0">
              <w:rPr>
                <w:rFonts w:cs="Calibri"/>
                <w:sz w:val="16"/>
                <w:szCs w:val="16"/>
              </w:rPr>
              <w:t>1,380</w:t>
            </w:r>
          </w:p>
        </w:tc>
        <w:tc>
          <w:tcPr>
            <w:tcW w:w="860" w:type="dxa"/>
            <w:tcBorders>
              <w:top w:val="nil"/>
              <w:left w:val="nil"/>
              <w:bottom w:val="dashed" w:sz="4" w:space="0" w:color="auto"/>
              <w:right w:val="nil"/>
            </w:tcBorders>
            <w:noWrap/>
            <w:vAlign w:val="bottom"/>
            <w:hideMark/>
          </w:tcPr>
          <w:p w14:paraId="4725EED9" w14:textId="77777777" w:rsidR="00EF3CD0" w:rsidRPr="00EF3CD0" w:rsidRDefault="00EF3CD0" w:rsidP="00EF3CD0">
            <w:pPr>
              <w:spacing w:before="0" w:after="0"/>
              <w:ind w:left="0"/>
              <w:jc w:val="center"/>
              <w:rPr>
                <w:rFonts w:cs="Calibri"/>
                <w:sz w:val="16"/>
                <w:szCs w:val="16"/>
              </w:rPr>
            </w:pPr>
            <w:r w:rsidRPr="00EF3CD0">
              <w:rPr>
                <w:rFonts w:cs="Calibri"/>
                <w:sz w:val="16"/>
                <w:szCs w:val="16"/>
              </w:rPr>
              <w:t>-</w:t>
            </w:r>
          </w:p>
        </w:tc>
        <w:tc>
          <w:tcPr>
            <w:tcW w:w="420" w:type="dxa"/>
            <w:tcBorders>
              <w:top w:val="nil"/>
              <w:left w:val="nil"/>
              <w:bottom w:val="dashed" w:sz="4" w:space="0" w:color="auto"/>
              <w:right w:val="nil"/>
            </w:tcBorders>
            <w:noWrap/>
            <w:vAlign w:val="bottom"/>
            <w:hideMark/>
          </w:tcPr>
          <w:p w14:paraId="1548DC8B" w14:textId="77777777" w:rsidR="00EF3CD0" w:rsidRPr="00EF3CD0" w:rsidRDefault="00EF3CD0" w:rsidP="00EF3CD0">
            <w:pPr>
              <w:spacing w:before="0" w:after="0"/>
              <w:ind w:left="0"/>
              <w:jc w:val="center"/>
              <w:rPr>
                <w:rFonts w:cs="Calibri"/>
                <w:sz w:val="16"/>
                <w:szCs w:val="16"/>
              </w:rPr>
            </w:pPr>
            <w:r w:rsidRPr="00EF3CD0">
              <w:rPr>
                <w:rFonts w:cs="Calibri"/>
                <w:sz w:val="16"/>
                <w:szCs w:val="16"/>
              </w:rPr>
              <w:t>-</w:t>
            </w:r>
          </w:p>
        </w:tc>
        <w:tc>
          <w:tcPr>
            <w:tcW w:w="380" w:type="dxa"/>
            <w:tcBorders>
              <w:top w:val="nil"/>
              <w:left w:val="nil"/>
              <w:bottom w:val="dashed" w:sz="4" w:space="0" w:color="auto"/>
              <w:right w:val="nil"/>
            </w:tcBorders>
            <w:noWrap/>
            <w:vAlign w:val="bottom"/>
            <w:hideMark/>
          </w:tcPr>
          <w:p w14:paraId="27416E94" w14:textId="77777777" w:rsidR="00EF3CD0" w:rsidRPr="00EF3CD0" w:rsidRDefault="00EF3CD0" w:rsidP="00EF3CD0">
            <w:pPr>
              <w:spacing w:before="0" w:after="0"/>
              <w:ind w:left="0"/>
              <w:jc w:val="center"/>
              <w:rPr>
                <w:rFonts w:cs="Calibri"/>
                <w:sz w:val="16"/>
                <w:szCs w:val="16"/>
              </w:rPr>
            </w:pPr>
            <w:r w:rsidRPr="00EF3CD0">
              <w:rPr>
                <w:rFonts w:cs="Calibri"/>
                <w:sz w:val="16"/>
                <w:szCs w:val="16"/>
              </w:rPr>
              <w:t>-</w:t>
            </w:r>
          </w:p>
        </w:tc>
        <w:tc>
          <w:tcPr>
            <w:tcW w:w="347" w:type="dxa"/>
            <w:tcBorders>
              <w:top w:val="nil"/>
              <w:left w:val="nil"/>
              <w:bottom w:val="dashed" w:sz="4" w:space="0" w:color="auto"/>
              <w:right w:val="nil"/>
            </w:tcBorders>
            <w:noWrap/>
            <w:vAlign w:val="bottom"/>
            <w:hideMark/>
          </w:tcPr>
          <w:p w14:paraId="143BF271" w14:textId="77777777" w:rsidR="00EF3CD0" w:rsidRPr="00EF3CD0" w:rsidRDefault="00EF3CD0" w:rsidP="00EF3CD0">
            <w:pPr>
              <w:spacing w:before="0" w:after="0"/>
              <w:ind w:left="0"/>
              <w:jc w:val="center"/>
              <w:rPr>
                <w:rFonts w:cs="Calibri"/>
                <w:sz w:val="16"/>
                <w:szCs w:val="16"/>
              </w:rPr>
            </w:pPr>
            <w:r w:rsidRPr="00EF3CD0">
              <w:rPr>
                <w:rFonts w:cs="Calibri"/>
                <w:sz w:val="16"/>
                <w:szCs w:val="16"/>
              </w:rPr>
              <w:t>-</w:t>
            </w:r>
          </w:p>
        </w:tc>
        <w:tc>
          <w:tcPr>
            <w:tcW w:w="800" w:type="dxa"/>
            <w:tcBorders>
              <w:top w:val="nil"/>
              <w:left w:val="nil"/>
              <w:bottom w:val="dashed" w:sz="4" w:space="0" w:color="auto"/>
              <w:right w:val="nil"/>
            </w:tcBorders>
            <w:noWrap/>
            <w:vAlign w:val="bottom"/>
            <w:hideMark/>
          </w:tcPr>
          <w:p w14:paraId="5AD0A840" w14:textId="77777777" w:rsidR="00EF3CD0" w:rsidRPr="00EF3CD0" w:rsidRDefault="00EF3CD0" w:rsidP="00EF3CD0">
            <w:pPr>
              <w:spacing w:before="0" w:after="0"/>
              <w:ind w:left="0"/>
              <w:jc w:val="center"/>
              <w:rPr>
                <w:rFonts w:cs="Calibri"/>
                <w:sz w:val="16"/>
                <w:szCs w:val="16"/>
              </w:rPr>
            </w:pPr>
            <w:r w:rsidRPr="00EF3CD0">
              <w:rPr>
                <w:rFonts w:cs="Calibri"/>
                <w:sz w:val="16"/>
                <w:szCs w:val="16"/>
              </w:rPr>
              <w:t>-</w:t>
            </w:r>
          </w:p>
        </w:tc>
      </w:tr>
      <w:tr w:rsidR="00EF3CD0" w:rsidRPr="00EF3CD0" w14:paraId="1AA1A39D" w14:textId="77777777" w:rsidTr="00F937DD">
        <w:trPr>
          <w:trHeight w:val="210"/>
        </w:trPr>
        <w:tc>
          <w:tcPr>
            <w:tcW w:w="1078" w:type="dxa"/>
            <w:tcBorders>
              <w:top w:val="nil"/>
              <w:left w:val="nil"/>
              <w:bottom w:val="dashed" w:sz="4" w:space="0" w:color="auto"/>
              <w:right w:val="nil"/>
            </w:tcBorders>
            <w:noWrap/>
            <w:vAlign w:val="bottom"/>
            <w:hideMark/>
          </w:tcPr>
          <w:p w14:paraId="78D0996A" w14:textId="77777777" w:rsidR="00EF3CD0" w:rsidRPr="00EF3CD0" w:rsidRDefault="00EF3CD0" w:rsidP="00EF3CD0">
            <w:pPr>
              <w:spacing w:before="0" w:after="0"/>
              <w:ind w:left="0"/>
              <w:jc w:val="left"/>
              <w:rPr>
                <w:rFonts w:cs="Calibri"/>
                <w:sz w:val="16"/>
                <w:szCs w:val="16"/>
              </w:rPr>
            </w:pPr>
            <w:r w:rsidRPr="00EF3CD0">
              <w:rPr>
                <w:rFonts w:cs="Calibri"/>
                <w:sz w:val="16"/>
                <w:szCs w:val="16"/>
              </w:rPr>
              <w:t>T.02-4</w:t>
            </w:r>
          </w:p>
        </w:tc>
        <w:tc>
          <w:tcPr>
            <w:tcW w:w="1184" w:type="dxa"/>
            <w:tcBorders>
              <w:top w:val="nil"/>
              <w:left w:val="nil"/>
              <w:bottom w:val="dashed" w:sz="4" w:space="0" w:color="auto"/>
              <w:right w:val="nil"/>
            </w:tcBorders>
            <w:noWrap/>
            <w:vAlign w:val="bottom"/>
            <w:hideMark/>
          </w:tcPr>
          <w:p w14:paraId="759A5D42" w14:textId="77777777" w:rsidR="00EF3CD0" w:rsidRPr="00EF3CD0" w:rsidRDefault="00EF3CD0" w:rsidP="00EF3CD0">
            <w:pPr>
              <w:spacing w:before="0" w:after="0"/>
              <w:ind w:left="0"/>
              <w:jc w:val="left"/>
              <w:rPr>
                <w:rFonts w:cs="Calibri"/>
                <w:sz w:val="16"/>
                <w:szCs w:val="16"/>
              </w:rPr>
            </w:pPr>
            <w:r w:rsidRPr="00EF3CD0">
              <w:rPr>
                <w:rFonts w:cs="Calibri"/>
                <w:sz w:val="16"/>
                <w:szCs w:val="16"/>
              </w:rPr>
              <w:t>SV</w:t>
            </w:r>
          </w:p>
        </w:tc>
        <w:tc>
          <w:tcPr>
            <w:tcW w:w="587" w:type="dxa"/>
            <w:tcBorders>
              <w:top w:val="nil"/>
              <w:left w:val="nil"/>
              <w:bottom w:val="dashed" w:sz="4" w:space="0" w:color="auto"/>
              <w:right w:val="nil"/>
            </w:tcBorders>
            <w:noWrap/>
            <w:vAlign w:val="bottom"/>
            <w:hideMark/>
          </w:tcPr>
          <w:p w14:paraId="3DF8A097" w14:textId="77777777" w:rsidR="00EF3CD0" w:rsidRPr="00EF3CD0" w:rsidRDefault="00EF3CD0" w:rsidP="00EF3CD0">
            <w:pPr>
              <w:spacing w:before="0" w:after="0"/>
              <w:ind w:left="0"/>
              <w:jc w:val="right"/>
              <w:rPr>
                <w:rFonts w:cs="Calibri"/>
                <w:b/>
                <w:bCs/>
                <w:sz w:val="16"/>
                <w:szCs w:val="16"/>
              </w:rPr>
            </w:pPr>
            <w:r w:rsidRPr="00EF3CD0">
              <w:rPr>
                <w:rFonts w:cs="Calibri"/>
                <w:b/>
                <w:bCs/>
                <w:sz w:val="16"/>
                <w:szCs w:val="16"/>
              </w:rPr>
              <w:t>0,218</w:t>
            </w:r>
          </w:p>
        </w:tc>
        <w:tc>
          <w:tcPr>
            <w:tcW w:w="580" w:type="dxa"/>
            <w:tcBorders>
              <w:top w:val="nil"/>
              <w:left w:val="nil"/>
              <w:bottom w:val="dashed" w:sz="4" w:space="0" w:color="auto"/>
              <w:right w:val="nil"/>
            </w:tcBorders>
            <w:noWrap/>
            <w:vAlign w:val="bottom"/>
            <w:hideMark/>
          </w:tcPr>
          <w:p w14:paraId="0635A530" w14:textId="77777777" w:rsidR="00EF3CD0" w:rsidRPr="00EF3CD0" w:rsidRDefault="00EF3CD0" w:rsidP="00EF3CD0">
            <w:pPr>
              <w:spacing w:before="0" w:after="0"/>
              <w:ind w:left="0"/>
              <w:jc w:val="center"/>
              <w:rPr>
                <w:rFonts w:cs="Calibri"/>
                <w:sz w:val="16"/>
                <w:szCs w:val="16"/>
              </w:rPr>
            </w:pPr>
            <w:r w:rsidRPr="00EF3CD0">
              <w:rPr>
                <w:rFonts w:cs="Calibri"/>
                <w:sz w:val="16"/>
                <w:szCs w:val="16"/>
              </w:rPr>
              <w:t>-</w:t>
            </w:r>
          </w:p>
        </w:tc>
        <w:tc>
          <w:tcPr>
            <w:tcW w:w="760" w:type="dxa"/>
            <w:tcBorders>
              <w:top w:val="nil"/>
              <w:left w:val="nil"/>
              <w:bottom w:val="dashed" w:sz="4" w:space="0" w:color="auto"/>
              <w:right w:val="nil"/>
            </w:tcBorders>
            <w:noWrap/>
            <w:vAlign w:val="bottom"/>
            <w:hideMark/>
          </w:tcPr>
          <w:p w14:paraId="530EDE3B" w14:textId="77777777" w:rsidR="00EF3CD0" w:rsidRPr="00EF3CD0" w:rsidRDefault="00EF3CD0" w:rsidP="00EF3CD0">
            <w:pPr>
              <w:spacing w:before="0" w:after="0"/>
              <w:ind w:left="0"/>
              <w:jc w:val="center"/>
              <w:rPr>
                <w:rFonts w:cs="Calibri"/>
                <w:sz w:val="16"/>
                <w:szCs w:val="16"/>
              </w:rPr>
            </w:pPr>
            <w:r w:rsidRPr="00EF3CD0">
              <w:rPr>
                <w:rFonts w:cs="Calibri"/>
                <w:sz w:val="16"/>
                <w:szCs w:val="16"/>
              </w:rPr>
              <w:t>-</w:t>
            </w:r>
          </w:p>
        </w:tc>
        <w:tc>
          <w:tcPr>
            <w:tcW w:w="580" w:type="dxa"/>
            <w:tcBorders>
              <w:top w:val="nil"/>
              <w:left w:val="nil"/>
              <w:bottom w:val="dashed" w:sz="4" w:space="0" w:color="auto"/>
              <w:right w:val="nil"/>
            </w:tcBorders>
            <w:noWrap/>
            <w:vAlign w:val="bottom"/>
            <w:hideMark/>
          </w:tcPr>
          <w:p w14:paraId="7C705552" w14:textId="77777777" w:rsidR="00EF3CD0" w:rsidRPr="00EF3CD0" w:rsidRDefault="00EF3CD0" w:rsidP="00EF3CD0">
            <w:pPr>
              <w:spacing w:before="0" w:after="0"/>
              <w:ind w:left="0"/>
              <w:jc w:val="center"/>
              <w:rPr>
                <w:rFonts w:cs="Calibri"/>
                <w:sz w:val="16"/>
                <w:szCs w:val="16"/>
              </w:rPr>
            </w:pPr>
            <w:r w:rsidRPr="00EF3CD0">
              <w:rPr>
                <w:rFonts w:cs="Calibri"/>
                <w:sz w:val="16"/>
                <w:szCs w:val="16"/>
              </w:rPr>
              <w:t>-</w:t>
            </w:r>
          </w:p>
        </w:tc>
        <w:tc>
          <w:tcPr>
            <w:tcW w:w="640" w:type="dxa"/>
            <w:tcBorders>
              <w:top w:val="nil"/>
              <w:left w:val="nil"/>
              <w:bottom w:val="dashed" w:sz="4" w:space="0" w:color="auto"/>
              <w:right w:val="nil"/>
            </w:tcBorders>
            <w:noWrap/>
            <w:vAlign w:val="bottom"/>
            <w:hideMark/>
          </w:tcPr>
          <w:p w14:paraId="7C862D76" w14:textId="77777777" w:rsidR="00EF3CD0" w:rsidRPr="00EF3CD0" w:rsidRDefault="00EF3CD0" w:rsidP="00EF3CD0">
            <w:pPr>
              <w:spacing w:before="0" w:after="0"/>
              <w:ind w:left="0"/>
              <w:jc w:val="center"/>
              <w:rPr>
                <w:rFonts w:cs="Calibri"/>
                <w:sz w:val="16"/>
                <w:szCs w:val="16"/>
              </w:rPr>
            </w:pPr>
            <w:r w:rsidRPr="00EF3CD0">
              <w:rPr>
                <w:rFonts w:cs="Calibri"/>
                <w:sz w:val="16"/>
                <w:szCs w:val="16"/>
              </w:rPr>
              <w:t>-</w:t>
            </w:r>
          </w:p>
        </w:tc>
        <w:tc>
          <w:tcPr>
            <w:tcW w:w="720" w:type="dxa"/>
            <w:tcBorders>
              <w:top w:val="nil"/>
              <w:left w:val="nil"/>
              <w:bottom w:val="dashed" w:sz="4" w:space="0" w:color="auto"/>
              <w:right w:val="nil"/>
            </w:tcBorders>
            <w:noWrap/>
            <w:vAlign w:val="bottom"/>
            <w:hideMark/>
          </w:tcPr>
          <w:p w14:paraId="428AFFAD" w14:textId="77777777" w:rsidR="00EF3CD0" w:rsidRPr="00EF3CD0" w:rsidRDefault="00EF3CD0" w:rsidP="00EF3CD0">
            <w:pPr>
              <w:spacing w:before="0" w:after="0"/>
              <w:ind w:left="0"/>
              <w:jc w:val="right"/>
              <w:rPr>
                <w:rFonts w:cs="Calibri"/>
                <w:sz w:val="16"/>
                <w:szCs w:val="16"/>
              </w:rPr>
            </w:pPr>
            <w:r w:rsidRPr="00EF3CD0">
              <w:rPr>
                <w:rFonts w:cs="Calibri"/>
                <w:sz w:val="16"/>
                <w:szCs w:val="16"/>
              </w:rPr>
              <w:t>0,218</w:t>
            </w:r>
          </w:p>
        </w:tc>
        <w:tc>
          <w:tcPr>
            <w:tcW w:w="860" w:type="dxa"/>
            <w:tcBorders>
              <w:top w:val="nil"/>
              <w:left w:val="nil"/>
              <w:bottom w:val="dashed" w:sz="4" w:space="0" w:color="auto"/>
              <w:right w:val="nil"/>
            </w:tcBorders>
            <w:noWrap/>
            <w:vAlign w:val="bottom"/>
            <w:hideMark/>
          </w:tcPr>
          <w:p w14:paraId="697F7AC5" w14:textId="77777777" w:rsidR="00EF3CD0" w:rsidRPr="00EF3CD0" w:rsidRDefault="00EF3CD0" w:rsidP="00EF3CD0">
            <w:pPr>
              <w:spacing w:before="0" w:after="0"/>
              <w:ind w:left="0"/>
              <w:jc w:val="center"/>
              <w:rPr>
                <w:rFonts w:cs="Calibri"/>
                <w:sz w:val="16"/>
                <w:szCs w:val="16"/>
              </w:rPr>
            </w:pPr>
            <w:r w:rsidRPr="00EF3CD0">
              <w:rPr>
                <w:rFonts w:cs="Calibri"/>
                <w:sz w:val="16"/>
                <w:szCs w:val="16"/>
              </w:rPr>
              <w:t>-</w:t>
            </w:r>
          </w:p>
        </w:tc>
        <w:tc>
          <w:tcPr>
            <w:tcW w:w="420" w:type="dxa"/>
            <w:tcBorders>
              <w:top w:val="nil"/>
              <w:left w:val="nil"/>
              <w:bottom w:val="dashed" w:sz="4" w:space="0" w:color="auto"/>
              <w:right w:val="nil"/>
            </w:tcBorders>
            <w:noWrap/>
            <w:vAlign w:val="bottom"/>
            <w:hideMark/>
          </w:tcPr>
          <w:p w14:paraId="5A95B91F" w14:textId="77777777" w:rsidR="00EF3CD0" w:rsidRPr="00EF3CD0" w:rsidRDefault="00EF3CD0" w:rsidP="00EF3CD0">
            <w:pPr>
              <w:spacing w:before="0" w:after="0"/>
              <w:ind w:left="0"/>
              <w:jc w:val="center"/>
              <w:rPr>
                <w:rFonts w:cs="Calibri"/>
                <w:sz w:val="16"/>
                <w:szCs w:val="16"/>
              </w:rPr>
            </w:pPr>
            <w:r w:rsidRPr="00EF3CD0">
              <w:rPr>
                <w:rFonts w:cs="Calibri"/>
                <w:sz w:val="16"/>
                <w:szCs w:val="16"/>
              </w:rPr>
              <w:t>-</w:t>
            </w:r>
          </w:p>
        </w:tc>
        <w:tc>
          <w:tcPr>
            <w:tcW w:w="380" w:type="dxa"/>
            <w:tcBorders>
              <w:top w:val="nil"/>
              <w:left w:val="nil"/>
              <w:bottom w:val="dashed" w:sz="4" w:space="0" w:color="auto"/>
              <w:right w:val="nil"/>
            </w:tcBorders>
            <w:noWrap/>
            <w:vAlign w:val="bottom"/>
            <w:hideMark/>
          </w:tcPr>
          <w:p w14:paraId="3CEBC722" w14:textId="77777777" w:rsidR="00EF3CD0" w:rsidRPr="00EF3CD0" w:rsidRDefault="00EF3CD0" w:rsidP="00EF3CD0">
            <w:pPr>
              <w:spacing w:before="0" w:after="0"/>
              <w:ind w:left="0"/>
              <w:jc w:val="center"/>
              <w:rPr>
                <w:rFonts w:cs="Calibri"/>
                <w:sz w:val="16"/>
                <w:szCs w:val="16"/>
              </w:rPr>
            </w:pPr>
            <w:r w:rsidRPr="00EF3CD0">
              <w:rPr>
                <w:rFonts w:cs="Calibri"/>
                <w:sz w:val="16"/>
                <w:szCs w:val="16"/>
              </w:rPr>
              <w:t>-</w:t>
            </w:r>
          </w:p>
        </w:tc>
        <w:tc>
          <w:tcPr>
            <w:tcW w:w="347" w:type="dxa"/>
            <w:tcBorders>
              <w:top w:val="nil"/>
              <w:left w:val="nil"/>
              <w:bottom w:val="dashed" w:sz="4" w:space="0" w:color="auto"/>
              <w:right w:val="nil"/>
            </w:tcBorders>
            <w:noWrap/>
            <w:vAlign w:val="bottom"/>
            <w:hideMark/>
          </w:tcPr>
          <w:p w14:paraId="3C433A45" w14:textId="77777777" w:rsidR="00EF3CD0" w:rsidRPr="00EF3CD0" w:rsidRDefault="00EF3CD0" w:rsidP="00EF3CD0">
            <w:pPr>
              <w:spacing w:before="0" w:after="0"/>
              <w:ind w:left="0"/>
              <w:jc w:val="center"/>
              <w:rPr>
                <w:rFonts w:cs="Calibri"/>
                <w:sz w:val="16"/>
                <w:szCs w:val="16"/>
              </w:rPr>
            </w:pPr>
            <w:r w:rsidRPr="00EF3CD0">
              <w:rPr>
                <w:rFonts w:cs="Calibri"/>
                <w:sz w:val="16"/>
                <w:szCs w:val="16"/>
              </w:rPr>
              <w:t>-</w:t>
            </w:r>
          </w:p>
        </w:tc>
        <w:tc>
          <w:tcPr>
            <w:tcW w:w="800" w:type="dxa"/>
            <w:tcBorders>
              <w:top w:val="nil"/>
              <w:left w:val="nil"/>
              <w:bottom w:val="dashed" w:sz="4" w:space="0" w:color="auto"/>
              <w:right w:val="nil"/>
            </w:tcBorders>
            <w:noWrap/>
            <w:vAlign w:val="bottom"/>
            <w:hideMark/>
          </w:tcPr>
          <w:p w14:paraId="7A1F3783" w14:textId="77777777" w:rsidR="00EF3CD0" w:rsidRPr="00EF3CD0" w:rsidRDefault="00EF3CD0" w:rsidP="00EF3CD0">
            <w:pPr>
              <w:spacing w:before="0" w:after="0"/>
              <w:ind w:left="0"/>
              <w:jc w:val="center"/>
              <w:rPr>
                <w:rFonts w:cs="Calibri"/>
                <w:sz w:val="16"/>
                <w:szCs w:val="16"/>
              </w:rPr>
            </w:pPr>
            <w:r w:rsidRPr="00EF3CD0">
              <w:rPr>
                <w:rFonts w:cs="Calibri"/>
                <w:sz w:val="16"/>
                <w:szCs w:val="16"/>
              </w:rPr>
              <w:t>-</w:t>
            </w:r>
          </w:p>
        </w:tc>
      </w:tr>
      <w:tr w:rsidR="00EF3CD0" w:rsidRPr="00EF3CD0" w14:paraId="43EFA972" w14:textId="77777777" w:rsidTr="00F937DD">
        <w:trPr>
          <w:trHeight w:val="210"/>
        </w:trPr>
        <w:tc>
          <w:tcPr>
            <w:tcW w:w="1078" w:type="dxa"/>
            <w:tcBorders>
              <w:top w:val="nil"/>
              <w:left w:val="nil"/>
              <w:bottom w:val="dashed" w:sz="4" w:space="0" w:color="auto"/>
              <w:right w:val="nil"/>
            </w:tcBorders>
            <w:noWrap/>
            <w:vAlign w:val="bottom"/>
            <w:hideMark/>
          </w:tcPr>
          <w:p w14:paraId="460E7DCD" w14:textId="77777777" w:rsidR="00EF3CD0" w:rsidRPr="00EF3CD0" w:rsidRDefault="00EF3CD0" w:rsidP="00EF3CD0">
            <w:pPr>
              <w:spacing w:before="0" w:after="0"/>
              <w:ind w:left="0"/>
              <w:jc w:val="left"/>
              <w:rPr>
                <w:rFonts w:cs="Calibri"/>
                <w:sz w:val="16"/>
                <w:szCs w:val="16"/>
              </w:rPr>
            </w:pPr>
            <w:r w:rsidRPr="00EF3CD0">
              <w:rPr>
                <w:rFonts w:cs="Calibri"/>
                <w:sz w:val="16"/>
                <w:szCs w:val="16"/>
              </w:rPr>
              <w:t>T.03-1</w:t>
            </w:r>
          </w:p>
        </w:tc>
        <w:tc>
          <w:tcPr>
            <w:tcW w:w="1184" w:type="dxa"/>
            <w:tcBorders>
              <w:top w:val="nil"/>
              <w:left w:val="nil"/>
              <w:bottom w:val="dashed" w:sz="4" w:space="0" w:color="auto"/>
              <w:right w:val="nil"/>
            </w:tcBorders>
            <w:noWrap/>
            <w:vAlign w:val="bottom"/>
            <w:hideMark/>
          </w:tcPr>
          <w:p w14:paraId="34FCEB0E" w14:textId="77777777" w:rsidR="00EF3CD0" w:rsidRPr="00EF3CD0" w:rsidRDefault="00EF3CD0" w:rsidP="00EF3CD0">
            <w:pPr>
              <w:spacing w:before="0" w:after="0"/>
              <w:ind w:left="0"/>
              <w:jc w:val="left"/>
              <w:rPr>
                <w:rFonts w:cs="Calibri"/>
                <w:sz w:val="16"/>
                <w:szCs w:val="16"/>
              </w:rPr>
            </w:pPr>
            <w:r w:rsidRPr="00EF3CD0">
              <w:rPr>
                <w:rFonts w:cs="Calibri"/>
                <w:sz w:val="16"/>
                <w:szCs w:val="16"/>
              </w:rPr>
              <w:t>SV</w:t>
            </w:r>
          </w:p>
        </w:tc>
        <w:tc>
          <w:tcPr>
            <w:tcW w:w="587" w:type="dxa"/>
            <w:tcBorders>
              <w:top w:val="nil"/>
              <w:left w:val="nil"/>
              <w:bottom w:val="dashed" w:sz="4" w:space="0" w:color="auto"/>
              <w:right w:val="nil"/>
            </w:tcBorders>
            <w:noWrap/>
            <w:vAlign w:val="bottom"/>
            <w:hideMark/>
          </w:tcPr>
          <w:p w14:paraId="65D239CC" w14:textId="77777777" w:rsidR="00EF3CD0" w:rsidRPr="00EF3CD0" w:rsidRDefault="00EF3CD0" w:rsidP="00EF3CD0">
            <w:pPr>
              <w:spacing w:before="0" w:after="0"/>
              <w:ind w:left="0"/>
              <w:jc w:val="right"/>
              <w:rPr>
                <w:rFonts w:cs="Calibri"/>
                <w:b/>
                <w:bCs/>
                <w:sz w:val="16"/>
                <w:szCs w:val="16"/>
              </w:rPr>
            </w:pPr>
            <w:r w:rsidRPr="00EF3CD0">
              <w:rPr>
                <w:rFonts w:cs="Calibri"/>
                <w:b/>
                <w:bCs/>
                <w:sz w:val="16"/>
                <w:szCs w:val="16"/>
              </w:rPr>
              <w:t>0,505</w:t>
            </w:r>
          </w:p>
        </w:tc>
        <w:tc>
          <w:tcPr>
            <w:tcW w:w="580" w:type="dxa"/>
            <w:tcBorders>
              <w:top w:val="nil"/>
              <w:left w:val="nil"/>
              <w:bottom w:val="dashed" w:sz="4" w:space="0" w:color="auto"/>
              <w:right w:val="nil"/>
            </w:tcBorders>
            <w:noWrap/>
            <w:vAlign w:val="bottom"/>
            <w:hideMark/>
          </w:tcPr>
          <w:p w14:paraId="4D002C69" w14:textId="77777777" w:rsidR="00EF3CD0" w:rsidRPr="00EF3CD0" w:rsidRDefault="00EF3CD0" w:rsidP="00EF3CD0">
            <w:pPr>
              <w:spacing w:before="0" w:after="0"/>
              <w:ind w:left="0"/>
              <w:jc w:val="center"/>
              <w:rPr>
                <w:rFonts w:cs="Calibri"/>
                <w:sz w:val="16"/>
                <w:szCs w:val="16"/>
              </w:rPr>
            </w:pPr>
            <w:r w:rsidRPr="00EF3CD0">
              <w:rPr>
                <w:rFonts w:cs="Calibri"/>
                <w:sz w:val="16"/>
                <w:szCs w:val="16"/>
              </w:rPr>
              <w:t>-</w:t>
            </w:r>
          </w:p>
        </w:tc>
        <w:tc>
          <w:tcPr>
            <w:tcW w:w="760" w:type="dxa"/>
            <w:tcBorders>
              <w:top w:val="nil"/>
              <w:left w:val="nil"/>
              <w:bottom w:val="dashed" w:sz="4" w:space="0" w:color="auto"/>
              <w:right w:val="nil"/>
            </w:tcBorders>
            <w:noWrap/>
            <w:vAlign w:val="bottom"/>
            <w:hideMark/>
          </w:tcPr>
          <w:p w14:paraId="1AB4A82A" w14:textId="77777777" w:rsidR="00EF3CD0" w:rsidRPr="00EF3CD0" w:rsidRDefault="00EF3CD0" w:rsidP="00EF3CD0">
            <w:pPr>
              <w:spacing w:before="0" w:after="0"/>
              <w:ind w:left="0"/>
              <w:jc w:val="center"/>
              <w:rPr>
                <w:rFonts w:cs="Calibri"/>
                <w:sz w:val="16"/>
                <w:szCs w:val="16"/>
              </w:rPr>
            </w:pPr>
            <w:r w:rsidRPr="00EF3CD0">
              <w:rPr>
                <w:rFonts w:cs="Calibri"/>
                <w:sz w:val="16"/>
                <w:szCs w:val="16"/>
              </w:rPr>
              <w:t>-</w:t>
            </w:r>
          </w:p>
        </w:tc>
        <w:tc>
          <w:tcPr>
            <w:tcW w:w="580" w:type="dxa"/>
            <w:tcBorders>
              <w:top w:val="nil"/>
              <w:left w:val="nil"/>
              <w:bottom w:val="dashed" w:sz="4" w:space="0" w:color="auto"/>
              <w:right w:val="nil"/>
            </w:tcBorders>
            <w:noWrap/>
            <w:vAlign w:val="bottom"/>
            <w:hideMark/>
          </w:tcPr>
          <w:p w14:paraId="1FA41BF1" w14:textId="77777777" w:rsidR="00EF3CD0" w:rsidRPr="00EF3CD0" w:rsidRDefault="00EF3CD0" w:rsidP="00EF3CD0">
            <w:pPr>
              <w:spacing w:before="0" w:after="0"/>
              <w:ind w:left="0"/>
              <w:jc w:val="center"/>
              <w:rPr>
                <w:rFonts w:cs="Calibri"/>
                <w:sz w:val="16"/>
                <w:szCs w:val="16"/>
              </w:rPr>
            </w:pPr>
            <w:r w:rsidRPr="00EF3CD0">
              <w:rPr>
                <w:rFonts w:cs="Calibri"/>
                <w:sz w:val="16"/>
                <w:szCs w:val="16"/>
              </w:rPr>
              <w:t>-</w:t>
            </w:r>
          </w:p>
        </w:tc>
        <w:tc>
          <w:tcPr>
            <w:tcW w:w="640" w:type="dxa"/>
            <w:tcBorders>
              <w:top w:val="nil"/>
              <w:left w:val="nil"/>
              <w:bottom w:val="dashed" w:sz="4" w:space="0" w:color="auto"/>
              <w:right w:val="nil"/>
            </w:tcBorders>
            <w:noWrap/>
            <w:vAlign w:val="bottom"/>
            <w:hideMark/>
          </w:tcPr>
          <w:p w14:paraId="75D0A75E" w14:textId="77777777" w:rsidR="00EF3CD0" w:rsidRPr="00EF3CD0" w:rsidRDefault="00EF3CD0" w:rsidP="00EF3CD0">
            <w:pPr>
              <w:spacing w:before="0" w:after="0"/>
              <w:ind w:left="0"/>
              <w:jc w:val="center"/>
              <w:rPr>
                <w:rFonts w:cs="Calibri"/>
                <w:sz w:val="16"/>
                <w:szCs w:val="16"/>
              </w:rPr>
            </w:pPr>
            <w:r w:rsidRPr="00EF3CD0">
              <w:rPr>
                <w:rFonts w:cs="Calibri"/>
                <w:sz w:val="16"/>
                <w:szCs w:val="16"/>
              </w:rPr>
              <w:t>-</w:t>
            </w:r>
          </w:p>
        </w:tc>
        <w:tc>
          <w:tcPr>
            <w:tcW w:w="720" w:type="dxa"/>
            <w:tcBorders>
              <w:top w:val="nil"/>
              <w:left w:val="nil"/>
              <w:bottom w:val="dashed" w:sz="4" w:space="0" w:color="auto"/>
              <w:right w:val="nil"/>
            </w:tcBorders>
            <w:noWrap/>
            <w:vAlign w:val="bottom"/>
            <w:hideMark/>
          </w:tcPr>
          <w:p w14:paraId="60B1B18A" w14:textId="77777777" w:rsidR="00EF3CD0" w:rsidRPr="00EF3CD0" w:rsidRDefault="00EF3CD0" w:rsidP="00EF3CD0">
            <w:pPr>
              <w:spacing w:before="0" w:after="0"/>
              <w:ind w:left="0"/>
              <w:jc w:val="right"/>
              <w:rPr>
                <w:rFonts w:cs="Calibri"/>
                <w:sz w:val="16"/>
                <w:szCs w:val="16"/>
              </w:rPr>
            </w:pPr>
            <w:r w:rsidRPr="00EF3CD0">
              <w:rPr>
                <w:rFonts w:cs="Calibri"/>
                <w:sz w:val="16"/>
                <w:szCs w:val="16"/>
              </w:rPr>
              <w:t>0,505</w:t>
            </w:r>
          </w:p>
        </w:tc>
        <w:tc>
          <w:tcPr>
            <w:tcW w:w="860" w:type="dxa"/>
            <w:tcBorders>
              <w:top w:val="nil"/>
              <w:left w:val="nil"/>
              <w:bottom w:val="dashed" w:sz="4" w:space="0" w:color="auto"/>
              <w:right w:val="nil"/>
            </w:tcBorders>
            <w:noWrap/>
            <w:vAlign w:val="bottom"/>
            <w:hideMark/>
          </w:tcPr>
          <w:p w14:paraId="1BF4E6A8" w14:textId="77777777" w:rsidR="00EF3CD0" w:rsidRPr="00EF3CD0" w:rsidRDefault="00EF3CD0" w:rsidP="00EF3CD0">
            <w:pPr>
              <w:spacing w:before="0" w:after="0"/>
              <w:ind w:left="0"/>
              <w:jc w:val="center"/>
              <w:rPr>
                <w:rFonts w:cs="Calibri"/>
                <w:sz w:val="16"/>
                <w:szCs w:val="16"/>
              </w:rPr>
            </w:pPr>
            <w:r w:rsidRPr="00EF3CD0">
              <w:rPr>
                <w:rFonts w:cs="Calibri"/>
                <w:sz w:val="16"/>
                <w:szCs w:val="16"/>
              </w:rPr>
              <w:t>-</w:t>
            </w:r>
          </w:p>
        </w:tc>
        <w:tc>
          <w:tcPr>
            <w:tcW w:w="420" w:type="dxa"/>
            <w:tcBorders>
              <w:top w:val="nil"/>
              <w:left w:val="nil"/>
              <w:bottom w:val="dashed" w:sz="4" w:space="0" w:color="auto"/>
              <w:right w:val="nil"/>
            </w:tcBorders>
            <w:noWrap/>
            <w:vAlign w:val="bottom"/>
            <w:hideMark/>
          </w:tcPr>
          <w:p w14:paraId="1D41879C" w14:textId="77777777" w:rsidR="00EF3CD0" w:rsidRPr="00EF3CD0" w:rsidRDefault="00EF3CD0" w:rsidP="00EF3CD0">
            <w:pPr>
              <w:spacing w:before="0" w:after="0"/>
              <w:ind w:left="0"/>
              <w:jc w:val="center"/>
              <w:rPr>
                <w:rFonts w:cs="Calibri"/>
                <w:sz w:val="16"/>
                <w:szCs w:val="16"/>
              </w:rPr>
            </w:pPr>
            <w:r w:rsidRPr="00EF3CD0">
              <w:rPr>
                <w:rFonts w:cs="Calibri"/>
                <w:sz w:val="16"/>
                <w:szCs w:val="16"/>
              </w:rPr>
              <w:t>-</w:t>
            </w:r>
          </w:p>
        </w:tc>
        <w:tc>
          <w:tcPr>
            <w:tcW w:w="380" w:type="dxa"/>
            <w:tcBorders>
              <w:top w:val="nil"/>
              <w:left w:val="nil"/>
              <w:bottom w:val="dashed" w:sz="4" w:space="0" w:color="auto"/>
              <w:right w:val="nil"/>
            </w:tcBorders>
            <w:noWrap/>
            <w:vAlign w:val="bottom"/>
            <w:hideMark/>
          </w:tcPr>
          <w:p w14:paraId="75FC3792" w14:textId="77777777" w:rsidR="00EF3CD0" w:rsidRPr="00EF3CD0" w:rsidRDefault="00EF3CD0" w:rsidP="00EF3CD0">
            <w:pPr>
              <w:spacing w:before="0" w:after="0"/>
              <w:ind w:left="0"/>
              <w:jc w:val="center"/>
              <w:rPr>
                <w:rFonts w:cs="Calibri"/>
                <w:sz w:val="16"/>
                <w:szCs w:val="16"/>
              </w:rPr>
            </w:pPr>
            <w:r w:rsidRPr="00EF3CD0">
              <w:rPr>
                <w:rFonts w:cs="Calibri"/>
                <w:sz w:val="16"/>
                <w:szCs w:val="16"/>
              </w:rPr>
              <w:t>-</w:t>
            </w:r>
          </w:p>
        </w:tc>
        <w:tc>
          <w:tcPr>
            <w:tcW w:w="347" w:type="dxa"/>
            <w:tcBorders>
              <w:top w:val="nil"/>
              <w:left w:val="nil"/>
              <w:bottom w:val="dashed" w:sz="4" w:space="0" w:color="auto"/>
              <w:right w:val="nil"/>
            </w:tcBorders>
            <w:noWrap/>
            <w:vAlign w:val="bottom"/>
            <w:hideMark/>
          </w:tcPr>
          <w:p w14:paraId="67ECDC50" w14:textId="77777777" w:rsidR="00EF3CD0" w:rsidRPr="00EF3CD0" w:rsidRDefault="00EF3CD0" w:rsidP="00EF3CD0">
            <w:pPr>
              <w:spacing w:before="0" w:after="0"/>
              <w:ind w:left="0"/>
              <w:jc w:val="center"/>
              <w:rPr>
                <w:rFonts w:cs="Calibri"/>
                <w:sz w:val="16"/>
                <w:szCs w:val="16"/>
              </w:rPr>
            </w:pPr>
            <w:r w:rsidRPr="00EF3CD0">
              <w:rPr>
                <w:rFonts w:cs="Calibri"/>
                <w:sz w:val="16"/>
                <w:szCs w:val="16"/>
              </w:rPr>
              <w:t>-</w:t>
            </w:r>
          </w:p>
        </w:tc>
        <w:tc>
          <w:tcPr>
            <w:tcW w:w="800" w:type="dxa"/>
            <w:tcBorders>
              <w:top w:val="nil"/>
              <w:left w:val="nil"/>
              <w:bottom w:val="dashed" w:sz="4" w:space="0" w:color="auto"/>
              <w:right w:val="nil"/>
            </w:tcBorders>
            <w:noWrap/>
            <w:vAlign w:val="bottom"/>
            <w:hideMark/>
          </w:tcPr>
          <w:p w14:paraId="04CCE812" w14:textId="77777777" w:rsidR="00EF3CD0" w:rsidRPr="00EF3CD0" w:rsidRDefault="00EF3CD0" w:rsidP="00EF3CD0">
            <w:pPr>
              <w:spacing w:before="0" w:after="0"/>
              <w:ind w:left="0"/>
              <w:jc w:val="center"/>
              <w:rPr>
                <w:rFonts w:cs="Calibri"/>
                <w:sz w:val="16"/>
                <w:szCs w:val="16"/>
              </w:rPr>
            </w:pPr>
            <w:r w:rsidRPr="00EF3CD0">
              <w:rPr>
                <w:rFonts w:cs="Calibri"/>
                <w:sz w:val="16"/>
                <w:szCs w:val="16"/>
              </w:rPr>
              <w:t>-</w:t>
            </w:r>
          </w:p>
        </w:tc>
      </w:tr>
      <w:tr w:rsidR="00EF3CD0" w:rsidRPr="00EF3CD0" w14:paraId="0A22EA2C" w14:textId="77777777" w:rsidTr="00F937DD">
        <w:trPr>
          <w:trHeight w:val="225"/>
        </w:trPr>
        <w:tc>
          <w:tcPr>
            <w:tcW w:w="1078" w:type="dxa"/>
            <w:tcBorders>
              <w:top w:val="nil"/>
              <w:left w:val="nil"/>
              <w:bottom w:val="dashed" w:sz="4" w:space="0" w:color="auto"/>
              <w:right w:val="nil"/>
            </w:tcBorders>
            <w:noWrap/>
            <w:vAlign w:val="bottom"/>
            <w:hideMark/>
          </w:tcPr>
          <w:p w14:paraId="5C444903" w14:textId="77777777" w:rsidR="00EF3CD0" w:rsidRPr="00EF3CD0" w:rsidRDefault="00EF3CD0" w:rsidP="00EF3CD0">
            <w:pPr>
              <w:spacing w:before="0" w:after="0"/>
              <w:ind w:left="0"/>
              <w:jc w:val="left"/>
              <w:rPr>
                <w:rFonts w:cs="Calibri"/>
                <w:sz w:val="16"/>
                <w:szCs w:val="16"/>
              </w:rPr>
            </w:pPr>
            <w:r w:rsidRPr="00EF3CD0">
              <w:rPr>
                <w:rFonts w:cs="Calibri"/>
                <w:sz w:val="16"/>
                <w:szCs w:val="16"/>
              </w:rPr>
              <w:t>T.09-1</w:t>
            </w:r>
          </w:p>
        </w:tc>
        <w:tc>
          <w:tcPr>
            <w:tcW w:w="1184" w:type="dxa"/>
            <w:tcBorders>
              <w:top w:val="nil"/>
              <w:left w:val="nil"/>
              <w:bottom w:val="dashed" w:sz="4" w:space="0" w:color="auto"/>
              <w:right w:val="nil"/>
            </w:tcBorders>
            <w:noWrap/>
            <w:vAlign w:val="bottom"/>
            <w:hideMark/>
          </w:tcPr>
          <w:p w14:paraId="42B1E6AF" w14:textId="77777777" w:rsidR="00EF3CD0" w:rsidRPr="00EF3CD0" w:rsidRDefault="00EF3CD0" w:rsidP="00EF3CD0">
            <w:pPr>
              <w:spacing w:before="0" w:after="0"/>
              <w:ind w:left="0"/>
              <w:jc w:val="left"/>
              <w:rPr>
                <w:rFonts w:cs="Calibri"/>
                <w:sz w:val="16"/>
                <w:szCs w:val="16"/>
              </w:rPr>
            </w:pPr>
            <w:r w:rsidRPr="00EF3CD0">
              <w:rPr>
                <w:rFonts w:cs="Calibri"/>
                <w:sz w:val="16"/>
                <w:szCs w:val="16"/>
              </w:rPr>
              <w:t>SU</w:t>
            </w:r>
          </w:p>
        </w:tc>
        <w:tc>
          <w:tcPr>
            <w:tcW w:w="587" w:type="dxa"/>
            <w:tcBorders>
              <w:top w:val="nil"/>
              <w:left w:val="nil"/>
              <w:bottom w:val="dashed" w:sz="4" w:space="0" w:color="auto"/>
              <w:right w:val="nil"/>
            </w:tcBorders>
            <w:noWrap/>
            <w:vAlign w:val="bottom"/>
            <w:hideMark/>
          </w:tcPr>
          <w:p w14:paraId="3DEBA54F" w14:textId="77777777" w:rsidR="00EF3CD0" w:rsidRPr="00EF3CD0" w:rsidRDefault="00EF3CD0" w:rsidP="00EF3CD0">
            <w:pPr>
              <w:spacing w:before="0" w:after="0"/>
              <w:ind w:left="0"/>
              <w:jc w:val="right"/>
              <w:rPr>
                <w:rFonts w:cs="Calibri"/>
                <w:b/>
                <w:bCs/>
                <w:sz w:val="16"/>
                <w:szCs w:val="16"/>
              </w:rPr>
            </w:pPr>
            <w:r w:rsidRPr="00EF3CD0">
              <w:rPr>
                <w:rFonts w:cs="Calibri"/>
                <w:b/>
                <w:bCs/>
                <w:sz w:val="16"/>
                <w:szCs w:val="16"/>
              </w:rPr>
              <w:t>0,541</w:t>
            </w:r>
          </w:p>
        </w:tc>
        <w:tc>
          <w:tcPr>
            <w:tcW w:w="580" w:type="dxa"/>
            <w:tcBorders>
              <w:top w:val="nil"/>
              <w:left w:val="nil"/>
              <w:bottom w:val="dashed" w:sz="4" w:space="0" w:color="auto"/>
              <w:right w:val="nil"/>
            </w:tcBorders>
            <w:noWrap/>
            <w:vAlign w:val="bottom"/>
            <w:hideMark/>
          </w:tcPr>
          <w:p w14:paraId="1431AA75" w14:textId="77777777" w:rsidR="00EF3CD0" w:rsidRPr="00EF3CD0" w:rsidRDefault="00EF3CD0" w:rsidP="00EF3CD0">
            <w:pPr>
              <w:spacing w:before="0" w:after="0"/>
              <w:ind w:left="0"/>
              <w:jc w:val="center"/>
              <w:rPr>
                <w:rFonts w:cs="Calibri"/>
                <w:sz w:val="16"/>
                <w:szCs w:val="16"/>
              </w:rPr>
            </w:pPr>
            <w:r w:rsidRPr="00EF3CD0">
              <w:rPr>
                <w:rFonts w:cs="Calibri"/>
                <w:sz w:val="16"/>
                <w:szCs w:val="16"/>
              </w:rPr>
              <w:t>-</w:t>
            </w:r>
          </w:p>
        </w:tc>
        <w:tc>
          <w:tcPr>
            <w:tcW w:w="760" w:type="dxa"/>
            <w:tcBorders>
              <w:top w:val="nil"/>
              <w:left w:val="nil"/>
              <w:bottom w:val="dashed" w:sz="4" w:space="0" w:color="auto"/>
              <w:right w:val="nil"/>
            </w:tcBorders>
            <w:noWrap/>
            <w:vAlign w:val="bottom"/>
            <w:hideMark/>
          </w:tcPr>
          <w:p w14:paraId="50650D6A" w14:textId="77777777" w:rsidR="00EF3CD0" w:rsidRPr="00EF3CD0" w:rsidRDefault="00EF3CD0" w:rsidP="00EF3CD0">
            <w:pPr>
              <w:spacing w:before="0" w:after="0"/>
              <w:ind w:left="0"/>
              <w:jc w:val="right"/>
              <w:rPr>
                <w:rFonts w:cs="Calibri"/>
                <w:sz w:val="16"/>
                <w:szCs w:val="16"/>
              </w:rPr>
            </w:pPr>
            <w:r w:rsidRPr="00EF3CD0">
              <w:rPr>
                <w:rFonts w:cs="Calibri"/>
                <w:sz w:val="16"/>
                <w:szCs w:val="16"/>
              </w:rPr>
              <w:t>0,384</w:t>
            </w:r>
          </w:p>
        </w:tc>
        <w:tc>
          <w:tcPr>
            <w:tcW w:w="580" w:type="dxa"/>
            <w:tcBorders>
              <w:top w:val="nil"/>
              <w:left w:val="nil"/>
              <w:bottom w:val="dashed" w:sz="4" w:space="0" w:color="auto"/>
              <w:right w:val="nil"/>
            </w:tcBorders>
            <w:noWrap/>
            <w:vAlign w:val="bottom"/>
            <w:hideMark/>
          </w:tcPr>
          <w:p w14:paraId="4FC07D37" w14:textId="77777777" w:rsidR="00EF3CD0" w:rsidRPr="00EF3CD0" w:rsidRDefault="00EF3CD0" w:rsidP="00EF3CD0">
            <w:pPr>
              <w:spacing w:before="0" w:after="0"/>
              <w:ind w:left="0"/>
              <w:jc w:val="center"/>
              <w:rPr>
                <w:rFonts w:cs="Calibri"/>
                <w:sz w:val="16"/>
                <w:szCs w:val="16"/>
              </w:rPr>
            </w:pPr>
            <w:r w:rsidRPr="00EF3CD0">
              <w:rPr>
                <w:rFonts w:cs="Calibri"/>
                <w:sz w:val="16"/>
                <w:szCs w:val="16"/>
              </w:rPr>
              <w:t>-</w:t>
            </w:r>
          </w:p>
        </w:tc>
        <w:tc>
          <w:tcPr>
            <w:tcW w:w="640" w:type="dxa"/>
            <w:tcBorders>
              <w:top w:val="nil"/>
              <w:left w:val="nil"/>
              <w:bottom w:val="dashed" w:sz="4" w:space="0" w:color="auto"/>
              <w:right w:val="nil"/>
            </w:tcBorders>
            <w:noWrap/>
            <w:vAlign w:val="bottom"/>
            <w:hideMark/>
          </w:tcPr>
          <w:p w14:paraId="26907B6D" w14:textId="77777777" w:rsidR="00EF3CD0" w:rsidRPr="00EF3CD0" w:rsidRDefault="00EF3CD0" w:rsidP="00EF3CD0">
            <w:pPr>
              <w:spacing w:before="0" w:after="0"/>
              <w:ind w:left="0"/>
              <w:jc w:val="center"/>
              <w:rPr>
                <w:rFonts w:cs="Calibri"/>
                <w:sz w:val="16"/>
                <w:szCs w:val="16"/>
              </w:rPr>
            </w:pPr>
            <w:r w:rsidRPr="00EF3CD0">
              <w:rPr>
                <w:rFonts w:cs="Calibri"/>
                <w:sz w:val="16"/>
                <w:szCs w:val="16"/>
              </w:rPr>
              <w:t>-</w:t>
            </w:r>
          </w:p>
        </w:tc>
        <w:tc>
          <w:tcPr>
            <w:tcW w:w="720" w:type="dxa"/>
            <w:tcBorders>
              <w:top w:val="nil"/>
              <w:left w:val="nil"/>
              <w:bottom w:val="dashed" w:sz="4" w:space="0" w:color="auto"/>
              <w:right w:val="nil"/>
            </w:tcBorders>
            <w:noWrap/>
            <w:vAlign w:val="bottom"/>
            <w:hideMark/>
          </w:tcPr>
          <w:p w14:paraId="0FDBD347" w14:textId="77777777" w:rsidR="00EF3CD0" w:rsidRPr="00EF3CD0" w:rsidRDefault="00EF3CD0" w:rsidP="00EF3CD0">
            <w:pPr>
              <w:spacing w:before="0" w:after="0"/>
              <w:ind w:left="0"/>
              <w:jc w:val="right"/>
              <w:rPr>
                <w:rFonts w:cs="Calibri"/>
                <w:sz w:val="16"/>
                <w:szCs w:val="16"/>
              </w:rPr>
            </w:pPr>
            <w:r w:rsidRPr="00EF3CD0">
              <w:rPr>
                <w:rFonts w:cs="Calibri"/>
                <w:sz w:val="16"/>
                <w:szCs w:val="16"/>
              </w:rPr>
              <w:t>0,157</w:t>
            </w:r>
          </w:p>
        </w:tc>
        <w:tc>
          <w:tcPr>
            <w:tcW w:w="860" w:type="dxa"/>
            <w:tcBorders>
              <w:top w:val="nil"/>
              <w:left w:val="nil"/>
              <w:bottom w:val="dashed" w:sz="4" w:space="0" w:color="auto"/>
              <w:right w:val="nil"/>
            </w:tcBorders>
            <w:noWrap/>
            <w:vAlign w:val="bottom"/>
            <w:hideMark/>
          </w:tcPr>
          <w:p w14:paraId="7F44F3A0" w14:textId="77777777" w:rsidR="00EF3CD0" w:rsidRPr="00EF3CD0" w:rsidRDefault="00EF3CD0" w:rsidP="00EF3CD0">
            <w:pPr>
              <w:spacing w:before="0" w:after="0"/>
              <w:ind w:left="0"/>
              <w:jc w:val="center"/>
              <w:rPr>
                <w:rFonts w:cs="Calibri"/>
                <w:sz w:val="16"/>
                <w:szCs w:val="16"/>
              </w:rPr>
            </w:pPr>
            <w:r w:rsidRPr="00EF3CD0">
              <w:rPr>
                <w:rFonts w:cs="Calibri"/>
                <w:sz w:val="16"/>
                <w:szCs w:val="16"/>
              </w:rPr>
              <w:t>-</w:t>
            </w:r>
          </w:p>
        </w:tc>
        <w:tc>
          <w:tcPr>
            <w:tcW w:w="420" w:type="dxa"/>
            <w:tcBorders>
              <w:top w:val="nil"/>
              <w:left w:val="nil"/>
              <w:bottom w:val="dashed" w:sz="4" w:space="0" w:color="auto"/>
              <w:right w:val="nil"/>
            </w:tcBorders>
            <w:noWrap/>
            <w:vAlign w:val="bottom"/>
            <w:hideMark/>
          </w:tcPr>
          <w:p w14:paraId="1343411B" w14:textId="77777777" w:rsidR="00EF3CD0" w:rsidRPr="00EF3CD0" w:rsidRDefault="00EF3CD0" w:rsidP="00EF3CD0">
            <w:pPr>
              <w:spacing w:before="0" w:after="0"/>
              <w:ind w:left="0"/>
              <w:jc w:val="center"/>
              <w:rPr>
                <w:rFonts w:cs="Calibri"/>
                <w:sz w:val="16"/>
                <w:szCs w:val="16"/>
              </w:rPr>
            </w:pPr>
            <w:r w:rsidRPr="00EF3CD0">
              <w:rPr>
                <w:rFonts w:cs="Calibri"/>
                <w:sz w:val="16"/>
                <w:szCs w:val="16"/>
              </w:rPr>
              <w:t>-</w:t>
            </w:r>
          </w:p>
        </w:tc>
        <w:tc>
          <w:tcPr>
            <w:tcW w:w="380" w:type="dxa"/>
            <w:tcBorders>
              <w:top w:val="nil"/>
              <w:left w:val="nil"/>
              <w:bottom w:val="dashed" w:sz="4" w:space="0" w:color="auto"/>
              <w:right w:val="nil"/>
            </w:tcBorders>
            <w:noWrap/>
            <w:vAlign w:val="bottom"/>
            <w:hideMark/>
          </w:tcPr>
          <w:p w14:paraId="16256594" w14:textId="77777777" w:rsidR="00EF3CD0" w:rsidRPr="00EF3CD0" w:rsidRDefault="00EF3CD0" w:rsidP="00EF3CD0">
            <w:pPr>
              <w:spacing w:before="0" w:after="0"/>
              <w:ind w:left="0"/>
              <w:jc w:val="center"/>
              <w:rPr>
                <w:rFonts w:cs="Calibri"/>
                <w:sz w:val="16"/>
                <w:szCs w:val="16"/>
              </w:rPr>
            </w:pPr>
            <w:r w:rsidRPr="00EF3CD0">
              <w:rPr>
                <w:rFonts w:cs="Calibri"/>
                <w:sz w:val="16"/>
                <w:szCs w:val="16"/>
              </w:rPr>
              <w:t>-</w:t>
            </w:r>
          </w:p>
        </w:tc>
        <w:tc>
          <w:tcPr>
            <w:tcW w:w="347" w:type="dxa"/>
            <w:tcBorders>
              <w:top w:val="nil"/>
              <w:left w:val="nil"/>
              <w:bottom w:val="dashed" w:sz="4" w:space="0" w:color="auto"/>
              <w:right w:val="nil"/>
            </w:tcBorders>
            <w:noWrap/>
            <w:vAlign w:val="bottom"/>
            <w:hideMark/>
          </w:tcPr>
          <w:p w14:paraId="33B69E28" w14:textId="77777777" w:rsidR="00EF3CD0" w:rsidRPr="00EF3CD0" w:rsidRDefault="00EF3CD0" w:rsidP="00EF3CD0">
            <w:pPr>
              <w:spacing w:before="0" w:after="0"/>
              <w:ind w:left="0"/>
              <w:jc w:val="center"/>
              <w:rPr>
                <w:rFonts w:cs="Calibri"/>
                <w:sz w:val="16"/>
                <w:szCs w:val="16"/>
              </w:rPr>
            </w:pPr>
            <w:r w:rsidRPr="00EF3CD0">
              <w:rPr>
                <w:rFonts w:cs="Calibri"/>
                <w:sz w:val="16"/>
                <w:szCs w:val="16"/>
              </w:rPr>
              <w:t>-</w:t>
            </w:r>
          </w:p>
        </w:tc>
        <w:tc>
          <w:tcPr>
            <w:tcW w:w="800" w:type="dxa"/>
            <w:tcBorders>
              <w:top w:val="nil"/>
              <w:left w:val="nil"/>
              <w:bottom w:val="dashed" w:sz="4" w:space="0" w:color="auto"/>
              <w:right w:val="nil"/>
            </w:tcBorders>
            <w:noWrap/>
            <w:vAlign w:val="bottom"/>
            <w:hideMark/>
          </w:tcPr>
          <w:p w14:paraId="7FDE31A1" w14:textId="77777777" w:rsidR="00EF3CD0" w:rsidRPr="00EF3CD0" w:rsidRDefault="00EF3CD0" w:rsidP="00EF3CD0">
            <w:pPr>
              <w:spacing w:before="0" w:after="0"/>
              <w:ind w:left="0"/>
              <w:jc w:val="center"/>
              <w:rPr>
                <w:rFonts w:cs="Calibri"/>
                <w:sz w:val="16"/>
                <w:szCs w:val="16"/>
              </w:rPr>
            </w:pPr>
            <w:r w:rsidRPr="00EF3CD0">
              <w:rPr>
                <w:rFonts w:cs="Calibri"/>
                <w:sz w:val="16"/>
                <w:szCs w:val="16"/>
              </w:rPr>
              <w:t>-</w:t>
            </w:r>
          </w:p>
        </w:tc>
      </w:tr>
      <w:tr w:rsidR="00EF3CD0" w:rsidRPr="00EF3CD0" w14:paraId="12FEA539" w14:textId="77777777" w:rsidTr="00F937DD">
        <w:trPr>
          <w:trHeight w:val="210"/>
        </w:trPr>
        <w:tc>
          <w:tcPr>
            <w:tcW w:w="1078" w:type="dxa"/>
            <w:tcBorders>
              <w:top w:val="nil"/>
              <w:left w:val="nil"/>
              <w:bottom w:val="dashed" w:sz="4" w:space="0" w:color="auto"/>
              <w:right w:val="nil"/>
            </w:tcBorders>
            <w:noWrap/>
            <w:vAlign w:val="bottom"/>
            <w:hideMark/>
          </w:tcPr>
          <w:p w14:paraId="787E570C" w14:textId="77777777" w:rsidR="00EF3CD0" w:rsidRPr="00EF3CD0" w:rsidRDefault="00EF3CD0" w:rsidP="00EF3CD0">
            <w:pPr>
              <w:spacing w:before="0" w:after="0"/>
              <w:ind w:left="0"/>
              <w:jc w:val="left"/>
              <w:rPr>
                <w:rFonts w:cs="Calibri"/>
                <w:sz w:val="16"/>
                <w:szCs w:val="16"/>
              </w:rPr>
            </w:pPr>
            <w:r w:rsidRPr="00EF3CD0">
              <w:rPr>
                <w:rFonts w:cs="Calibri"/>
                <w:sz w:val="16"/>
                <w:szCs w:val="16"/>
              </w:rPr>
              <w:t>T.09-2</w:t>
            </w:r>
          </w:p>
        </w:tc>
        <w:tc>
          <w:tcPr>
            <w:tcW w:w="1184" w:type="dxa"/>
            <w:tcBorders>
              <w:top w:val="nil"/>
              <w:left w:val="nil"/>
              <w:bottom w:val="dashed" w:sz="4" w:space="0" w:color="auto"/>
              <w:right w:val="nil"/>
            </w:tcBorders>
            <w:noWrap/>
            <w:vAlign w:val="bottom"/>
            <w:hideMark/>
          </w:tcPr>
          <w:p w14:paraId="21DE68FD" w14:textId="77777777" w:rsidR="00EF3CD0" w:rsidRPr="00EF3CD0" w:rsidRDefault="00EF3CD0" w:rsidP="00EF3CD0">
            <w:pPr>
              <w:spacing w:before="0" w:after="0"/>
              <w:ind w:left="0"/>
              <w:jc w:val="left"/>
              <w:rPr>
                <w:rFonts w:cs="Calibri"/>
                <w:sz w:val="16"/>
                <w:szCs w:val="16"/>
              </w:rPr>
            </w:pPr>
            <w:r w:rsidRPr="00EF3CD0">
              <w:rPr>
                <w:rFonts w:cs="Calibri"/>
                <w:sz w:val="16"/>
                <w:szCs w:val="16"/>
              </w:rPr>
              <w:t>SU</w:t>
            </w:r>
          </w:p>
        </w:tc>
        <w:tc>
          <w:tcPr>
            <w:tcW w:w="587" w:type="dxa"/>
            <w:tcBorders>
              <w:top w:val="nil"/>
              <w:left w:val="nil"/>
              <w:bottom w:val="dashed" w:sz="4" w:space="0" w:color="auto"/>
              <w:right w:val="nil"/>
            </w:tcBorders>
            <w:noWrap/>
            <w:vAlign w:val="bottom"/>
            <w:hideMark/>
          </w:tcPr>
          <w:p w14:paraId="6C6E6EAD" w14:textId="77777777" w:rsidR="00EF3CD0" w:rsidRPr="00EF3CD0" w:rsidRDefault="00EF3CD0" w:rsidP="00EF3CD0">
            <w:pPr>
              <w:spacing w:before="0" w:after="0"/>
              <w:ind w:left="0"/>
              <w:jc w:val="right"/>
              <w:rPr>
                <w:rFonts w:cs="Calibri"/>
                <w:b/>
                <w:bCs/>
                <w:sz w:val="16"/>
                <w:szCs w:val="16"/>
              </w:rPr>
            </w:pPr>
            <w:r w:rsidRPr="00EF3CD0">
              <w:rPr>
                <w:rFonts w:cs="Calibri"/>
                <w:b/>
                <w:bCs/>
                <w:sz w:val="16"/>
                <w:szCs w:val="16"/>
              </w:rPr>
              <w:t>0,246</w:t>
            </w:r>
          </w:p>
        </w:tc>
        <w:tc>
          <w:tcPr>
            <w:tcW w:w="580" w:type="dxa"/>
            <w:tcBorders>
              <w:top w:val="nil"/>
              <w:left w:val="nil"/>
              <w:bottom w:val="dashed" w:sz="4" w:space="0" w:color="auto"/>
              <w:right w:val="nil"/>
            </w:tcBorders>
            <w:noWrap/>
            <w:vAlign w:val="bottom"/>
            <w:hideMark/>
          </w:tcPr>
          <w:p w14:paraId="6398C899" w14:textId="77777777" w:rsidR="00EF3CD0" w:rsidRPr="00EF3CD0" w:rsidRDefault="00EF3CD0" w:rsidP="00EF3CD0">
            <w:pPr>
              <w:spacing w:before="0" w:after="0"/>
              <w:ind w:left="0"/>
              <w:jc w:val="center"/>
              <w:rPr>
                <w:rFonts w:cs="Calibri"/>
                <w:sz w:val="16"/>
                <w:szCs w:val="16"/>
              </w:rPr>
            </w:pPr>
            <w:r w:rsidRPr="00EF3CD0">
              <w:rPr>
                <w:rFonts w:cs="Calibri"/>
                <w:sz w:val="16"/>
                <w:szCs w:val="16"/>
              </w:rPr>
              <w:t>-</w:t>
            </w:r>
          </w:p>
        </w:tc>
        <w:tc>
          <w:tcPr>
            <w:tcW w:w="760" w:type="dxa"/>
            <w:tcBorders>
              <w:top w:val="nil"/>
              <w:left w:val="nil"/>
              <w:bottom w:val="dashed" w:sz="4" w:space="0" w:color="auto"/>
              <w:right w:val="nil"/>
            </w:tcBorders>
            <w:noWrap/>
            <w:vAlign w:val="bottom"/>
            <w:hideMark/>
          </w:tcPr>
          <w:p w14:paraId="77548931" w14:textId="77777777" w:rsidR="00EF3CD0" w:rsidRPr="00EF3CD0" w:rsidRDefault="00EF3CD0" w:rsidP="00EF3CD0">
            <w:pPr>
              <w:spacing w:before="0" w:after="0"/>
              <w:ind w:left="0"/>
              <w:jc w:val="center"/>
              <w:rPr>
                <w:rFonts w:cs="Calibri"/>
                <w:sz w:val="16"/>
                <w:szCs w:val="16"/>
              </w:rPr>
            </w:pPr>
            <w:r w:rsidRPr="00EF3CD0">
              <w:rPr>
                <w:rFonts w:cs="Calibri"/>
                <w:sz w:val="16"/>
                <w:szCs w:val="16"/>
              </w:rPr>
              <w:t>-</w:t>
            </w:r>
          </w:p>
        </w:tc>
        <w:tc>
          <w:tcPr>
            <w:tcW w:w="580" w:type="dxa"/>
            <w:tcBorders>
              <w:top w:val="nil"/>
              <w:left w:val="nil"/>
              <w:bottom w:val="dashed" w:sz="4" w:space="0" w:color="auto"/>
              <w:right w:val="nil"/>
            </w:tcBorders>
            <w:noWrap/>
            <w:vAlign w:val="bottom"/>
            <w:hideMark/>
          </w:tcPr>
          <w:p w14:paraId="0120276C" w14:textId="77777777" w:rsidR="00EF3CD0" w:rsidRPr="00EF3CD0" w:rsidRDefault="00EF3CD0" w:rsidP="00EF3CD0">
            <w:pPr>
              <w:spacing w:before="0" w:after="0"/>
              <w:ind w:left="0"/>
              <w:jc w:val="center"/>
              <w:rPr>
                <w:rFonts w:cs="Calibri"/>
                <w:sz w:val="16"/>
                <w:szCs w:val="16"/>
              </w:rPr>
            </w:pPr>
            <w:r w:rsidRPr="00EF3CD0">
              <w:rPr>
                <w:rFonts w:cs="Calibri"/>
                <w:sz w:val="16"/>
                <w:szCs w:val="16"/>
              </w:rPr>
              <w:t>-</w:t>
            </w:r>
          </w:p>
        </w:tc>
        <w:tc>
          <w:tcPr>
            <w:tcW w:w="640" w:type="dxa"/>
            <w:tcBorders>
              <w:top w:val="nil"/>
              <w:left w:val="nil"/>
              <w:bottom w:val="dashed" w:sz="4" w:space="0" w:color="auto"/>
              <w:right w:val="nil"/>
            </w:tcBorders>
            <w:noWrap/>
            <w:vAlign w:val="bottom"/>
            <w:hideMark/>
          </w:tcPr>
          <w:p w14:paraId="49950F35" w14:textId="77777777" w:rsidR="00EF3CD0" w:rsidRPr="00EF3CD0" w:rsidRDefault="00EF3CD0" w:rsidP="00EF3CD0">
            <w:pPr>
              <w:spacing w:before="0" w:after="0"/>
              <w:ind w:left="0"/>
              <w:jc w:val="center"/>
              <w:rPr>
                <w:rFonts w:cs="Calibri"/>
                <w:sz w:val="16"/>
                <w:szCs w:val="16"/>
              </w:rPr>
            </w:pPr>
            <w:r w:rsidRPr="00EF3CD0">
              <w:rPr>
                <w:rFonts w:cs="Calibri"/>
                <w:sz w:val="16"/>
                <w:szCs w:val="16"/>
              </w:rPr>
              <w:t>-</w:t>
            </w:r>
          </w:p>
        </w:tc>
        <w:tc>
          <w:tcPr>
            <w:tcW w:w="720" w:type="dxa"/>
            <w:tcBorders>
              <w:top w:val="nil"/>
              <w:left w:val="nil"/>
              <w:bottom w:val="dashed" w:sz="4" w:space="0" w:color="auto"/>
              <w:right w:val="nil"/>
            </w:tcBorders>
            <w:noWrap/>
            <w:vAlign w:val="bottom"/>
            <w:hideMark/>
          </w:tcPr>
          <w:p w14:paraId="76754E33" w14:textId="77777777" w:rsidR="00EF3CD0" w:rsidRPr="00EF3CD0" w:rsidRDefault="00EF3CD0" w:rsidP="00EF3CD0">
            <w:pPr>
              <w:spacing w:before="0" w:after="0"/>
              <w:ind w:left="0"/>
              <w:jc w:val="right"/>
              <w:rPr>
                <w:rFonts w:cs="Calibri"/>
                <w:sz w:val="16"/>
                <w:szCs w:val="16"/>
              </w:rPr>
            </w:pPr>
            <w:r w:rsidRPr="00EF3CD0">
              <w:rPr>
                <w:rFonts w:cs="Calibri"/>
                <w:sz w:val="16"/>
                <w:szCs w:val="16"/>
              </w:rPr>
              <w:t>0,246</w:t>
            </w:r>
          </w:p>
        </w:tc>
        <w:tc>
          <w:tcPr>
            <w:tcW w:w="860" w:type="dxa"/>
            <w:tcBorders>
              <w:top w:val="nil"/>
              <w:left w:val="nil"/>
              <w:bottom w:val="dashed" w:sz="4" w:space="0" w:color="auto"/>
              <w:right w:val="nil"/>
            </w:tcBorders>
            <w:noWrap/>
            <w:vAlign w:val="bottom"/>
            <w:hideMark/>
          </w:tcPr>
          <w:p w14:paraId="0D46000E" w14:textId="77777777" w:rsidR="00EF3CD0" w:rsidRPr="00EF3CD0" w:rsidRDefault="00EF3CD0" w:rsidP="00EF3CD0">
            <w:pPr>
              <w:spacing w:before="0" w:after="0"/>
              <w:ind w:left="0"/>
              <w:jc w:val="center"/>
              <w:rPr>
                <w:rFonts w:cs="Calibri"/>
                <w:sz w:val="16"/>
                <w:szCs w:val="16"/>
              </w:rPr>
            </w:pPr>
            <w:r w:rsidRPr="00EF3CD0">
              <w:rPr>
                <w:rFonts w:cs="Calibri"/>
                <w:sz w:val="16"/>
                <w:szCs w:val="16"/>
              </w:rPr>
              <w:t>-</w:t>
            </w:r>
          </w:p>
        </w:tc>
        <w:tc>
          <w:tcPr>
            <w:tcW w:w="420" w:type="dxa"/>
            <w:tcBorders>
              <w:top w:val="nil"/>
              <w:left w:val="nil"/>
              <w:bottom w:val="dashed" w:sz="4" w:space="0" w:color="auto"/>
              <w:right w:val="nil"/>
            </w:tcBorders>
            <w:noWrap/>
            <w:vAlign w:val="bottom"/>
            <w:hideMark/>
          </w:tcPr>
          <w:p w14:paraId="517CC093" w14:textId="77777777" w:rsidR="00EF3CD0" w:rsidRPr="00EF3CD0" w:rsidRDefault="00EF3CD0" w:rsidP="00EF3CD0">
            <w:pPr>
              <w:spacing w:before="0" w:after="0"/>
              <w:ind w:left="0"/>
              <w:jc w:val="center"/>
              <w:rPr>
                <w:rFonts w:cs="Calibri"/>
                <w:sz w:val="16"/>
                <w:szCs w:val="16"/>
              </w:rPr>
            </w:pPr>
            <w:r w:rsidRPr="00EF3CD0">
              <w:rPr>
                <w:rFonts w:cs="Calibri"/>
                <w:sz w:val="16"/>
                <w:szCs w:val="16"/>
              </w:rPr>
              <w:t>-</w:t>
            </w:r>
          </w:p>
        </w:tc>
        <w:tc>
          <w:tcPr>
            <w:tcW w:w="380" w:type="dxa"/>
            <w:tcBorders>
              <w:top w:val="nil"/>
              <w:left w:val="nil"/>
              <w:bottom w:val="dashed" w:sz="4" w:space="0" w:color="auto"/>
              <w:right w:val="nil"/>
            </w:tcBorders>
            <w:noWrap/>
            <w:vAlign w:val="bottom"/>
            <w:hideMark/>
          </w:tcPr>
          <w:p w14:paraId="39F496AD" w14:textId="77777777" w:rsidR="00EF3CD0" w:rsidRPr="00EF3CD0" w:rsidRDefault="00EF3CD0" w:rsidP="00EF3CD0">
            <w:pPr>
              <w:spacing w:before="0" w:after="0"/>
              <w:ind w:left="0"/>
              <w:jc w:val="center"/>
              <w:rPr>
                <w:rFonts w:cs="Calibri"/>
                <w:sz w:val="16"/>
                <w:szCs w:val="16"/>
              </w:rPr>
            </w:pPr>
            <w:r w:rsidRPr="00EF3CD0">
              <w:rPr>
                <w:rFonts w:cs="Calibri"/>
                <w:sz w:val="16"/>
                <w:szCs w:val="16"/>
              </w:rPr>
              <w:t>-</w:t>
            </w:r>
          </w:p>
        </w:tc>
        <w:tc>
          <w:tcPr>
            <w:tcW w:w="347" w:type="dxa"/>
            <w:tcBorders>
              <w:top w:val="nil"/>
              <w:left w:val="nil"/>
              <w:bottom w:val="dashed" w:sz="4" w:space="0" w:color="auto"/>
              <w:right w:val="nil"/>
            </w:tcBorders>
            <w:noWrap/>
            <w:vAlign w:val="bottom"/>
            <w:hideMark/>
          </w:tcPr>
          <w:p w14:paraId="77454B6D" w14:textId="77777777" w:rsidR="00EF3CD0" w:rsidRPr="00EF3CD0" w:rsidRDefault="00EF3CD0" w:rsidP="00EF3CD0">
            <w:pPr>
              <w:spacing w:before="0" w:after="0"/>
              <w:ind w:left="0"/>
              <w:jc w:val="center"/>
              <w:rPr>
                <w:rFonts w:cs="Calibri"/>
                <w:sz w:val="16"/>
                <w:szCs w:val="16"/>
              </w:rPr>
            </w:pPr>
            <w:r w:rsidRPr="00EF3CD0">
              <w:rPr>
                <w:rFonts w:cs="Calibri"/>
                <w:sz w:val="16"/>
                <w:szCs w:val="16"/>
              </w:rPr>
              <w:t>-</w:t>
            </w:r>
          </w:p>
        </w:tc>
        <w:tc>
          <w:tcPr>
            <w:tcW w:w="800" w:type="dxa"/>
            <w:tcBorders>
              <w:top w:val="nil"/>
              <w:left w:val="nil"/>
              <w:bottom w:val="dashed" w:sz="4" w:space="0" w:color="auto"/>
              <w:right w:val="nil"/>
            </w:tcBorders>
            <w:noWrap/>
            <w:vAlign w:val="bottom"/>
            <w:hideMark/>
          </w:tcPr>
          <w:p w14:paraId="386B99F9" w14:textId="77777777" w:rsidR="00EF3CD0" w:rsidRPr="00EF3CD0" w:rsidRDefault="00EF3CD0" w:rsidP="00EF3CD0">
            <w:pPr>
              <w:spacing w:before="0" w:after="0"/>
              <w:ind w:left="0"/>
              <w:jc w:val="center"/>
              <w:rPr>
                <w:rFonts w:cs="Calibri"/>
                <w:sz w:val="16"/>
                <w:szCs w:val="16"/>
              </w:rPr>
            </w:pPr>
            <w:r w:rsidRPr="00EF3CD0">
              <w:rPr>
                <w:rFonts w:cs="Calibri"/>
                <w:sz w:val="16"/>
                <w:szCs w:val="16"/>
              </w:rPr>
              <w:t>-</w:t>
            </w:r>
          </w:p>
        </w:tc>
      </w:tr>
      <w:tr w:rsidR="00EF3CD0" w:rsidRPr="00EF3CD0" w14:paraId="2CBE47F5" w14:textId="77777777" w:rsidTr="00F937DD">
        <w:trPr>
          <w:trHeight w:val="225"/>
        </w:trPr>
        <w:tc>
          <w:tcPr>
            <w:tcW w:w="1078" w:type="dxa"/>
            <w:tcBorders>
              <w:top w:val="nil"/>
              <w:left w:val="nil"/>
              <w:bottom w:val="dashed" w:sz="4" w:space="0" w:color="auto"/>
              <w:right w:val="nil"/>
            </w:tcBorders>
            <w:noWrap/>
            <w:vAlign w:val="bottom"/>
            <w:hideMark/>
          </w:tcPr>
          <w:p w14:paraId="4E154549" w14:textId="77777777" w:rsidR="00EF3CD0" w:rsidRPr="00EF3CD0" w:rsidRDefault="00EF3CD0" w:rsidP="00EF3CD0">
            <w:pPr>
              <w:spacing w:before="0" w:after="0"/>
              <w:ind w:left="0"/>
              <w:jc w:val="left"/>
              <w:rPr>
                <w:rFonts w:cs="Calibri"/>
                <w:sz w:val="16"/>
                <w:szCs w:val="16"/>
              </w:rPr>
            </w:pPr>
            <w:r w:rsidRPr="00EF3CD0">
              <w:rPr>
                <w:rFonts w:cs="Calibri"/>
                <w:sz w:val="16"/>
                <w:szCs w:val="16"/>
              </w:rPr>
              <w:t>T.10-1</w:t>
            </w:r>
          </w:p>
        </w:tc>
        <w:tc>
          <w:tcPr>
            <w:tcW w:w="1184" w:type="dxa"/>
            <w:tcBorders>
              <w:top w:val="nil"/>
              <w:left w:val="nil"/>
              <w:bottom w:val="dashed" w:sz="4" w:space="0" w:color="auto"/>
              <w:right w:val="nil"/>
            </w:tcBorders>
            <w:noWrap/>
            <w:vAlign w:val="bottom"/>
            <w:hideMark/>
          </w:tcPr>
          <w:p w14:paraId="210FE999" w14:textId="77777777" w:rsidR="00EF3CD0" w:rsidRPr="00EF3CD0" w:rsidRDefault="00EF3CD0" w:rsidP="00EF3CD0">
            <w:pPr>
              <w:spacing w:before="0" w:after="0"/>
              <w:ind w:left="0"/>
              <w:jc w:val="left"/>
              <w:rPr>
                <w:rFonts w:cs="Calibri"/>
                <w:sz w:val="16"/>
                <w:szCs w:val="16"/>
              </w:rPr>
            </w:pPr>
            <w:r w:rsidRPr="00EF3CD0">
              <w:rPr>
                <w:rFonts w:cs="Calibri"/>
                <w:sz w:val="16"/>
                <w:szCs w:val="16"/>
              </w:rPr>
              <w:t>SV</w:t>
            </w:r>
          </w:p>
        </w:tc>
        <w:tc>
          <w:tcPr>
            <w:tcW w:w="587" w:type="dxa"/>
            <w:tcBorders>
              <w:top w:val="nil"/>
              <w:left w:val="nil"/>
              <w:bottom w:val="dashed" w:sz="4" w:space="0" w:color="auto"/>
              <w:right w:val="nil"/>
            </w:tcBorders>
            <w:noWrap/>
            <w:vAlign w:val="bottom"/>
            <w:hideMark/>
          </w:tcPr>
          <w:p w14:paraId="7A815185" w14:textId="77777777" w:rsidR="00EF3CD0" w:rsidRPr="00EF3CD0" w:rsidRDefault="00EF3CD0" w:rsidP="00EF3CD0">
            <w:pPr>
              <w:spacing w:before="0" w:after="0"/>
              <w:ind w:left="0"/>
              <w:jc w:val="right"/>
              <w:rPr>
                <w:rFonts w:cs="Calibri"/>
                <w:b/>
                <w:bCs/>
                <w:sz w:val="16"/>
                <w:szCs w:val="16"/>
              </w:rPr>
            </w:pPr>
            <w:r w:rsidRPr="00EF3CD0">
              <w:rPr>
                <w:rFonts w:cs="Calibri"/>
                <w:b/>
                <w:bCs/>
                <w:sz w:val="16"/>
                <w:szCs w:val="16"/>
              </w:rPr>
              <w:t>0,579</w:t>
            </w:r>
          </w:p>
        </w:tc>
        <w:tc>
          <w:tcPr>
            <w:tcW w:w="580" w:type="dxa"/>
            <w:tcBorders>
              <w:top w:val="nil"/>
              <w:left w:val="nil"/>
              <w:bottom w:val="dashed" w:sz="4" w:space="0" w:color="auto"/>
              <w:right w:val="nil"/>
            </w:tcBorders>
            <w:noWrap/>
            <w:vAlign w:val="bottom"/>
            <w:hideMark/>
          </w:tcPr>
          <w:p w14:paraId="4E214B55" w14:textId="77777777" w:rsidR="00EF3CD0" w:rsidRPr="00EF3CD0" w:rsidRDefault="00EF3CD0" w:rsidP="00EF3CD0">
            <w:pPr>
              <w:spacing w:before="0" w:after="0"/>
              <w:ind w:left="0"/>
              <w:jc w:val="center"/>
              <w:rPr>
                <w:rFonts w:cs="Calibri"/>
                <w:sz w:val="16"/>
                <w:szCs w:val="16"/>
              </w:rPr>
            </w:pPr>
            <w:r w:rsidRPr="00EF3CD0">
              <w:rPr>
                <w:rFonts w:cs="Calibri"/>
                <w:sz w:val="16"/>
                <w:szCs w:val="16"/>
              </w:rPr>
              <w:t>-</w:t>
            </w:r>
          </w:p>
        </w:tc>
        <w:tc>
          <w:tcPr>
            <w:tcW w:w="760" w:type="dxa"/>
            <w:tcBorders>
              <w:top w:val="nil"/>
              <w:left w:val="nil"/>
              <w:bottom w:val="dashed" w:sz="4" w:space="0" w:color="auto"/>
              <w:right w:val="nil"/>
            </w:tcBorders>
            <w:noWrap/>
            <w:vAlign w:val="bottom"/>
            <w:hideMark/>
          </w:tcPr>
          <w:p w14:paraId="6E53EAFF" w14:textId="77777777" w:rsidR="00EF3CD0" w:rsidRPr="00EF3CD0" w:rsidRDefault="00EF3CD0" w:rsidP="00EF3CD0">
            <w:pPr>
              <w:spacing w:before="0" w:after="0"/>
              <w:ind w:left="0"/>
              <w:jc w:val="center"/>
              <w:rPr>
                <w:rFonts w:cs="Calibri"/>
                <w:sz w:val="16"/>
                <w:szCs w:val="16"/>
              </w:rPr>
            </w:pPr>
            <w:r w:rsidRPr="00EF3CD0">
              <w:rPr>
                <w:rFonts w:cs="Calibri"/>
                <w:sz w:val="16"/>
                <w:szCs w:val="16"/>
              </w:rPr>
              <w:t>-</w:t>
            </w:r>
          </w:p>
        </w:tc>
        <w:tc>
          <w:tcPr>
            <w:tcW w:w="580" w:type="dxa"/>
            <w:tcBorders>
              <w:top w:val="nil"/>
              <w:left w:val="nil"/>
              <w:bottom w:val="dashed" w:sz="4" w:space="0" w:color="auto"/>
              <w:right w:val="nil"/>
            </w:tcBorders>
            <w:noWrap/>
            <w:vAlign w:val="bottom"/>
            <w:hideMark/>
          </w:tcPr>
          <w:p w14:paraId="246B20CA" w14:textId="77777777" w:rsidR="00EF3CD0" w:rsidRPr="00EF3CD0" w:rsidRDefault="00EF3CD0" w:rsidP="00EF3CD0">
            <w:pPr>
              <w:spacing w:before="0" w:after="0"/>
              <w:ind w:left="0"/>
              <w:jc w:val="center"/>
              <w:rPr>
                <w:rFonts w:cs="Calibri"/>
                <w:sz w:val="16"/>
                <w:szCs w:val="16"/>
              </w:rPr>
            </w:pPr>
            <w:r w:rsidRPr="00EF3CD0">
              <w:rPr>
                <w:rFonts w:cs="Calibri"/>
                <w:sz w:val="16"/>
                <w:szCs w:val="16"/>
              </w:rPr>
              <w:t>-</w:t>
            </w:r>
          </w:p>
        </w:tc>
        <w:tc>
          <w:tcPr>
            <w:tcW w:w="640" w:type="dxa"/>
            <w:tcBorders>
              <w:top w:val="nil"/>
              <w:left w:val="nil"/>
              <w:bottom w:val="dashed" w:sz="4" w:space="0" w:color="auto"/>
              <w:right w:val="nil"/>
            </w:tcBorders>
            <w:noWrap/>
            <w:vAlign w:val="bottom"/>
            <w:hideMark/>
          </w:tcPr>
          <w:p w14:paraId="3CD5AB71" w14:textId="77777777" w:rsidR="00EF3CD0" w:rsidRPr="00EF3CD0" w:rsidRDefault="00EF3CD0" w:rsidP="00EF3CD0">
            <w:pPr>
              <w:spacing w:before="0" w:after="0"/>
              <w:ind w:left="0"/>
              <w:jc w:val="right"/>
              <w:rPr>
                <w:rFonts w:cs="Calibri"/>
                <w:sz w:val="16"/>
                <w:szCs w:val="16"/>
              </w:rPr>
            </w:pPr>
            <w:r w:rsidRPr="00EF3CD0">
              <w:rPr>
                <w:rFonts w:cs="Calibri"/>
                <w:sz w:val="16"/>
                <w:szCs w:val="16"/>
              </w:rPr>
              <w:t>0,579</w:t>
            </w:r>
          </w:p>
        </w:tc>
        <w:tc>
          <w:tcPr>
            <w:tcW w:w="720" w:type="dxa"/>
            <w:tcBorders>
              <w:top w:val="nil"/>
              <w:left w:val="nil"/>
              <w:bottom w:val="dashed" w:sz="4" w:space="0" w:color="auto"/>
              <w:right w:val="nil"/>
            </w:tcBorders>
            <w:noWrap/>
            <w:vAlign w:val="bottom"/>
            <w:hideMark/>
          </w:tcPr>
          <w:p w14:paraId="6C1EE185" w14:textId="77777777" w:rsidR="00EF3CD0" w:rsidRPr="00EF3CD0" w:rsidRDefault="00EF3CD0" w:rsidP="00EF3CD0">
            <w:pPr>
              <w:spacing w:before="0" w:after="0"/>
              <w:ind w:left="0"/>
              <w:jc w:val="center"/>
              <w:rPr>
                <w:rFonts w:cs="Calibri"/>
                <w:sz w:val="16"/>
                <w:szCs w:val="16"/>
              </w:rPr>
            </w:pPr>
            <w:r w:rsidRPr="00EF3CD0">
              <w:rPr>
                <w:rFonts w:cs="Calibri"/>
                <w:sz w:val="16"/>
                <w:szCs w:val="16"/>
              </w:rPr>
              <w:t>-</w:t>
            </w:r>
          </w:p>
        </w:tc>
        <w:tc>
          <w:tcPr>
            <w:tcW w:w="860" w:type="dxa"/>
            <w:tcBorders>
              <w:top w:val="nil"/>
              <w:left w:val="nil"/>
              <w:bottom w:val="dashed" w:sz="4" w:space="0" w:color="auto"/>
              <w:right w:val="nil"/>
            </w:tcBorders>
            <w:noWrap/>
            <w:vAlign w:val="bottom"/>
            <w:hideMark/>
          </w:tcPr>
          <w:p w14:paraId="77BE927D" w14:textId="77777777" w:rsidR="00EF3CD0" w:rsidRPr="00EF3CD0" w:rsidRDefault="00EF3CD0" w:rsidP="00EF3CD0">
            <w:pPr>
              <w:spacing w:before="0" w:after="0"/>
              <w:ind w:left="0"/>
              <w:jc w:val="center"/>
              <w:rPr>
                <w:rFonts w:cs="Calibri"/>
                <w:sz w:val="16"/>
                <w:szCs w:val="16"/>
              </w:rPr>
            </w:pPr>
            <w:r w:rsidRPr="00EF3CD0">
              <w:rPr>
                <w:rFonts w:cs="Calibri"/>
                <w:sz w:val="16"/>
                <w:szCs w:val="16"/>
              </w:rPr>
              <w:t>-</w:t>
            </w:r>
          </w:p>
        </w:tc>
        <w:tc>
          <w:tcPr>
            <w:tcW w:w="420" w:type="dxa"/>
            <w:tcBorders>
              <w:top w:val="nil"/>
              <w:left w:val="nil"/>
              <w:bottom w:val="dashed" w:sz="4" w:space="0" w:color="auto"/>
              <w:right w:val="nil"/>
            </w:tcBorders>
            <w:noWrap/>
            <w:vAlign w:val="bottom"/>
            <w:hideMark/>
          </w:tcPr>
          <w:p w14:paraId="6506CA42" w14:textId="77777777" w:rsidR="00EF3CD0" w:rsidRPr="00EF3CD0" w:rsidRDefault="00EF3CD0" w:rsidP="00EF3CD0">
            <w:pPr>
              <w:spacing w:before="0" w:after="0"/>
              <w:ind w:left="0"/>
              <w:jc w:val="center"/>
              <w:rPr>
                <w:rFonts w:cs="Calibri"/>
                <w:sz w:val="16"/>
                <w:szCs w:val="16"/>
              </w:rPr>
            </w:pPr>
            <w:r w:rsidRPr="00EF3CD0">
              <w:rPr>
                <w:rFonts w:cs="Calibri"/>
                <w:sz w:val="16"/>
                <w:szCs w:val="16"/>
              </w:rPr>
              <w:t>-</w:t>
            </w:r>
          </w:p>
        </w:tc>
        <w:tc>
          <w:tcPr>
            <w:tcW w:w="380" w:type="dxa"/>
            <w:tcBorders>
              <w:top w:val="nil"/>
              <w:left w:val="nil"/>
              <w:bottom w:val="dashed" w:sz="4" w:space="0" w:color="auto"/>
              <w:right w:val="nil"/>
            </w:tcBorders>
            <w:noWrap/>
            <w:vAlign w:val="bottom"/>
            <w:hideMark/>
          </w:tcPr>
          <w:p w14:paraId="508A21C3" w14:textId="77777777" w:rsidR="00EF3CD0" w:rsidRPr="00EF3CD0" w:rsidRDefault="00EF3CD0" w:rsidP="00EF3CD0">
            <w:pPr>
              <w:spacing w:before="0" w:after="0"/>
              <w:ind w:left="0"/>
              <w:jc w:val="center"/>
              <w:rPr>
                <w:rFonts w:cs="Calibri"/>
                <w:sz w:val="16"/>
                <w:szCs w:val="16"/>
              </w:rPr>
            </w:pPr>
            <w:r w:rsidRPr="00EF3CD0">
              <w:rPr>
                <w:rFonts w:cs="Calibri"/>
                <w:sz w:val="16"/>
                <w:szCs w:val="16"/>
              </w:rPr>
              <w:t>-</w:t>
            </w:r>
          </w:p>
        </w:tc>
        <w:tc>
          <w:tcPr>
            <w:tcW w:w="347" w:type="dxa"/>
            <w:tcBorders>
              <w:top w:val="nil"/>
              <w:left w:val="nil"/>
              <w:bottom w:val="dashed" w:sz="4" w:space="0" w:color="auto"/>
              <w:right w:val="nil"/>
            </w:tcBorders>
            <w:noWrap/>
            <w:vAlign w:val="bottom"/>
            <w:hideMark/>
          </w:tcPr>
          <w:p w14:paraId="5E3E233C" w14:textId="77777777" w:rsidR="00EF3CD0" w:rsidRPr="00EF3CD0" w:rsidRDefault="00EF3CD0" w:rsidP="00EF3CD0">
            <w:pPr>
              <w:spacing w:before="0" w:after="0"/>
              <w:ind w:left="0"/>
              <w:jc w:val="center"/>
              <w:rPr>
                <w:rFonts w:cs="Calibri"/>
                <w:sz w:val="16"/>
                <w:szCs w:val="16"/>
              </w:rPr>
            </w:pPr>
            <w:r w:rsidRPr="00EF3CD0">
              <w:rPr>
                <w:rFonts w:cs="Calibri"/>
                <w:sz w:val="16"/>
                <w:szCs w:val="16"/>
              </w:rPr>
              <w:t>-</w:t>
            </w:r>
          </w:p>
        </w:tc>
        <w:tc>
          <w:tcPr>
            <w:tcW w:w="800" w:type="dxa"/>
            <w:tcBorders>
              <w:top w:val="nil"/>
              <w:left w:val="nil"/>
              <w:bottom w:val="dashed" w:sz="4" w:space="0" w:color="auto"/>
              <w:right w:val="nil"/>
            </w:tcBorders>
            <w:noWrap/>
            <w:vAlign w:val="bottom"/>
            <w:hideMark/>
          </w:tcPr>
          <w:p w14:paraId="10DA9622" w14:textId="77777777" w:rsidR="00EF3CD0" w:rsidRPr="00EF3CD0" w:rsidRDefault="00EF3CD0" w:rsidP="00EF3CD0">
            <w:pPr>
              <w:spacing w:before="0" w:after="0"/>
              <w:ind w:left="0"/>
              <w:jc w:val="center"/>
              <w:rPr>
                <w:rFonts w:cs="Calibri"/>
                <w:sz w:val="16"/>
                <w:szCs w:val="16"/>
              </w:rPr>
            </w:pPr>
            <w:r w:rsidRPr="00EF3CD0">
              <w:rPr>
                <w:rFonts w:cs="Calibri"/>
                <w:sz w:val="16"/>
                <w:szCs w:val="16"/>
              </w:rPr>
              <w:t>-</w:t>
            </w:r>
          </w:p>
        </w:tc>
      </w:tr>
      <w:tr w:rsidR="00EF3CD0" w:rsidRPr="00EF3CD0" w14:paraId="5B95CBAD" w14:textId="77777777" w:rsidTr="00F937DD">
        <w:trPr>
          <w:trHeight w:val="210"/>
        </w:trPr>
        <w:tc>
          <w:tcPr>
            <w:tcW w:w="1078" w:type="dxa"/>
            <w:tcBorders>
              <w:top w:val="nil"/>
              <w:left w:val="nil"/>
              <w:bottom w:val="dashed" w:sz="4" w:space="0" w:color="auto"/>
              <w:right w:val="nil"/>
            </w:tcBorders>
            <w:noWrap/>
            <w:vAlign w:val="bottom"/>
            <w:hideMark/>
          </w:tcPr>
          <w:p w14:paraId="1ADB3EEC" w14:textId="77777777" w:rsidR="00EF3CD0" w:rsidRPr="00EF3CD0" w:rsidRDefault="00EF3CD0" w:rsidP="00EF3CD0">
            <w:pPr>
              <w:spacing w:before="0" w:after="0"/>
              <w:ind w:left="0"/>
              <w:jc w:val="left"/>
              <w:rPr>
                <w:rFonts w:cs="Calibri"/>
                <w:sz w:val="16"/>
                <w:szCs w:val="16"/>
              </w:rPr>
            </w:pPr>
            <w:r w:rsidRPr="00EF3CD0">
              <w:rPr>
                <w:rFonts w:cs="Calibri"/>
                <w:sz w:val="16"/>
                <w:szCs w:val="16"/>
              </w:rPr>
              <w:t>T.10-2</w:t>
            </w:r>
          </w:p>
        </w:tc>
        <w:tc>
          <w:tcPr>
            <w:tcW w:w="1184" w:type="dxa"/>
            <w:tcBorders>
              <w:top w:val="nil"/>
              <w:left w:val="nil"/>
              <w:bottom w:val="dashed" w:sz="4" w:space="0" w:color="auto"/>
              <w:right w:val="nil"/>
            </w:tcBorders>
            <w:noWrap/>
            <w:vAlign w:val="bottom"/>
            <w:hideMark/>
          </w:tcPr>
          <w:p w14:paraId="6809B10F" w14:textId="77777777" w:rsidR="00EF3CD0" w:rsidRPr="00EF3CD0" w:rsidRDefault="00EF3CD0" w:rsidP="00EF3CD0">
            <w:pPr>
              <w:spacing w:before="0" w:after="0"/>
              <w:ind w:left="0"/>
              <w:jc w:val="left"/>
              <w:rPr>
                <w:rFonts w:cs="Calibri"/>
                <w:sz w:val="16"/>
                <w:szCs w:val="16"/>
              </w:rPr>
            </w:pPr>
            <w:r w:rsidRPr="00EF3CD0">
              <w:rPr>
                <w:rFonts w:cs="Calibri"/>
                <w:sz w:val="16"/>
                <w:szCs w:val="16"/>
              </w:rPr>
              <w:t>SV</w:t>
            </w:r>
          </w:p>
        </w:tc>
        <w:tc>
          <w:tcPr>
            <w:tcW w:w="587" w:type="dxa"/>
            <w:tcBorders>
              <w:top w:val="nil"/>
              <w:left w:val="nil"/>
              <w:bottom w:val="dashed" w:sz="4" w:space="0" w:color="auto"/>
              <w:right w:val="nil"/>
            </w:tcBorders>
            <w:noWrap/>
            <w:vAlign w:val="bottom"/>
            <w:hideMark/>
          </w:tcPr>
          <w:p w14:paraId="56DA77AC" w14:textId="77777777" w:rsidR="00EF3CD0" w:rsidRPr="00EF3CD0" w:rsidRDefault="00EF3CD0" w:rsidP="00EF3CD0">
            <w:pPr>
              <w:spacing w:before="0" w:after="0"/>
              <w:ind w:left="0"/>
              <w:jc w:val="right"/>
              <w:rPr>
                <w:rFonts w:cs="Calibri"/>
                <w:b/>
                <w:bCs/>
                <w:sz w:val="16"/>
                <w:szCs w:val="16"/>
              </w:rPr>
            </w:pPr>
            <w:r w:rsidRPr="00EF3CD0">
              <w:rPr>
                <w:rFonts w:cs="Calibri"/>
                <w:b/>
                <w:bCs/>
                <w:sz w:val="16"/>
                <w:szCs w:val="16"/>
              </w:rPr>
              <w:t>0,154</w:t>
            </w:r>
          </w:p>
        </w:tc>
        <w:tc>
          <w:tcPr>
            <w:tcW w:w="580" w:type="dxa"/>
            <w:tcBorders>
              <w:top w:val="nil"/>
              <w:left w:val="nil"/>
              <w:bottom w:val="dashed" w:sz="4" w:space="0" w:color="auto"/>
              <w:right w:val="nil"/>
            </w:tcBorders>
            <w:noWrap/>
            <w:vAlign w:val="bottom"/>
            <w:hideMark/>
          </w:tcPr>
          <w:p w14:paraId="162DD88E" w14:textId="77777777" w:rsidR="00EF3CD0" w:rsidRPr="00EF3CD0" w:rsidRDefault="00EF3CD0" w:rsidP="00EF3CD0">
            <w:pPr>
              <w:spacing w:before="0" w:after="0"/>
              <w:ind w:left="0"/>
              <w:jc w:val="center"/>
              <w:rPr>
                <w:rFonts w:cs="Calibri"/>
                <w:sz w:val="16"/>
                <w:szCs w:val="16"/>
              </w:rPr>
            </w:pPr>
            <w:r w:rsidRPr="00EF3CD0">
              <w:rPr>
                <w:rFonts w:cs="Calibri"/>
                <w:sz w:val="16"/>
                <w:szCs w:val="16"/>
              </w:rPr>
              <w:t>-</w:t>
            </w:r>
          </w:p>
        </w:tc>
        <w:tc>
          <w:tcPr>
            <w:tcW w:w="760" w:type="dxa"/>
            <w:tcBorders>
              <w:top w:val="nil"/>
              <w:left w:val="nil"/>
              <w:bottom w:val="dashed" w:sz="4" w:space="0" w:color="auto"/>
              <w:right w:val="nil"/>
            </w:tcBorders>
            <w:noWrap/>
            <w:vAlign w:val="bottom"/>
            <w:hideMark/>
          </w:tcPr>
          <w:p w14:paraId="77D9759B" w14:textId="77777777" w:rsidR="00EF3CD0" w:rsidRPr="00EF3CD0" w:rsidRDefault="00EF3CD0" w:rsidP="00EF3CD0">
            <w:pPr>
              <w:spacing w:before="0" w:after="0"/>
              <w:ind w:left="0"/>
              <w:jc w:val="right"/>
              <w:rPr>
                <w:rFonts w:cs="Calibri"/>
                <w:sz w:val="16"/>
                <w:szCs w:val="16"/>
              </w:rPr>
            </w:pPr>
            <w:r w:rsidRPr="00EF3CD0">
              <w:rPr>
                <w:rFonts w:cs="Calibri"/>
                <w:sz w:val="16"/>
                <w:szCs w:val="16"/>
              </w:rPr>
              <w:t>0,057</w:t>
            </w:r>
          </w:p>
        </w:tc>
        <w:tc>
          <w:tcPr>
            <w:tcW w:w="580" w:type="dxa"/>
            <w:tcBorders>
              <w:top w:val="nil"/>
              <w:left w:val="nil"/>
              <w:bottom w:val="dashed" w:sz="4" w:space="0" w:color="auto"/>
              <w:right w:val="nil"/>
            </w:tcBorders>
            <w:noWrap/>
            <w:vAlign w:val="bottom"/>
            <w:hideMark/>
          </w:tcPr>
          <w:p w14:paraId="6C81BA16" w14:textId="77777777" w:rsidR="00EF3CD0" w:rsidRPr="00EF3CD0" w:rsidRDefault="00EF3CD0" w:rsidP="00EF3CD0">
            <w:pPr>
              <w:spacing w:before="0" w:after="0"/>
              <w:ind w:left="0"/>
              <w:jc w:val="center"/>
              <w:rPr>
                <w:rFonts w:cs="Calibri"/>
                <w:sz w:val="16"/>
                <w:szCs w:val="16"/>
              </w:rPr>
            </w:pPr>
            <w:r w:rsidRPr="00EF3CD0">
              <w:rPr>
                <w:rFonts w:cs="Calibri"/>
                <w:sz w:val="16"/>
                <w:szCs w:val="16"/>
              </w:rPr>
              <w:t>-</w:t>
            </w:r>
          </w:p>
        </w:tc>
        <w:tc>
          <w:tcPr>
            <w:tcW w:w="640" w:type="dxa"/>
            <w:tcBorders>
              <w:top w:val="nil"/>
              <w:left w:val="nil"/>
              <w:bottom w:val="dashed" w:sz="4" w:space="0" w:color="auto"/>
              <w:right w:val="nil"/>
            </w:tcBorders>
            <w:noWrap/>
            <w:vAlign w:val="bottom"/>
            <w:hideMark/>
          </w:tcPr>
          <w:p w14:paraId="47CCC4B8" w14:textId="77777777" w:rsidR="00EF3CD0" w:rsidRPr="00EF3CD0" w:rsidRDefault="00EF3CD0" w:rsidP="00EF3CD0">
            <w:pPr>
              <w:spacing w:before="0" w:after="0"/>
              <w:ind w:left="0"/>
              <w:jc w:val="center"/>
              <w:rPr>
                <w:rFonts w:cs="Calibri"/>
                <w:sz w:val="16"/>
                <w:szCs w:val="16"/>
              </w:rPr>
            </w:pPr>
            <w:r w:rsidRPr="00EF3CD0">
              <w:rPr>
                <w:rFonts w:cs="Calibri"/>
                <w:sz w:val="16"/>
                <w:szCs w:val="16"/>
              </w:rPr>
              <w:t>-</w:t>
            </w:r>
          </w:p>
        </w:tc>
        <w:tc>
          <w:tcPr>
            <w:tcW w:w="720" w:type="dxa"/>
            <w:tcBorders>
              <w:top w:val="nil"/>
              <w:left w:val="nil"/>
              <w:bottom w:val="dashed" w:sz="4" w:space="0" w:color="auto"/>
              <w:right w:val="nil"/>
            </w:tcBorders>
            <w:noWrap/>
            <w:vAlign w:val="bottom"/>
            <w:hideMark/>
          </w:tcPr>
          <w:p w14:paraId="15A3A1E2" w14:textId="77777777" w:rsidR="00EF3CD0" w:rsidRPr="00EF3CD0" w:rsidRDefault="00EF3CD0" w:rsidP="00EF3CD0">
            <w:pPr>
              <w:spacing w:before="0" w:after="0"/>
              <w:ind w:left="0"/>
              <w:jc w:val="right"/>
              <w:rPr>
                <w:rFonts w:cs="Calibri"/>
                <w:sz w:val="16"/>
                <w:szCs w:val="16"/>
              </w:rPr>
            </w:pPr>
            <w:r w:rsidRPr="00EF3CD0">
              <w:rPr>
                <w:rFonts w:cs="Calibri"/>
                <w:sz w:val="16"/>
                <w:szCs w:val="16"/>
              </w:rPr>
              <w:t>0,097</w:t>
            </w:r>
          </w:p>
        </w:tc>
        <w:tc>
          <w:tcPr>
            <w:tcW w:w="860" w:type="dxa"/>
            <w:tcBorders>
              <w:top w:val="nil"/>
              <w:left w:val="nil"/>
              <w:bottom w:val="dashed" w:sz="4" w:space="0" w:color="auto"/>
              <w:right w:val="nil"/>
            </w:tcBorders>
            <w:noWrap/>
            <w:vAlign w:val="bottom"/>
            <w:hideMark/>
          </w:tcPr>
          <w:p w14:paraId="4186292D" w14:textId="77777777" w:rsidR="00EF3CD0" w:rsidRPr="00EF3CD0" w:rsidRDefault="00EF3CD0" w:rsidP="00EF3CD0">
            <w:pPr>
              <w:spacing w:before="0" w:after="0"/>
              <w:ind w:left="0"/>
              <w:jc w:val="center"/>
              <w:rPr>
                <w:rFonts w:cs="Calibri"/>
                <w:sz w:val="16"/>
                <w:szCs w:val="16"/>
              </w:rPr>
            </w:pPr>
            <w:r w:rsidRPr="00EF3CD0">
              <w:rPr>
                <w:rFonts w:cs="Calibri"/>
                <w:sz w:val="16"/>
                <w:szCs w:val="16"/>
              </w:rPr>
              <w:t>-</w:t>
            </w:r>
          </w:p>
        </w:tc>
        <w:tc>
          <w:tcPr>
            <w:tcW w:w="420" w:type="dxa"/>
            <w:tcBorders>
              <w:top w:val="nil"/>
              <w:left w:val="nil"/>
              <w:bottom w:val="dashed" w:sz="4" w:space="0" w:color="auto"/>
              <w:right w:val="nil"/>
            </w:tcBorders>
            <w:noWrap/>
            <w:vAlign w:val="bottom"/>
            <w:hideMark/>
          </w:tcPr>
          <w:p w14:paraId="52E68787" w14:textId="77777777" w:rsidR="00EF3CD0" w:rsidRPr="00EF3CD0" w:rsidRDefault="00EF3CD0" w:rsidP="00EF3CD0">
            <w:pPr>
              <w:spacing w:before="0" w:after="0"/>
              <w:ind w:left="0"/>
              <w:jc w:val="center"/>
              <w:rPr>
                <w:rFonts w:cs="Calibri"/>
                <w:sz w:val="16"/>
                <w:szCs w:val="16"/>
              </w:rPr>
            </w:pPr>
            <w:r w:rsidRPr="00EF3CD0">
              <w:rPr>
                <w:rFonts w:cs="Calibri"/>
                <w:sz w:val="16"/>
                <w:szCs w:val="16"/>
              </w:rPr>
              <w:t>-</w:t>
            </w:r>
          </w:p>
        </w:tc>
        <w:tc>
          <w:tcPr>
            <w:tcW w:w="380" w:type="dxa"/>
            <w:tcBorders>
              <w:top w:val="nil"/>
              <w:left w:val="nil"/>
              <w:bottom w:val="dashed" w:sz="4" w:space="0" w:color="auto"/>
              <w:right w:val="nil"/>
            </w:tcBorders>
            <w:noWrap/>
            <w:vAlign w:val="bottom"/>
            <w:hideMark/>
          </w:tcPr>
          <w:p w14:paraId="70EA1A42" w14:textId="77777777" w:rsidR="00EF3CD0" w:rsidRPr="00EF3CD0" w:rsidRDefault="00EF3CD0" w:rsidP="00EF3CD0">
            <w:pPr>
              <w:spacing w:before="0" w:after="0"/>
              <w:ind w:left="0"/>
              <w:jc w:val="center"/>
              <w:rPr>
                <w:rFonts w:cs="Calibri"/>
                <w:sz w:val="16"/>
                <w:szCs w:val="16"/>
              </w:rPr>
            </w:pPr>
            <w:r w:rsidRPr="00EF3CD0">
              <w:rPr>
                <w:rFonts w:cs="Calibri"/>
                <w:sz w:val="16"/>
                <w:szCs w:val="16"/>
              </w:rPr>
              <w:t>-</w:t>
            </w:r>
          </w:p>
        </w:tc>
        <w:tc>
          <w:tcPr>
            <w:tcW w:w="347" w:type="dxa"/>
            <w:tcBorders>
              <w:top w:val="nil"/>
              <w:left w:val="nil"/>
              <w:bottom w:val="dashed" w:sz="4" w:space="0" w:color="auto"/>
              <w:right w:val="nil"/>
            </w:tcBorders>
            <w:noWrap/>
            <w:vAlign w:val="bottom"/>
            <w:hideMark/>
          </w:tcPr>
          <w:p w14:paraId="5FFE5C79" w14:textId="77777777" w:rsidR="00EF3CD0" w:rsidRPr="00EF3CD0" w:rsidRDefault="00EF3CD0" w:rsidP="00EF3CD0">
            <w:pPr>
              <w:spacing w:before="0" w:after="0"/>
              <w:ind w:left="0"/>
              <w:jc w:val="center"/>
              <w:rPr>
                <w:rFonts w:cs="Calibri"/>
                <w:sz w:val="16"/>
                <w:szCs w:val="16"/>
              </w:rPr>
            </w:pPr>
            <w:r w:rsidRPr="00EF3CD0">
              <w:rPr>
                <w:rFonts w:cs="Calibri"/>
                <w:sz w:val="16"/>
                <w:szCs w:val="16"/>
              </w:rPr>
              <w:t>-</w:t>
            </w:r>
          </w:p>
        </w:tc>
        <w:tc>
          <w:tcPr>
            <w:tcW w:w="800" w:type="dxa"/>
            <w:tcBorders>
              <w:top w:val="nil"/>
              <w:left w:val="nil"/>
              <w:bottom w:val="dashed" w:sz="4" w:space="0" w:color="auto"/>
              <w:right w:val="nil"/>
            </w:tcBorders>
            <w:noWrap/>
            <w:vAlign w:val="bottom"/>
            <w:hideMark/>
          </w:tcPr>
          <w:p w14:paraId="3C2E6998" w14:textId="77777777" w:rsidR="00EF3CD0" w:rsidRPr="00EF3CD0" w:rsidRDefault="00EF3CD0" w:rsidP="00EF3CD0">
            <w:pPr>
              <w:spacing w:before="0" w:after="0"/>
              <w:ind w:left="0"/>
              <w:jc w:val="center"/>
              <w:rPr>
                <w:rFonts w:cs="Calibri"/>
                <w:sz w:val="16"/>
                <w:szCs w:val="16"/>
              </w:rPr>
            </w:pPr>
            <w:r w:rsidRPr="00EF3CD0">
              <w:rPr>
                <w:rFonts w:cs="Calibri"/>
                <w:sz w:val="16"/>
                <w:szCs w:val="16"/>
              </w:rPr>
              <w:t>-</w:t>
            </w:r>
          </w:p>
        </w:tc>
      </w:tr>
      <w:tr w:rsidR="00EF3CD0" w:rsidRPr="00EF3CD0" w14:paraId="21319D72" w14:textId="77777777" w:rsidTr="00F937DD">
        <w:trPr>
          <w:trHeight w:val="210"/>
        </w:trPr>
        <w:tc>
          <w:tcPr>
            <w:tcW w:w="1078" w:type="dxa"/>
            <w:tcBorders>
              <w:top w:val="nil"/>
              <w:left w:val="nil"/>
              <w:bottom w:val="dashed" w:sz="4" w:space="0" w:color="auto"/>
              <w:right w:val="nil"/>
            </w:tcBorders>
            <w:noWrap/>
            <w:vAlign w:val="bottom"/>
            <w:hideMark/>
          </w:tcPr>
          <w:p w14:paraId="1CB3956D" w14:textId="77777777" w:rsidR="00EF3CD0" w:rsidRPr="00EF3CD0" w:rsidRDefault="00EF3CD0" w:rsidP="00EF3CD0">
            <w:pPr>
              <w:spacing w:before="0" w:after="0"/>
              <w:ind w:left="0"/>
              <w:jc w:val="left"/>
              <w:rPr>
                <w:rFonts w:cs="Calibri"/>
                <w:sz w:val="16"/>
                <w:szCs w:val="16"/>
              </w:rPr>
            </w:pPr>
            <w:r w:rsidRPr="00EF3CD0">
              <w:rPr>
                <w:rFonts w:cs="Calibri"/>
                <w:sz w:val="16"/>
                <w:szCs w:val="16"/>
              </w:rPr>
              <w:t>T.10-3</w:t>
            </w:r>
          </w:p>
        </w:tc>
        <w:tc>
          <w:tcPr>
            <w:tcW w:w="1184" w:type="dxa"/>
            <w:tcBorders>
              <w:top w:val="nil"/>
              <w:left w:val="nil"/>
              <w:bottom w:val="dashed" w:sz="4" w:space="0" w:color="auto"/>
              <w:right w:val="nil"/>
            </w:tcBorders>
            <w:noWrap/>
            <w:vAlign w:val="bottom"/>
            <w:hideMark/>
          </w:tcPr>
          <w:p w14:paraId="30782774" w14:textId="77777777" w:rsidR="00EF3CD0" w:rsidRPr="00EF3CD0" w:rsidRDefault="00EF3CD0" w:rsidP="00EF3CD0">
            <w:pPr>
              <w:spacing w:before="0" w:after="0"/>
              <w:ind w:left="0"/>
              <w:jc w:val="left"/>
              <w:rPr>
                <w:rFonts w:cs="Calibri"/>
                <w:sz w:val="16"/>
                <w:szCs w:val="16"/>
              </w:rPr>
            </w:pPr>
            <w:r w:rsidRPr="00EF3CD0">
              <w:rPr>
                <w:rFonts w:cs="Calibri"/>
                <w:sz w:val="16"/>
                <w:szCs w:val="16"/>
              </w:rPr>
              <w:t>SV</w:t>
            </w:r>
          </w:p>
        </w:tc>
        <w:tc>
          <w:tcPr>
            <w:tcW w:w="587" w:type="dxa"/>
            <w:tcBorders>
              <w:top w:val="nil"/>
              <w:left w:val="nil"/>
              <w:bottom w:val="dashed" w:sz="4" w:space="0" w:color="auto"/>
              <w:right w:val="nil"/>
            </w:tcBorders>
            <w:noWrap/>
            <w:vAlign w:val="bottom"/>
            <w:hideMark/>
          </w:tcPr>
          <w:p w14:paraId="0C8E511B" w14:textId="77777777" w:rsidR="00EF3CD0" w:rsidRPr="00EF3CD0" w:rsidRDefault="00EF3CD0" w:rsidP="00EF3CD0">
            <w:pPr>
              <w:spacing w:before="0" w:after="0"/>
              <w:ind w:left="0"/>
              <w:jc w:val="right"/>
              <w:rPr>
                <w:rFonts w:cs="Calibri"/>
                <w:b/>
                <w:bCs/>
                <w:sz w:val="16"/>
                <w:szCs w:val="16"/>
              </w:rPr>
            </w:pPr>
            <w:r w:rsidRPr="00EF3CD0">
              <w:rPr>
                <w:rFonts w:cs="Calibri"/>
                <w:b/>
                <w:bCs/>
                <w:sz w:val="16"/>
                <w:szCs w:val="16"/>
              </w:rPr>
              <w:t>0,249</w:t>
            </w:r>
          </w:p>
        </w:tc>
        <w:tc>
          <w:tcPr>
            <w:tcW w:w="580" w:type="dxa"/>
            <w:tcBorders>
              <w:top w:val="nil"/>
              <w:left w:val="nil"/>
              <w:bottom w:val="dashed" w:sz="4" w:space="0" w:color="auto"/>
              <w:right w:val="nil"/>
            </w:tcBorders>
            <w:noWrap/>
            <w:vAlign w:val="bottom"/>
            <w:hideMark/>
          </w:tcPr>
          <w:p w14:paraId="4ACA229E" w14:textId="77777777" w:rsidR="00EF3CD0" w:rsidRPr="00EF3CD0" w:rsidRDefault="00EF3CD0" w:rsidP="00EF3CD0">
            <w:pPr>
              <w:spacing w:before="0" w:after="0"/>
              <w:ind w:left="0"/>
              <w:jc w:val="center"/>
              <w:rPr>
                <w:rFonts w:cs="Calibri"/>
                <w:sz w:val="16"/>
                <w:szCs w:val="16"/>
              </w:rPr>
            </w:pPr>
            <w:r w:rsidRPr="00EF3CD0">
              <w:rPr>
                <w:rFonts w:cs="Calibri"/>
                <w:sz w:val="16"/>
                <w:szCs w:val="16"/>
              </w:rPr>
              <w:t>-</w:t>
            </w:r>
          </w:p>
        </w:tc>
        <w:tc>
          <w:tcPr>
            <w:tcW w:w="760" w:type="dxa"/>
            <w:tcBorders>
              <w:top w:val="nil"/>
              <w:left w:val="nil"/>
              <w:bottom w:val="dashed" w:sz="4" w:space="0" w:color="auto"/>
              <w:right w:val="nil"/>
            </w:tcBorders>
            <w:noWrap/>
            <w:vAlign w:val="bottom"/>
            <w:hideMark/>
          </w:tcPr>
          <w:p w14:paraId="479EEEE0" w14:textId="77777777" w:rsidR="00EF3CD0" w:rsidRPr="00EF3CD0" w:rsidRDefault="00EF3CD0" w:rsidP="00EF3CD0">
            <w:pPr>
              <w:spacing w:before="0" w:after="0"/>
              <w:ind w:left="0"/>
              <w:jc w:val="right"/>
              <w:rPr>
                <w:rFonts w:cs="Calibri"/>
                <w:sz w:val="16"/>
                <w:szCs w:val="16"/>
              </w:rPr>
            </w:pPr>
            <w:r w:rsidRPr="00EF3CD0">
              <w:rPr>
                <w:rFonts w:cs="Calibri"/>
                <w:sz w:val="16"/>
                <w:szCs w:val="16"/>
              </w:rPr>
              <w:t>0,111</w:t>
            </w:r>
          </w:p>
        </w:tc>
        <w:tc>
          <w:tcPr>
            <w:tcW w:w="580" w:type="dxa"/>
            <w:tcBorders>
              <w:top w:val="nil"/>
              <w:left w:val="nil"/>
              <w:bottom w:val="dashed" w:sz="4" w:space="0" w:color="auto"/>
              <w:right w:val="nil"/>
            </w:tcBorders>
            <w:noWrap/>
            <w:vAlign w:val="bottom"/>
            <w:hideMark/>
          </w:tcPr>
          <w:p w14:paraId="373EDB4C" w14:textId="77777777" w:rsidR="00EF3CD0" w:rsidRPr="00EF3CD0" w:rsidRDefault="00EF3CD0" w:rsidP="00EF3CD0">
            <w:pPr>
              <w:spacing w:before="0" w:after="0"/>
              <w:ind w:left="0"/>
              <w:jc w:val="center"/>
              <w:rPr>
                <w:rFonts w:cs="Calibri"/>
                <w:sz w:val="16"/>
                <w:szCs w:val="16"/>
              </w:rPr>
            </w:pPr>
            <w:r w:rsidRPr="00EF3CD0">
              <w:rPr>
                <w:rFonts w:cs="Calibri"/>
                <w:sz w:val="16"/>
                <w:szCs w:val="16"/>
              </w:rPr>
              <w:t>-</w:t>
            </w:r>
          </w:p>
        </w:tc>
        <w:tc>
          <w:tcPr>
            <w:tcW w:w="640" w:type="dxa"/>
            <w:tcBorders>
              <w:top w:val="nil"/>
              <w:left w:val="nil"/>
              <w:bottom w:val="dashed" w:sz="4" w:space="0" w:color="auto"/>
              <w:right w:val="nil"/>
            </w:tcBorders>
            <w:noWrap/>
            <w:vAlign w:val="bottom"/>
            <w:hideMark/>
          </w:tcPr>
          <w:p w14:paraId="016FB6E0" w14:textId="77777777" w:rsidR="00EF3CD0" w:rsidRPr="00EF3CD0" w:rsidRDefault="00EF3CD0" w:rsidP="00EF3CD0">
            <w:pPr>
              <w:spacing w:before="0" w:after="0"/>
              <w:ind w:left="0"/>
              <w:jc w:val="center"/>
              <w:rPr>
                <w:rFonts w:cs="Calibri"/>
                <w:sz w:val="16"/>
                <w:szCs w:val="16"/>
              </w:rPr>
            </w:pPr>
            <w:r w:rsidRPr="00EF3CD0">
              <w:rPr>
                <w:rFonts w:cs="Calibri"/>
                <w:sz w:val="16"/>
                <w:szCs w:val="16"/>
              </w:rPr>
              <w:t>-</w:t>
            </w:r>
          </w:p>
        </w:tc>
        <w:tc>
          <w:tcPr>
            <w:tcW w:w="720" w:type="dxa"/>
            <w:tcBorders>
              <w:top w:val="nil"/>
              <w:left w:val="nil"/>
              <w:bottom w:val="dashed" w:sz="4" w:space="0" w:color="auto"/>
              <w:right w:val="nil"/>
            </w:tcBorders>
            <w:noWrap/>
            <w:vAlign w:val="bottom"/>
            <w:hideMark/>
          </w:tcPr>
          <w:p w14:paraId="35C74EB2" w14:textId="77777777" w:rsidR="00EF3CD0" w:rsidRPr="00EF3CD0" w:rsidRDefault="00EF3CD0" w:rsidP="00EF3CD0">
            <w:pPr>
              <w:spacing w:before="0" w:after="0"/>
              <w:ind w:left="0"/>
              <w:jc w:val="right"/>
              <w:rPr>
                <w:rFonts w:cs="Calibri"/>
                <w:sz w:val="16"/>
                <w:szCs w:val="16"/>
              </w:rPr>
            </w:pPr>
            <w:r w:rsidRPr="00EF3CD0">
              <w:rPr>
                <w:rFonts w:cs="Calibri"/>
                <w:sz w:val="16"/>
                <w:szCs w:val="16"/>
              </w:rPr>
              <w:t>0,138</w:t>
            </w:r>
          </w:p>
        </w:tc>
        <w:tc>
          <w:tcPr>
            <w:tcW w:w="860" w:type="dxa"/>
            <w:tcBorders>
              <w:top w:val="nil"/>
              <w:left w:val="nil"/>
              <w:bottom w:val="dashed" w:sz="4" w:space="0" w:color="auto"/>
              <w:right w:val="nil"/>
            </w:tcBorders>
            <w:noWrap/>
            <w:vAlign w:val="bottom"/>
            <w:hideMark/>
          </w:tcPr>
          <w:p w14:paraId="3A22D9A8" w14:textId="77777777" w:rsidR="00EF3CD0" w:rsidRPr="00EF3CD0" w:rsidRDefault="00EF3CD0" w:rsidP="00EF3CD0">
            <w:pPr>
              <w:spacing w:before="0" w:after="0"/>
              <w:ind w:left="0"/>
              <w:jc w:val="center"/>
              <w:rPr>
                <w:rFonts w:cs="Calibri"/>
                <w:sz w:val="16"/>
                <w:szCs w:val="16"/>
              </w:rPr>
            </w:pPr>
            <w:r w:rsidRPr="00EF3CD0">
              <w:rPr>
                <w:rFonts w:cs="Calibri"/>
                <w:sz w:val="16"/>
                <w:szCs w:val="16"/>
              </w:rPr>
              <w:t>-</w:t>
            </w:r>
          </w:p>
        </w:tc>
        <w:tc>
          <w:tcPr>
            <w:tcW w:w="420" w:type="dxa"/>
            <w:tcBorders>
              <w:top w:val="nil"/>
              <w:left w:val="nil"/>
              <w:bottom w:val="dashed" w:sz="4" w:space="0" w:color="auto"/>
              <w:right w:val="nil"/>
            </w:tcBorders>
            <w:noWrap/>
            <w:vAlign w:val="bottom"/>
            <w:hideMark/>
          </w:tcPr>
          <w:p w14:paraId="6604E2E9" w14:textId="77777777" w:rsidR="00EF3CD0" w:rsidRPr="00EF3CD0" w:rsidRDefault="00EF3CD0" w:rsidP="00EF3CD0">
            <w:pPr>
              <w:spacing w:before="0" w:after="0"/>
              <w:ind w:left="0"/>
              <w:jc w:val="center"/>
              <w:rPr>
                <w:rFonts w:cs="Calibri"/>
                <w:sz w:val="16"/>
                <w:szCs w:val="16"/>
              </w:rPr>
            </w:pPr>
            <w:r w:rsidRPr="00EF3CD0">
              <w:rPr>
                <w:rFonts w:cs="Calibri"/>
                <w:sz w:val="16"/>
                <w:szCs w:val="16"/>
              </w:rPr>
              <w:t>-</w:t>
            </w:r>
          </w:p>
        </w:tc>
        <w:tc>
          <w:tcPr>
            <w:tcW w:w="380" w:type="dxa"/>
            <w:tcBorders>
              <w:top w:val="nil"/>
              <w:left w:val="nil"/>
              <w:bottom w:val="dashed" w:sz="4" w:space="0" w:color="auto"/>
              <w:right w:val="nil"/>
            </w:tcBorders>
            <w:noWrap/>
            <w:vAlign w:val="bottom"/>
            <w:hideMark/>
          </w:tcPr>
          <w:p w14:paraId="6481FF86" w14:textId="77777777" w:rsidR="00EF3CD0" w:rsidRPr="00EF3CD0" w:rsidRDefault="00EF3CD0" w:rsidP="00EF3CD0">
            <w:pPr>
              <w:spacing w:before="0" w:after="0"/>
              <w:ind w:left="0"/>
              <w:jc w:val="center"/>
              <w:rPr>
                <w:rFonts w:cs="Calibri"/>
                <w:sz w:val="16"/>
                <w:szCs w:val="16"/>
              </w:rPr>
            </w:pPr>
            <w:r w:rsidRPr="00EF3CD0">
              <w:rPr>
                <w:rFonts w:cs="Calibri"/>
                <w:sz w:val="16"/>
                <w:szCs w:val="16"/>
              </w:rPr>
              <w:t>-</w:t>
            </w:r>
          </w:p>
        </w:tc>
        <w:tc>
          <w:tcPr>
            <w:tcW w:w="347" w:type="dxa"/>
            <w:tcBorders>
              <w:top w:val="nil"/>
              <w:left w:val="nil"/>
              <w:bottom w:val="dashed" w:sz="4" w:space="0" w:color="auto"/>
              <w:right w:val="nil"/>
            </w:tcBorders>
            <w:noWrap/>
            <w:vAlign w:val="bottom"/>
            <w:hideMark/>
          </w:tcPr>
          <w:p w14:paraId="6A34B3AF" w14:textId="77777777" w:rsidR="00EF3CD0" w:rsidRPr="00EF3CD0" w:rsidRDefault="00EF3CD0" w:rsidP="00EF3CD0">
            <w:pPr>
              <w:spacing w:before="0" w:after="0"/>
              <w:ind w:left="0"/>
              <w:jc w:val="center"/>
              <w:rPr>
                <w:rFonts w:cs="Calibri"/>
                <w:sz w:val="16"/>
                <w:szCs w:val="16"/>
              </w:rPr>
            </w:pPr>
            <w:r w:rsidRPr="00EF3CD0">
              <w:rPr>
                <w:rFonts w:cs="Calibri"/>
                <w:sz w:val="16"/>
                <w:szCs w:val="16"/>
              </w:rPr>
              <w:t>-</w:t>
            </w:r>
          </w:p>
        </w:tc>
        <w:tc>
          <w:tcPr>
            <w:tcW w:w="800" w:type="dxa"/>
            <w:tcBorders>
              <w:top w:val="nil"/>
              <w:left w:val="nil"/>
              <w:bottom w:val="dashed" w:sz="4" w:space="0" w:color="auto"/>
              <w:right w:val="nil"/>
            </w:tcBorders>
            <w:noWrap/>
            <w:vAlign w:val="bottom"/>
            <w:hideMark/>
          </w:tcPr>
          <w:p w14:paraId="02DE3205" w14:textId="77777777" w:rsidR="00EF3CD0" w:rsidRPr="00EF3CD0" w:rsidRDefault="00EF3CD0" w:rsidP="00EF3CD0">
            <w:pPr>
              <w:spacing w:before="0" w:after="0"/>
              <w:ind w:left="0"/>
              <w:jc w:val="center"/>
              <w:rPr>
                <w:rFonts w:cs="Calibri"/>
                <w:sz w:val="16"/>
                <w:szCs w:val="16"/>
              </w:rPr>
            </w:pPr>
            <w:r w:rsidRPr="00EF3CD0">
              <w:rPr>
                <w:rFonts w:cs="Calibri"/>
                <w:sz w:val="16"/>
                <w:szCs w:val="16"/>
              </w:rPr>
              <w:t>-</w:t>
            </w:r>
          </w:p>
        </w:tc>
      </w:tr>
      <w:tr w:rsidR="00EF3CD0" w:rsidRPr="00EF3CD0" w14:paraId="670AFAFD" w14:textId="77777777" w:rsidTr="00F937DD">
        <w:trPr>
          <w:trHeight w:val="225"/>
        </w:trPr>
        <w:tc>
          <w:tcPr>
            <w:tcW w:w="1078" w:type="dxa"/>
            <w:tcBorders>
              <w:top w:val="nil"/>
              <w:left w:val="nil"/>
              <w:bottom w:val="dashed" w:sz="4" w:space="0" w:color="auto"/>
              <w:right w:val="nil"/>
            </w:tcBorders>
            <w:noWrap/>
            <w:vAlign w:val="bottom"/>
            <w:hideMark/>
          </w:tcPr>
          <w:p w14:paraId="0771D7AA" w14:textId="77777777" w:rsidR="00EF3CD0" w:rsidRPr="00EF3CD0" w:rsidRDefault="00EF3CD0" w:rsidP="00EF3CD0">
            <w:pPr>
              <w:spacing w:before="0" w:after="0"/>
              <w:ind w:left="0"/>
              <w:jc w:val="left"/>
              <w:rPr>
                <w:rFonts w:cs="Calibri"/>
                <w:sz w:val="16"/>
                <w:szCs w:val="16"/>
              </w:rPr>
            </w:pPr>
            <w:r w:rsidRPr="00EF3CD0">
              <w:rPr>
                <w:rFonts w:cs="Calibri"/>
                <w:sz w:val="16"/>
                <w:szCs w:val="16"/>
              </w:rPr>
              <w:t>T.10-4</w:t>
            </w:r>
          </w:p>
        </w:tc>
        <w:tc>
          <w:tcPr>
            <w:tcW w:w="1184" w:type="dxa"/>
            <w:tcBorders>
              <w:top w:val="nil"/>
              <w:left w:val="nil"/>
              <w:bottom w:val="dashed" w:sz="4" w:space="0" w:color="auto"/>
              <w:right w:val="nil"/>
            </w:tcBorders>
            <w:noWrap/>
            <w:vAlign w:val="bottom"/>
            <w:hideMark/>
          </w:tcPr>
          <w:p w14:paraId="356B568C" w14:textId="77777777" w:rsidR="00EF3CD0" w:rsidRPr="00EF3CD0" w:rsidRDefault="00EF3CD0" w:rsidP="00EF3CD0">
            <w:pPr>
              <w:spacing w:before="0" w:after="0"/>
              <w:ind w:left="0"/>
              <w:jc w:val="left"/>
              <w:rPr>
                <w:rFonts w:cs="Calibri"/>
                <w:sz w:val="16"/>
                <w:szCs w:val="16"/>
              </w:rPr>
            </w:pPr>
            <w:r w:rsidRPr="00EF3CD0">
              <w:rPr>
                <w:rFonts w:cs="Calibri"/>
                <w:sz w:val="16"/>
                <w:szCs w:val="16"/>
              </w:rPr>
              <w:t>SV</w:t>
            </w:r>
          </w:p>
        </w:tc>
        <w:tc>
          <w:tcPr>
            <w:tcW w:w="587" w:type="dxa"/>
            <w:tcBorders>
              <w:top w:val="nil"/>
              <w:left w:val="nil"/>
              <w:bottom w:val="dashed" w:sz="4" w:space="0" w:color="auto"/>
              <w:right w:val="nil"/>
            </w:tcBorders>
            <w:noWrap/>
            <w:vAlign w:val="bottom"/>
            <w:hideMark/>
          </w:tcPr>
          <w:p w14:paraId="71E3FEC4" w14:textId="77777777" w:rsidR="00EF3CD0" w:rsidRPr="00EF3CD0" w:rsidRDefault="00EF3CD0" w:rsidP="00AE7FA9">
            <w:pPr>
              <w:spacing w:before="0" w:after="0"/>
              <w:ind w:left="0"/>
              <w:jc w:val="left"/>
              <w:rPr>
                <w:rFonts w:cs="Calibri"/>
                <w:b/>
                <w:bCs/>
                <w:sz w:val="16"/>
                <w:szCs w:val="16"/>
              </w:rPr>
            </w:pPr>
            <w:r w:rsidRPr="00EF3CD0">
              <w:rPr>
                <w:rFonts w:cs="Calibri"/>
                <w:b/>
                <w:bCs/>
                <w:sz w:val="16"/>
                <w:szCs w:val="16"/>
              </w:rPr>
              <w:t>0,649</w:t>
            </w:r>
          </w:p>
        </w:tc>
        <w:tc>
          <w:tcPr>
            <w:tcW w:w="580" w:type="dxa"/>
            <w:tcBorders>
              <w:top w:val="nil"/>
              <w:left w:val="nil"/>
              <w:bottom w:val="dashed" w:sz="4" w:space="0" w:color="auto"/>
              <w:right w:val="nil"/>
            </w:tcBorders>
            <w:noWrap/>
            <w:vAlign w:val="bottom"/>
            <w:hideMark/>
          </w:tcPr>
          <w:p w14:paraId="52B19119" w14:textId="77777777" w:rsidR="00EF3CD0" w:rsidRPr="00EF3CD0" w:rsidRDefault="00EF3CD0" w:rsidP="00EF3CD0">
            <w:pPr>
              <w:spacing w:before="0" w:after="0"/>
              <w:ind w:left="0"/>
              <w:jc w:val="center"/>
              <w:rPr>
                <w:rFonts w:cs="Calibri"/>
                <w:sz w:val="16"/>
                <w:szCs w:val="16"/>
              </w:rPr>
            </w:pPr>
            <w:r w:rsidRPr="00EF3CD0">
              <w:rPr>
                <w:rFonts w:cs="Calibri"/>
                <w:sz w:val="16"/>
                <w:szCs w:val="16"/>
              </w:rPr>
              <w:t>-</w:t>
            </w:r>
          </w:p>
        </w:tc>
        <w:tc>
          <w:tcPr>
            <w:tcW w:w="760" w:type="dxa"/>
            <w:tcBorders>
              <w:top w:val="nil"/>
              <w:left w:val="nil"/>
              <w:bottom w:val="dashed" w:sz="4" w:space="0" w:color="auto"/>
              <w:right w:val="nil"/>
            </w:tcBorders>
            <w:noWrap/>
            <w:vAlign w:val="bottom"/>
            <w:hideMark/>
          </w:tcPr>
          <w:p w14:paraId="01185B81" w14:textId="77777777" w:rsidR="00EF3CD0" w:rsidRPr="00EF3CD0" w:rsidRDefault="00EF3CD0" w:rsidP="00EF3CD0">
            <w:pPr>
              <w:spacing w:before="0" w:after="0"/>
              <w:ind w:left="0"/>
              <w:jc w:val="right"/>
              <w:rPr>
                <w:rFonts w:cs="Calibri"/>
                <w:sz w:val="16"/>
                <w:szCs w:val="16"/>
              </w:rPr>
            </w:pPr>
            <w:r w:rsidRPr="00EF3CD0">
              <w:rPr>
                <w:rFonts w:cs="Calibri"/>
                <w:sz w:val="16"/>
                <w:szCs w:val="16"/>
              </w:rPr>
              <w:t>0,649</w:t>
            </w:r>
          </w:p>
        </w:tc>
        <w:tc>
          <w:tcPr>
            <w:tcW w:w="580" w:type="dxa"/>
            <w:tcBorders>
              <w:top w:val="nil"/>
              <w:left w:val="nil"/>
              <w:bottom w:val="dashed" w:sz="4" w:space="0" w:color="auto"/>
              <w:right w:val="nil"/>
            </w:tcBorders>
            <w:noWrap/>
            <w:vAlign w:val="bottom"/>
            <w:hideMark/>
          </w:tcPr>
          <w:p w14:paraId="1E7B1B2A" w14:textId="77777777" w:rsidR="00EF3CD0" w:rsidRPr="00EF3CD0" w:rsidRDefault="00EF3CD0" w:rsidP="00EF3CD0">
            <w:pPr>
              <w:spacing w:before="0" w:after="0"/>
              <w:ind w:left="0"/>
              <w:jc w:val="center"/>
              <w:rPr>
                <w:rFonts w:cs="Calibri"/>
                <w:sz w:val="16"/>
                <w:szCs w:val="16"/>
              </w:rPr>
            </w:pPr>
            <w:r w:rsidRPr="00EF3CD0">
              <w:rPr>
                <w:rFonts w:cs="Calibri"/>
                <w:sz w:val="16"/>
                <w:szCs w:val="16"/>
              </w:rPr>
              <w:t>-</w:t>
            </w:r>
          </w:p>
        </w:tc>
        <w:tc>
          <w:tcPr>
            <w:tcW w:w="640" w:type="dxa"/>
            <w:tcBorders>
              <w:top w:val="nil"/>
              <w:left w:val="nil"/>
              <w:bottom w:val="dashed" w:sz="4" w:space="0" w:color="auto"/>
              <w:right w:val="nil"/>
            </w:tcBorders>
            <w:noWrap/>
            <w:vAlign w:val="bottom"/>
            <w:hideMark/>
          </w:tcPr>
          <w:p w14:paraId="73CDCFAE" w14:textId="77777777" w:rsidR="00EF3CD0" w:rsidRPr="00EF3CD0" w:rsidRDefault="00EF3CD0" w:rsidP="00EF3CD0">
            <w:pPr>
              <w:spacing w:before="0" w:after="0"/>
              <w:ind w:left="0"/>
              <w:jc w:val="center"/>
              <w:rPr>
                <w:rFonts w:cs="Calibri"/>
                <w:sz w:val="16"/>
                <w:szCs w:val="16"/>
              </w:rPr>
            </w:pPr>
            <w:r w:rsidRPr="00EF3CD0">
              <w:rPr>
                <w:rFonts w:cs="Calibri"/>
                <w:sz w:val="16"/>
                <w:szCs w:val="16"/>
              </w:rPr>
              <w:t>-</w:t>
            </w:r>
          </w:p>
        </w:tc>
        <w:tc>
          <w:tcPr>
            <w:tcW w:w="720" w:type="dxa"/>
            <w:tcBorders>
              <w:top w:val="nil"/>
              <w:left w:val="nil"/>
              <w:bottom w:val="dashed" w:sz="4" w:space="0" w:color="auto"/>
              <w:right w:val="nil"/>
            </w:tcBorders>
            <w:noWrap/>
            <w:vAlign w:val="bottom"/>
            <w:hideMark/>
          </w:tcPr>
          <w:p w14:paraId="39A53F1C" w14:textId="77777777" w:rsidR="00EF3CD0" w:rsidRPr="00EF3CD0" w:rsidRDefault="00EF3CD0" w:rsidP="00EF3CD0">
            <w:pPr>
              <w:spacing w:before="0" w:after="0"/>
              <w:ind w:left="0"/>
              <w:jc w:val="center"/>
              <w:rPr>
                <w:rFonts w:cs="Calibri"/>
                <w:sz w:val="16"/>
                <w:szCs w:val="16"/>
              </w:rPr>
            </w:pPr>
            <w:r w:rsidRPr="00EF3CD0">
              <w:rPr>
                <w:rFonts w:cs="Calibri"/>
                <w:sz w:val="16"/>
                <w:szCs w:val="16"/>
              </w:rPr>
              <w:t>-</w:t>
            </w:r>
          </w:p>
        </w:tc>
        <w:tc>
          <w:tcPr>
            <w:tcW w:w="860" w:type="dxa"/>
            <w:tcBorders>
              <w:top w:val="nil"/>
              <w:left w:val="nil"/>
              <w:bottom w:val="dashed" w:sz="4" w:space="0" w:color="auto"/>
              <w:right w:val="nil"/>
            </w:tcBorders>
            <w:noWrap/>
            <w:vAlign w:val="bottom"/>
            <w:hideMark/>
          </w:tcPr>
          <w:p w14:paraId="1372DED4" w14:textId="77777777" w:rsidR="00EF3CD0" w:rsidRPr="00EF3CD0" w:rsidRDefault="00EF3CD0" w:rsidP="00EF3CD0">
            <w:pPr>
              <w:spacing w:before="0" w:after="0"/>
              <w:ind w:left="0"/>
              <w:jc w:val="center"/>
              <w:rPr>
                <w:rFonts w:cs="Calibri"/>
                <w:sz w:val="16"/>
                <w:szCs w:val="16"/>
              </w:rPr>
            </w:pPr>
            <w:r w:rsidRPr="00EF3CD0">
              <w:rPr>
                <w:rFonts w:cs="Calibri"/>
                <w:sz w:val="16"/>
                <w:szCs w:val="16"/>
              </w:rPr>
              <w:t>-</w:t>
            </w:r>
          </w:p>
        </w:tc>
        <w:tc>
          <w:tcPr>
            <w:tcW w:w="420" w:type="dxa"/>
            <w:tcBorders>
              <w:top w:val="nil"/>
              <w:left w:val="nil"/>
              <w:bottom w:val="dashed" w:sz="4" w:space="0" w:color="auto"/>
              <w:right w:val="nil"/>
            </w:tcBorders>
            <w:noWrap/>
            <w:vAlign w:val="bottom"/>
            <w:hideMark/>
          </w:tcPr>
          <w:p w14:paraId="38DB33B2" w14:textId="77777777" w:rsidR="00EF3CD0" w:rsidRPr="00EF3CD0" w:rsidRDefault="00EF3CD0" w:rsidP="00EF3CD0">
            <w:pPr>
              <w:spacing w:before="0" w:after="0"/>
              <w:ind w:left="0"/>
              <w:jc w:val="center"/>
              <w:rPr>
                <w:rFonts w:cs="Calibri"/>
                <w:sz w:val="16"/>
                <w:szCs w:val="16"/>
              </w:rPr>
            </w:pPr>
            <w:r w:rsidRPr="00EF3CD0">
              <w:rPr>
                <w:rFonts w:cs="Calibri"/>
                <w:sz w:val="16"/>
                <w:szCs w:val="16"/>
              </w:rPr>
              <w:t>-</w:t>
            </w:r>
          </w:p>
        </w:tc>
        <w:tc>
          <w:tcPr>
            <w:tcW w:w="380" w:type="dxa"/>
            <w:tcBorders>
              <w:top w:val="nil"/>
              <w:left w:val="nil"/>
              <w:bottom w:val="dashed" w:sz="4" w:space="0" w:color="auto"/>
              <w:right w:val="nil"/>
            </w:tcBorders>
            <w:noWrap/>
            <w:vAlign w:val="bottom"/>
            <w:hideMark/>
          </w:tcPr>
          <w:p w14:paraId="4C5B14D8" w14:textId="77777777" w:rsidR="00EF3CD0" w:rsidRPr="00EF3CD0" w:rsidRDefault="00EF3CD0" w:rsidP="00EF3CD0">
            <w:pPr>
              <w:spacing w:before="0" w:after="0"/>
              <w:ind w:left="0"/>
              <w:jc w:val="center"/>
              <w:rPr>
                <w:rFonts w:cs="Calibri"/>
                <w:sz w:val="16"/>
                <w:szCs w:val="16"/>
              </w:rPr>
            </w:pPr>
            <w:r w:rsidRPr="00EF3CD0">
              <w:rPr>
                <w:rFonts w:cs="Calibri"/>
                <w:sz w:val="16"/>
                <w:szCs w:val="16"/>
              </w:rPr>
              <w:t>-</w:t>
            </w:r>
          </w:p>
        </w:tc>
        <w:tc>
          <w:tcPr>
            <w:tcW w:w="347" w:type="dxa"/>
            <w:tcBorders>
              <w:top w:val="nil"/>
              <w:left w:val="nil"/>
              <w:bottom w:val="dashed" w:sz="4" w:space="0" w:color="auto"/>
              <w:right w:val="nil"/>
            </w:tcBorders>
            <w:noWrap/>
            <w:vAlign w:val="bottom"/>
            <w:hideMark/>
          </w:tcPr>
          <w:p w14:paraId="5D3B92DC" w14:textId="77777777" w:rsidR="00EF3CD0" w:rsidRPr="00EF3CD0" w:rsidRDefault="00EF3CD0" w:rsidP="00EF3CD0">
            <w:pPr>
              <w:spacing w:before="0" w:after="0"/>
              <w:ind w:left="0"/>
              <w:jc w:val="center"/>
              <w:rPr>
                <w:rFonts w:cs="Calibri"/>
                <w:sz w:val="16"/>
                <w:szCs w:val="16"/>
              </w:rPr>
            </w:pPr>
            <w:r w:rsidRPr="00EF3CD0">
              <w:rPr>
                <w:rFonts w:cs="Calibri"/>
                <w:sz w:val="16"/>
                <w:szCs w:val="16"/>
              </w:rPr>
              <w:t>-</w:t>
            </w:r>
          </w:p>
        </w:tc>
        <w:tc>
          <w:tcPr>
            <w:tcW w:w="800" w:type="dxa"/>
            <w:tcBorders>
              <w:top w:val="nil"/>
              <w:left w:val="nil"/>
              <w:bottom w:val="dashed" w:sz="4" w:space="0" w:color="auto"/>
              <w:right w:val="nil"/>
            </w:tcBorders>
            <w:noWrap/>
            <w:vAlign w:val="bottom"/>
            <w:hideMark/>
          </w:tcPr>
          <w:p w14:paraId="517DED71" w14:textId="77777777" w:rsidR="00EF3CD0" w:rsidRPr="00EF3CD0" w:rsidRDefault="00EF3CD0" w:rsidP="00EF3CD0">
            <w:pPr>
              <w:spacing w:before="0" w:after="0"/>
              <w:ind w:left="0"/>
              <w:jc w:val="center"/>
              <w:rPr>
                <w:rFonts w:cs="Calibri"/>
                <w:sz w:val="16"/>
                <w:szCs w:val="16"/>
              </w:rPr>
            </w:pPr>
            <w:r w:rsidRPr="00EF3CD0">
              <w:rPr>
                <w:rFonts w:cs="Calibri"/>
                <w:sz w:val="16"/>
                <w:szCs w:val="16"/>
              </w:rPr>
              <w:t>-</w:t>
            </w:r>
          </w:p>
        </w:tc>
      </w:tr>
      <w:tr w:rsidR="00AE7FA9" w:rsidRPr="00EF3CD0" w14:paraId="7807C243" w14:textId="77777777" w:rsidTr="00F937DD">
        <w:trPr>
          <w:trHeight w:val="225"/>
        </w:trPr>
        <w:tc>
          <w:tcPr>
            <w:tcW w:w="2262" w:type="dxa"/>
            <w:gridSpan w:val="2"/>
            <w:tcBorders>
              <w:top w:val="nil"/>
              <w:left w:val="nil"/>
              <w:bottom w:val="dashed" w:sz="4" w:space="0" w:color="auto"/>
              <w:right w:val="nil"/>
            </w:tcBorders>
            <w:noWrap/>
            <w:vAlign w:val="bottom"/>
          </w:tcPr>
          <w:p w14:paraId="7C906A81" w14:textId="474281D9" w:rsidR="00AE7FA9" w:rsidRPr="00EF3CD0" w:rsidRDefault="00AE7FA9" w:rsidP="00AE7FA9">
            <w:pPr>
              <w:spacing w:before="0" w:after="0"/>
              <w:ind w:left="0"/>
              <w:jc w:val="left"/>
              <w:rPr>
                <w:rFonts w:cs="Calibri"/>
                <w:sz w:val="16"/>
                <w:szCs w:val="16"/>
              </w:rPr>
            </w:pPr>
            <w:r w:rsidRPr="00EF3CD0">
              <w:rPr>
                <w:rFonts w:cs="Calibri"/>
                <w:b/>
                <w:bCs/>
                <w:i/>
                <w:iCs/>
                <w:sz w:val="16"/>
                <w:szCs w:val="16"/>
              </w:rPr>
              <w:t>plochy transformační celkem</w:t>
            </w:r>
          </w:p>
        </w:tc>
        <w:tc>
          <w:tcPr>
            <w:tcW w:w="587" w:type="dxa"/>
            <w:tcBorders>
              <w:top w:val="nil"/>
              <w:left w:val="nil"/>
              <w:bottom w:val="dashed" w:sz="4" w:space="0" w:color="auto"/>
              <w:right w:val="nil"/>
            </w:tcBorders>
            <w:noWrap/>
            <w:vAlign w:val="center"/>
          </w:tcPr>
          <w:p w14:paraId="4B52CCE0" w14:textId="3D3B899A" w:rsidR="00AE7FA9" w:rsidRPr="00EF3CD0" w:rsidRDefault="00AE7FA9" w:rsidP="00AE7FA9">
            <w:pPr>
              <w:spacing w:before="0" w:after="0"/>
              <w:ind w:left="0"/>
              <w:jc w:val="left"/>
              <w:rPr>
                <w:rFonts w:cs="Calibri"/>
                <w:b/>
                <w:bCs/>
                <w:sz w:val="16"/>
                <w:szCs w:val="16"/>
              </w:rPr>
            </w:pPr>
            <w:r w:rsidRPr="00EF3CD0">
              <w:rPr>
                <w:rFonts w:cs="Calibri"/>
                <w:b/>
                <w:bCs/>
                <w:i/>
                <w:iCs/>
                <w:sz w:val="16"/>
                <w:szCs w:val="16"/>
              </w:rPr>
              <w:t>4,798</w:t>
            </w:r>
          </w:p>
        </w:tc>
        <w:tc>
          <w:tcPr>
            <w:tcW w:w="580" w:type="dxa"/>
            <w:tcBorders>
              <w:top w:val="nil"/>
              <w:left w:val="nil"/>
              <w:bottom w:val="dashed" w:sz="4" w:space="0" w:color="auto"/>
              <w:right w:val="nil"/>
            </w:tcBorders>
            <w:noWrap/>
            <w:vAlign w:val="center"/>
          </w:tcPr>
          <w:p w14:paraId="428A8A83" w14:textId="301AAA05" w:rsidR="00AE7FA9" w:rsidRPr="00EF3CD0" w:rsidRDefault="00AE7FA9" w:rsidP="00AE7FA9">
            <w:pPr>
              <w:spacing w:before="0" w:after="0"/>
              <w:ind w:left="0"/>
              <w:jc w:val="center"/>
              <w:rPr>
                <w:rFonts w:cs="Calibri"/>
                <w:sz w:val="16"/>
                <w:szCs w:val="16"/>
              </w:rPr>
            </w:pPr>
            <w:r w:rsidRPr="00EF3CD0">
              <w:rPr>
                <w:rFonts w:cs="Calibri"/>
                <w:b/>
                <w:bCs/>
                <w:i/>
                <w:iCs/>
                <w:sz w:val="16"/>
                <w:szCs w:val="16"/>
              </w:rPr>
              <w:t>0,000</w:t>
            </w:r>
          </w:p>
        </w:tc>
        <w:tc>
          <w:tcPr>
            <w:tcW w:w="760" w:type="dxa"/>
            <w:tcBorders>
              <w:top w:val="nil"/>
              <w:left w:val="nil"/>
              <w:bottom w:val="dashed" w:sz="4" w:space="0" w:color="auto"/>
              <w:right w:val="nil"/>
            </w:tcBorders>
            <w:noWrap/>
            <w:vAlign w:val="center"/>
          </w:tcPr>
          <w:p w14:paraId="57F094F6" w14:textId="09F949D3" w:rsidR="00AE7FA9" w:rsidRPr="00EF3CD0" w:rsidRDefault="00AE7FA9" w:rsidP="00AE7FA9">
            <w:pPr>
              <w:spacing w:before="0" w:after="0"/>
              <w:ind w:left="0"/>
              <w:jc w:val="right"/>
              <w:rPr>
                <w:rFonts w:cs="Calibri"/>
                <w:sz w:val="16"/>
                <w:szCs w:val="16"/>
              </w:rPr>
            </w:pPr>
            <w:r w:rsidRPr="00EF3CD0">
              <w:rPr>
                <w:rFonts w:cs="Calibri"/>
                <w:b/>
                <w:bCs/>
                <w:i/>
                <w:iCs/>
                <w:sz w:val="16"/>
                <w:szCs w:val="16"/>
              </w:rPr>
              <w:t>1,201</w:t>
            </w:r>
          </w:p>
        </w:tc>
        <w:tc>
          <w:tcPr>
            <w:tcW w:w="580" w:type="dxa"/>
            <w:tcBorders>
              <w:top w:val="nil"/>
              <w:left w:val="nil"/>
              <w:bottom w:val="dashed" w:sz="4" w:space="0" w:color="auto"/>
              <w:right w:val="nil"/>
            </w:tcBorders>
            <w:noWrap/>
            <w:vAlign w:val="center"/>
          </w:tcPr>
          <w:p w14:paraId="438F853F" w14:textId="3B91EC7C" w:rsidR="00AE7FA9" w:rsidRPr="00EF3CD0" w:rsidRDefault="00AE7FA9" w:rsidP="00AE7FA9">
            <w:pPr>
              <w:spacing w:before="0" w:after="0"/>
              <w:ind w:left="0"/>
              <w:jc w:val="center"/>
              <w:rPr>
                <w:rFonts w:cs="Calibri"/>
                <w:sz w:val="16"/>
                <w:szCs w:val="16"/>
              </w:rPr>
            </w:pPr>
            <w:r w:rsidRPr="00EF3CD0">
              <w:rPr>
                <w:rFonts w:cs="Calibri"/>
                <w:b/>
                <w:bCs/>
                <w:i/>
                <w:iCs/>
                <w:sz w:val="16"/>
                <w:szCs w:val="16"/>
              </w:rPr>
              <w:t>0,000</w:t>
            </w:r>
          </w:p>
        </w:tc>
        <w:tc>
          <w:tcPr>
            <w:tcW w:w="640" w:type="dxa"/>
            <w:tcBorders>
              <w:top w:val="nil"/>
              <w:left w:val="nil"/>
              <w:bottom w:val="dashed" w:sz="4" w:space="0" w:color="auto"/>
              <w:right w:val="nil"/>
            </w:tcBorders>
            <w:noWrap/>
            <w:vAlign w:val="center"/>
          </w:tcPr>
          <w:p w14:paraId="73F7A098" w14:textId="682A19CD" w:rsidR="00AE7FA9" w:rsidRPr="00EF3CD0" w:rsidRDefault="00AE7FA9" w:rsidP="00AE7FA9">
            <w:pPr>
              <w:spacing w:before="0" w:after="0"/>
              <w:ind w:left="0"/>
              <w:jc w:val="center"/>
              <w:rPr>
                <w:rFonts w:cs="Calibri"/>
                <w:sz w:val="16"/>
                <w:szCs w:val="16"/>
              </w:rPr>
            </w:pPr>
            <w:r w:rsidRPr="00EF3CD0">
              <w:rPr>
                <w:rFonts w:cs="Calibri"/>
                <w:b/>
                <w:bCs/>
                <w:i/>
                <w:iCs/>
                <w:sz w:val="16"/>
                <w:szCs w:val="16"/>
              </w:rPr>
              <w:t>0,579</w:t>
            </w:r>
          </w:p>
        </w:tc>
        <w:tc>
          <w:tcPr>
            <w:tcW w:w="720" w:type="dxa"/>
            <w:tcBorders>
              <w:top w:val="nil"/>
              <w:left w:val="nil"/>
              <w:bottom w:val="dashed" w:sz="4" w:space="0" w:color="auto"/>
              <w:right w:val="nil"/>
            </w:tcBorders>
            <w:noWrap/>
            <w:vAlign w:val="center"/>
          </w:tcPr>
          <w:p w14:paraId="7DD8D7D5" w14:textId="322CB5A0" w:rsidR="00AE7FA9" w:rsidRPr="00EF3CD0" w:rsidRDefault="00AE7FA9" w:rsidP="00AE7FA9">
            <w:pPr>
              <w:spacing w:before="0" w:after="0"/>
              <w:ind w:left="0"/>
              <w:jc w:val="center"/>
              <w:rPr>
                <w:rFonts w:cs="Calibri"/>
                <w:sz w:val="16"/>
                <w:szCs w:val="16"/>
              </w:rPr>
            </w:pPr>
            <w:r w:rsidRPr="00EF3CD0">
              <w:rPr>
                <w:rFonts w:cs="Calibri"/>
                <w:b/>
                <w:bCs/>
                <w:i/>
                <w:iCs/>
                <w:sz w:val="16"/>
                <w:szCs w:val="16"/>
              </w:rPr>
              <w:t>3,018</w:t>
            </w:r>
          </w:p>
        </w:tc>
        <w:tc>
          <w:tcPr>
            <w:tcW w:w="860" w:type="dxa"/>
            <w:tcBorders>
              <w:top w:val="nil"/>
              <w:left w:val="nil"/>
              <w:bottom w:val="dashed" w:sz="4" w:space="0" w:color="auto"/>
              <w:right w:val="nil"/>
            </w:tcBorders>
            <w:noWrap/>
            <w:vAlign w:val="bottom"/>
          </w:tcPr>
          <w:p w14:paraId="02DD06E3" w14:textId="77777777" w:rsidR="00AE7FA9" w:rsidRPr="00EF3CD0" w:rsidRDefault="00AE7FA9" w:rsidP="00AE7FA9">
            <w:pPr>
              <w:spacing w:before="0" w:after="0"/>
              <w:ind w:left="0"/>
              <w:jc w:val="center"/>
              <w:rPr>
                <w:rFonts w:cs="Calibri"/>
                <w:sz w:val="16"/>
                <w:szCs w:val="16"/>
              </w:rPr>
            </w:pPr>
          </w:p>
        </w:tc>
        <w:tc>
          <w:tcPr>
            <w:tcW w:w="420" w:type="dxa"/>
            <w:tcBorders>
              <w:top w:val="nil"/>
              <w:left w:val="nil"/>
              <w:bottom w:val="dashed" w:sz="4" w:space="0" w:color="auto"/>
              <w:right w:val="nil"/>
            </w:tcBorders>
            <w:noWrap/>
            <w:vAlign w:val="bottom"/>
          </w:tcPr>
          <w:p w14:paraId="745DD35B" w14:textId="77777777" w:rsidR="00AE7FA9" w:rsidRPr="00EF3CD0" w:rsidRDefault="00AE7FA9" w:rsidP="00AE7FA9">
            <w:pPr>
              <w:spacing w:before="0" w:after="0"/>
              <w:ind w:left="0"/>
              <w:jc w:val="center"/>
              <w:rPr>
                <w:rFonts w:cs="Calibri"/>
                <w:sz w:val="16"/>
                <w:szCs w:val="16"/>
              </w:rPr>
            </w:pPr>
          </w:p>
        </w:tc>
        <w:tc>
          <w:tcPr>
            <w:tcW w:w="380" w:type="dxa"/>
            <w:tcBorders>
              <w:top w:val="nil"/>
              <w:left w:val="nil"/>
              <w:bottom w:val="dashed" w:sz="4" w:space="0" w:color="auto"/>
              <w:right w:val="nil"/>
            </w:tcBorders>
            <w:noWrap/>
            <w:vAlign w:val="bottom"/>
          </w:tcPr>
          <w:p w14:paraId="4E82404C" w14:textId="77777777" w:rsidR="00AE7FA9" w:rsidRPr="00EF3CD0" w:rsidRDefault="00AE7FA9" w:rsidP="00AE7FA9">
            <w:pPr>
              <w:spacing w:before="0" w:after="0"/>
              <w:ind w:left="0"/>
              <w:jc w:val="center"/>
              <w:rPr>
                <w:rFonts w:cs="Calibri"/>
                <w:sz w:val="16"/>
                <w:szCs w:val="16"/>
              </w:rPr>
            </w:pPr>
          </w:p>
        </w:tc>
        <w:tc>
          <w:tcPr>
            <w:tcW w:w="347" w:type="dxa"/>
            <w:tcBorders>
              <w:top w:val="nil"/>
              <w:left w:val="nil"/>
              <w:bottom w:val="dashed" w:sz="4" w:space="0" w:color="auto"/>
              <w:right w:val="nil"/>
            </w:tcBorders>
            <w:noWrap/>
            <w:vAlign w:val="bottom"/>
          </w:tcPr>
          <w:p w14:paraId="75E98649" w14:textId="77777777" w:rsidR="00AE7FA9" w:rsidRPr="00EF3CD0" w:rsidRDefault="00AE7FA9" w:rsidP="00AE7FA9">
            <w:pPr>
              <w:spacing w:before="0" w:after="0"/>
              <w:ind w:left="0"/>
              <w:jc w:val="center"/>
              <w:rPr>
                <w:rFonts w:cs="Calibri"/>
                <w:sz w:val="16"/>
                <w:szCs w:val="16"/>
              </w:rPr>
            </w:pPr>
          </w:p>
        </w:tc>
        <w:tc>
          <w:tcPr>
            <w:tcW w:w="800" w:type="dxa"/>
            <w:tcBorders>
              <w:top w:val="nil"/>
              <w:left w:val="nil"/>
              <w:bottom w:val="dashed" w:sz="4" w:space="0" w:color="auto"/>
              <w:right w:val="nil"/>
            </w:tcBorders>
            <w:noWrap/>
            <w:vAlign w:val="bottom"/>
          </w:tcPr>
          <w:p w14:paraId="1AD1A731" w14:textId="77777777" w:rsidR="00AE7FA9" w:rsidRPr="00EF3CD0" w:rsidRDefault="00AE7FA9" w:rsidP="00AE7FA9">
            <w:pPr>
              <w:spacing w:before="0" w:after="0"/>
              <w:ind w:left="0"/>
              <w:jc w:val="center"/>
              <w:rPr>
                <w:rFonts w:cs="Calibri"/>
                <w:sz w:val="16"/>
                <w:szCs w:val="16"/>
              </w:rPr>
            </w:pPr>
          </w:p>
        </w:tc>
      </w:tr>
      <w:tr w:rsidR="00AE7FA9" w:rsidRPr="00EF3CD0" w14:paraId="74423D88" w14:textId="77777777" w:rsidTr="00F937DD">
        <w:trPr>
          <w:trHeight w:val="225"/>
        </w:trPr>
        <w:tc>
          <w:tcPr>
            <w:tcW w:w="8936" w:type="dxa"/>
            <w:gridSpan w:val="13"/>
            <w:tcBorders>
              <w:top w:val="dashed" w:sz="4" w:space="0" w:color="auto"/>
              <w:left w:val="nil"/>
              <w:bottom w:val="dashed" w:sz="4" w:space="0" w:color="auto"/>
              <w:right w:val="nil"/>
            </w:tcBorders>
            <w:vAlign w:val="center"/>
            <w:hideMark/>
          </w:tcPr>
          <w:p w14:paraId="5988E83C" w14:textId="77777777" w:rsidR="00AE7FA9" w:rsidRPr="00EF3CD0" w:rsidRDefault="00AE7FA9" w:rsidP="00AE7FA9">
            <w:pPr>
              <w:spacing w:before="0" w:after="0"/>
              <w:ind w:left="0"/>
              <w:jc w:val="left"/>
              <w:rPr>
                <w:rFonts w:cs="Calibri"/>
                <w:b/>
                <w:bCs/>
                <w:i/>
                <w:iCs/>
                <w:sz w:val="16"/>
                <w:szCs w:val="16"/>
              </w:rPr>
            </w:pPr>
            <w:r w:rsidRPr="00EF3CD0">
              <w:rPr>
                <w:rFonts w:cs="Calibri"/>
                <w:b/>
                <w:bCs/>
                <w:i/>
                <w:iCs/>
                <w:sz w:val="16"/>
                <w:szCs w:val="16"/>
              </w:rPr>
              <w:t>zastavitelné plochy</w:t>
            </w:r>
          </w:p>
        </w:tc>
      </w:tr>
      <w:tr w:rsidR="00AE7FA9" w:rsidRPr="00EF3CD0" w14:paraId="0BC78F2F" w14:textId="77777777" w:rsidTr="00F937DD">
        <w:trPr>
          <w:trHeight w:val="225"/>
        </w:trPr>
        <w:tc>
          <w:tcPr>
            <w:tcW w:w="1078" w:type="dxa"/>
            <w:tcBorders>
              <w:top w:val="nil"/>
              <w:left w:val="nil"/>
              <w:bottom w:val="dashed" w:sz="4" w:space="0" w:color="auto"/>
              <w:right w:val="nil"/>
            </w:tcBorders>
            <w:noWrap/>
            <w:vAlign w:val="bottom"/>
            <w:hideMark/>
          </w:tcPr>
          <w:p w14:paraId="2C3F6E4A" w14:textId="77777777" w:rsidR="00AE7FA9" w:rsidRPr="00EF3CD0" w:rsidRDefault="00AE7FA9" w:rsidP="00AE7FA9">
            <w:pPr>
              <w:spacing w:before="0" w:after="0"/>
              <w:ind w:left="0"/>
              <w:jc w:val="left"/>
              <w:rPr>
                <w:rFonts w:cs="Calibri"/>
                <w:sz w:val="16"/>
                <w:szCs w:val="16"/>
              </w:rPr>
            </w:pPr>
            <w:r w:rsidRPr="00EF3CD0">
              <w:rPr>
                <w:rFonts w:cs="Calibri"/>
                <w:sz w:val="16"/>
                <w:szCs w:val="16"/>
              </w:rPr>
              <w:t>Z.02-1</w:t>
            </w:r>
          </w:p>
        </w:tc>
        <w:tc>
          <w:tcPr>
            <w:tcW w:w="1184" w:type="dxa"/>
            <w:tcBorders>
              <w:top w:val="nil"/>
              <w:left w:val="nil"/>
              <w:bottom w:val="dashed" w:sz="4" w:space="0" w:color="auto"/>
              <w:right w:val="nil"/>
            </w:tcBorders>
            <w:noWrap/>
            <w:vAlign w:val="bottom"/>
            <w:hideMark/>
          </w:tcPr>
          <w:p w14:paraId="1876C54E" w14:textId="77777777" w:rsidR="00AE7FA9" w:rsidRPr="00EF3CD0" w:rsidRDefault="00AE7FA9" w:rsidP="00AE7FA9">
            <w:pPr>
              <w:spacing w:before="0" w:after="0"/>
              <w:ind w:left="0"/>
              <w:jc w:val="left"/>
              <w:rPr>
                <w:rFonts w:cs="Calibri"/>
                <w:sz w:val="16"/>
                <w:szCs w:val="16"/>
              </w:rPr>
            </w:pPr>
            <w:r w:rsidRPr="00EF3CD0">
              <w:rPr>
                <w:rFonts w:cs="Calibri"/>
                <w:sz w:val="16"/>
                <w:szCs w:val="16"/>
              </w:rPr>
              <w:t>SV</w:t>
            </w:r>
          </w:p>
        </w:tc>
        <w:tc>
          <w:tcPr>
            <w:tcW w:w="587" w:type="dxa"/>
            <w:tcBorders>
              <w:top w:val="nil"/>
              <w:left w:val="nil"/>
              <w:bottom w:val="dashed" w:sz="4" w:space="0" w:color="auto"/>
              <w:right w:val="nil"/>
            </w:tcBorders>
            <w:noWrap/>
            <w:vAlign w:val="bottom"/>
            <w:hideMark/>
          </w:tcPr>
          <w:p w14:paraId="1F7C128F" w14:textId="77777777" w:rsidR="00AE7FA9" w:rsidRPr="00EF3CD0" w:rsidRDefault="00AE7FA9" w:rsidP="00AE7FA9">
            <w:pPr>
              <w:spacing w:before="0" w:after="0"/>
              <w:ind w:left="0"/>
              <w:jc w:val="right"/>
              <w:rPr>
                <w:rFonts w:cs="Calibri"/>
                <w:b/>
                <w:bCs/>
                <w:sz w:val="16"/>
                <w:szCs w:val="16"/>
              </w:rPr>
            </w:pPr>
            <w:r w:rsidRPr="00EF3CD0">
              <w:rPr>
                <w:rFonts w:cs="Calibri"/>
                <w:b/>
                <w:bCs/>
                <w:sz w:val="16"/>
                <w:szCs w:val="16"/>
              </w:rPr>
              <w:t>9,982</w:t>
            </w:r>
          </w:p>
        </w:tc>
        <w:tc>
          <w:tcPr>
            <w:tcW w:w="580" w:type="dxa"/>
            <w:tcBorders>
              <w:top w:val="nil"/>
              <w:left w:val="nil"/>
              <w:bottom w:val="dashed" w:sz="4" w:space="0" w:color="auto"/>
              <w:right w:val="nil"/>
            </w:tcBorders>
            <w:noWrap/>
            <w:vAlign w:val="bottom"/>
            <w:hideMark/>
          </w:tcPr>
          <w:p w14:paraId="75E0CDE4" w14:textId="77777777" w:rsidR="00AE7FA9" w:rsidRPr="00EF3CD0" w:rsidRDefault="00AE7FA9" w:rsidP="00AE7FA9">
            <w:pPr>
              <w:spacing w:before="0" w:after="0"/>
              <w:ind w:left="0"/>
              <w:jc w:val="center"/>
              <w:rPr>
                <w:rFonts w:cs="Calibri"/>
                <w:sz w:val="16"/>
                <w:szCs w:val="16"/>
              </w:rPr>
            </w:pPr>
            <w:r w:rsidRPr="00EF3CD0">
              <w:rPr>
                <w:rFonts w:cs="Calibri"/>
                <w:sz w:val="16"/>
                <w:szCs w:val="16"/>
              </w:rPr>
              <w:t>-</w:t>
            </w:r>
          </w:p>
        </w:tc>
        <w:tc>
          <w:tcPr>
            <w:tcW w:w="760" w:type="dxa"/>
            <w:tcBorders>
              <w:top w:val="nil"/>
              <w:left w:val="nil"/>
              <w:bottom w:val="dashed" w:sz="4" w:space="0" w:color="auto"/>
              <w:right w:val="nil"/>
            </w:tcBorders>
            <w:noWrap/>
            <w:vAlign w:val="bottom"/>
            <w:hideMark/>
          </w:tcPr>
          <w:p w14:paraId="4C478AC7" w14:textId="77777777" w:rsidR="00AE7FA9" w:rsidRPr="00EF3CD0" w:rsidRDefault="00AE7FA9" w:rsidP="00AE7FA9">
            <w:pPr>
              <w:spacing w:before="0" w:after="0"/>
              <w:ind w:left="0"/>
              <w:jc w:val="right"/>
              <w:rPr>
                <w:rFonts w:cs="Calibri"/>
                <w:sz w:val="16"/>
                <w:szCs w:val="16"/>
              </w:rPr>
            </w:pPr>
            <w:r w:rsidRPr="00EF3CD0">
              <w:rPr>
                <w:rFonts w:cs="Calibri"/>
                <w:sz w:val="16"/>
                <w:szCs w:val="16"/>
              </w:rPr>
              <w:t>1,138</w:t>
            </w:r>
          </w:p>
        </w:tc>
        <w:tc>
          <w:tcPr>
            <w:tcW w:w="580" w:type="dxa"/>
            <w:tcBorders>
              <w:top w:val="nil"/>
              <w:left w:val="nil"/>
              <w:bottom w:val="dashed" w:sz="4" w:space="0" w:color="auto"/>
              <w:right w:val="nil"/>
            </w:tcBorders>
            <w:noWrap/>
            <w:vAlign w:val="bottom"/>
            <w:hideMark/>
          </w:tcPr>
          <w:p w14:paraId="6FA3E44F" w14:textId="77777777" w:rsidR="00AE7FA9" w:rsidRPr="00EF3CD0" w:rsidRDefault="00AE7FA9" w:rsidP="00AE7FA9">
            <w:pPr>
              <w:spacing w:before="0" w:after="0"/>
              <w:ind w:left="0"/>
              <w:jc w:val="center"/>
              <w:rPr>
                <w:rFonts w:cs="Calibri"/>
                <w:sz w:val="16"/>
                <w:szCs w:val="16"/>
              </w:rPr>
            </w:pPr>
            <w:r w:rsidRPr="00EF3CD0">
              <w:rPr>
                <w:rFonts w:cs="Calibri"/>
                <w:sz w:val="16"/>
                <w:szCs w:val="16"/>
              </w:rPr>
              <w:t>-</w:t>
            </w:r>
          </w:p>
        </w:tc>
        <w:tc>
          <w:tcPr>
            <w:tcW w:w="640" w:type="dxa"/>
            <w:tcBorders>
              <w:top w:val="nil"/>
              <w:left w:val="nil"/>
              <w:bottom w:val="dashed" w:sz="4" w:space="0" w:color="auto"/>
              <w:right w:val="nil"/>
            </w:tcBorders>
            <w:noWrap/>
            <w:vAlign w:val="bottom"/>
            <w:hideMark/>
          </w:tcPr>
          <w:p w14:paraId="7D7A99BD" w14:textId="77777777" w:rsidR="00AE7FA9" w:rsidRPr="00EF3CD0" w:rsidRDefault="00AE7FA9" w:rsidP="00AE7FA9">
            <w:pPr>
              <w:spacing w:before="0" w:after="0"/>
              <w:ind w:left="0"/>
              <w:jc w:val="center"/>
              <w:rPr>
                <w:rFonts w:cs="Calibri"/>
                <w:sz w:val="16"/>
                <w:szCs w:val="16"/>
              </w:rPr>
            </w:pPr>
            <w:r w:rsidRPr="00EF3CD0">
              <w:rPr>
                <w:rFonts w:cs="Calibri"/>
                <w:sz w:val="16"/>
                <w:szCs w:val="16"/>
              </w:rPr>
              <w:t>-</w:t>
            </w:r>
          </w:p>
        </w:tc>
        <w:tc>
          <w:tcPr>
            <w:tcW w:w="720" w:type="dxa"/>
            <w:tcBorders>
              <w:top w:val="nil"/>
              <w:left w:val="nil"/>
              <w:bottom w:val="dashed" w:sz="4" w:space="0" w:color="auto"/>
              <w:right w:val="nil"/>
            </w:tcBorders>
            <w:noWrap/>
            <w:vAlign w:val="bottom"/>
            <w:hideMark/>
          </w:tcPr>
          <w:p w14:paraId="6368EF5A" w14:textId="77777777" w:rsidR="00AE7FA9" w:rsidRPr="00EF3CD0" w:rsidRDefault="00AE7FA9" w:rsidP="00AE7FA9">
            <w:pPr>
              <w:spacing w:before="0" w:after="0"/>
              <w:ind w:left="0"/>
              <w:jc w:val="right"/>
              <w:rPr>
                <w:rFonts w:cs="Calibri"/>
                <w:sz w:val="16"/>
                <w:szCs w:val="16"/>
              </w:rPr>
            </w:pPr>
            <w:r w:rsidRPr="00EF3CD0">
              <w:rPr>
                <w:rFonts w:cs="Calibri"/>
                <w:sz w:val="16"/>
                <w:szCs w:val="16"/>
              </w:rPr>
              <w:t>8,844</w:t>
            </w:r>
          </w:p>
        </w:tc>
        <w:tc>
          <w:tcPr>
            <w:tcW w:w="860" w:type="dxa"/>
            <w:tcBorders>
              <w:top w:val="nil"/>
              <w:left w:val="nil"/>
              <w:bottom w:val="dashed" w:sz="4" w:space="0" w:color="auto"/>
              <w:right w:val="nil"/>
            </w:tcBorders>
            <w:noWrap/>
            <w:vAlign w:val="bottom"/>
            <w:hideMark/>
          </w:tcPr>
          <w:p w14:paraId="4BB34E19" w14:textId="77777777" w:rsidR="00AE7FA9" w:rsidRPr="00EF3CD0" w:rsidRDefault="00AE7FA9" w:rsidP="00AE7FA9">
            <w:pPr>
              <w:spacing w:before="0" w:after="0"/>
              <w:ind w:left="0"/>
              <w:jc w:val="center"/>
              <w:rPr>
                <w:rFonts w:cs="Calibri"/>
                <w:sz w:val="16"/>
                <w:szCs w:val="16"/>
              </w:rPr>
            </w:pPr>
            <w:r w:rsidRPr="00EF3CD0">
              <w:rPr>
                <w:rFonts w:cs="Calibri"/>
                <w:sz w:val="16"/>
                <w:szCs w:val="16"/>
              </w:rPr>
              <w:t>-</w:t>
            </w:r>
          </w:p>
        </w:tc>
        <w:tc>
          <w:tcPr>
            <w:tcW w:w="420" w:type="dxa"/>
            <w:tcBorders>
              <w:top w:val="nil"/>
              <w:left w:val="nil"/>
              <w:bottom w:val="dashed" w:sz="4" w:space="0" w:color="auto"/>
              <w:right w:val="nil"/>
            </w:tcBorders>
            <w:noWrap/>
            <w:vAlign w:val="bottom"/>
            <w:hideMark/>
          </w:tcPr>
          <w:p w14:paraId="38C7FF55" w14:textId="77777777" w:rsidR="00AE7FA9" w:rsidRPr="00EF3CD0" w:rsidRDefault="00AE7FA9" w:rsidP="00AE7FA9">
            <w:pPr>
              <w:spacing w:before="0" w:after="0"/>
              <w:ind w:left="0"/>
              <w:jc w:val="center"/>
              <w:rPr>
                <w:rFonts w:cs="Calibri"/>
                <w:sz w:val="16"/>
                <w:szCs w:val="16"/>
              </w:rPr>
            </w:pPr>
            <w:r w:rsidRPr="00EF3CD0">
              <w:rPr>
                <w:rFonts w:cs="Calibri"/>
                <w:sz w:val="16"/>
                <w:szCs w:val="16"/>
              </w:rPr>
              <w:t>-</w:t>
            </w:r>
          </w:p>
        </w:tc>
        <w:tc>
          <w:tcPr>
            <w:tcW w:w="380" w:type="dxa"/>
            <w:tcBorders>
              <w:top w:val="nil"/>
              <w:left w:val="nil"/>
              <w:bottom w:val="dashed" w:sz="4" w:space="0" w:color="auto"/>
              <w:right w:val="nil"/>
            </w:tcBorders>
            <w:noWrap/>
            <w:vAlign w:val="bottom"/>
            <w:hideMark/>
          </w:tcPr>
          <w:p w14:paraId="6B9B2915" w14:textId="77777777" w:rsidR="00AE7FA9" w:rsidRPr="00EF3CD0" w:rsidRDefault="00AE7FA9" w:rsidP="00AE7FA9">
            <w:pPr>
              <w:spacing w:before="0" w:after="0"/>
              <w:ind w:left="0"/>
              <w:jc w:val="center"/>
              <w:rPr>
                <w:rFonts w:cs="Calibri"/>
                <w:sz w:val="16"/>
                <w:szCs w:val="16"/>
              </w:rPr>
            </w:pPr>
            <w:r w:rsidRPr="00EF3CD0">
              <w:rPr>
                <w:rFonts w:cs="Calibri"/>
                <w:sz w:val="16"/>
                <w:szCs w:val="16"/>
              </w:rPr>
              <w:t>-</w:t>
            </w:r>
          </w:p>
        </w:tc>
        <w:tc>
          <w:tcPr>
            <w:tcW w:w="347" w:type="dxa"/>
            <w:tcBorders>
              <w:top w:val="nil"/>
              <w:left w:val="nil"/>
              <w:bottom w:val="dashed" w:sz="4" w:space="0" w:color="auto"/>
              <w:right w:val="nil"/>
            </w:tcBorders>
            <w:noWrap/>
            <w:vAlign w:val="bottom"/>
            <w:hideMark/>
          </w:tcPr>
          <w:p w14:paraId="3A83F63A" w14:textId="77777777" w:rsidR="00AE7FA9" w:rsidRPr="00EF3CD0" w:rsidRDefault="00AE7FA9" w:rsidP="00AE7FA9">
            <w:pPr>
              <w:spacing w:before="0" w:after="0"/>
              <w:ind w:left="0"/>
              <w:jc w:val="center"/>
              <w:rPr>
                <w:rFonts w:cs="Calibri"/>
                <w:sz w:val="16"/>
                <w:szCs w:val="16"/>
              </w:rPr>
            </w:pPr>
            <w:r w:rsidRPr="00EF3CD0">
              <w:rPr>
                <w:rFonts w:cs="Calibri"/>
                <w:sz w:val="16"/>
                <w:szCs w:val="16"/>
              </w:rPr>
              <w:t>-</w:t>
            </w:r>
          </w:p>
        </w:tc>
        <w:tc>
          <w:tcPr>
            <w:tcW w:w="800" w:type="dxa"/>
            <w:tcBorders>
              <w:top w:val="nil"/>
              <w:left w:val="nil"/>
              <w:bottom w:val="dashed" w:sz="4" w:space="0" w:color="auto"/>
              <w:right w:val="nil"/>
            </w:tcBorders>
            <w:noWrap/>
            <w:vAlign w:val="bottom"/>
            <w:hideMark/>
          </w:tcPr>
          <w:p w14:paraId="7389E29D" w14:textId="77777777" w:rsidR="00AE7FA9" w:rsidRPr="00EF3CD0" w:rsidRDefault="00AE7FA9" w:rsidP="00AE7FA9">
            <w:pPr>
              <w:spacing w:before="0" w:after="0"/>
              <w:ind w:left="0"/>
              <w:jc w:val="center"/>
              <w:rPr>
                <w:rFonts w:cs="Calibri"/>
                <w:sz w:val="16"/>
                <w:szCs w:val="16"/>
              </w:rPr>
            </w:pPr>
            <w:r w:rsidRPr="00EF3CD0">
              <w:rPr>
                <w:rFonts w:cs="Calibri"/>
                <w:sz w:val="16"/>
                <w:szCs w:val="16"/>
              </w:rPr>
              <w:t>-</w:t>
            </w:r>
          </w:p>
        </w:tc>
      </w:tr>
      <w:tr w:rsidR="00AE7FA9" w:rsidRPr="00EC6FC5" w14:paraId="3592CB93" w14:textId="77777777" w:rsidTr="00F937DD">
        <w:trPr>
          <w:trHeight w:val="225"/>
        </w:trPr>
        <w:tc>
          <w:tcPr>
            <w:tcW w:w="1078" w:type="dxa"/>
            <w:tcBorders>
              <w:top w:val="nil"/>
              <w:left w:val="nil"/>
              <w:bottom w:val="dashed" w:sz="4" w:space="0" w:color="auto"/>
              <w:right w:val="nil"/>
            </w:tcBorders>
            <w:noWrap/>
            <w:vAlign w:val="bottom"/>
            <w:hideMark/>
          </w:tcPr>
          <w:p w14:paraId="01CCB227" w14:textId="77777777" w:rsidR="00AE7FA9" w:rsidRPr="00EC6FC5" w:rsidRDefault="00AE7FA9" w:rsidP="00AE7FA9">
            <w:pPr>
              <w:spacing w:before="0" w:after="0"/>
              <w:ind w:left="0"/>
              <w:jc w:val="left"/>
              <w:rPr>
                <w:rFonts w:cs="Calibri"/>
                <w:color w:val="000000" w:themeColor="text1"/>
                <w:sz w:val="16"/>
                <w:szCs w:val="16"/>
              </w:rPr>
            </w:pPr>
            <w:r w:rsidRPr="00EC6FC5">
              <w:rPr>
                <w:rFonts w:cs="Calibri"/>
                <w:color w:val="000000" w:themeColor="text1"/>
                <w:sz w:val="16"/>
                <w:szCs w:val="16"/>
              </w:rPr>
              <w:t>Z.02-2</w:t>
            </w:r>
          </w:p>
        </w:tc>
        <w:tc>
          <w:tcPr>
            <w:tcW w:w="1184" w:type="dxa"/>
            <w:tcBorders>
              <w:top w:val="nil"/>
              <w:left w:val="nil"/>
              <w:bottom w:val="dashed" w:sz="4" w:space="0" w:color="auto"/>
              <w:right w:val="nil"/>
            </w:tcBorders>
            <w:noWrap/>
            <w:vAlign w:val="bottom"/>
            <w:hideMark/>
          </w:tcPr>
          <w:p w14:paraId="24DB3EDD" w14:textId="77777777" w:rsidR="00AE7FA9" w:rsidRPr="00EC6FC5" w:rsidRDefault="00AE7FA9" w:rsidP="00AE7FA9">
            <w:pPr>
              <w:spacing w:before="0" w:after="0"/>
              <w:ind w:left="0"/>
              <w:jc w:val="left"/>
              <w:rPr>
                <w:rFonts w:cs="Calibri"/>
                <w:color w:val="000000" w:themeColor="text1"/>
                <w:sz w:val="16"/>
                <w:szCs w:val="16"/>
              </w:rPr>
            </w:pPr>
            <w:r w:rsidRPr="00EC6FC5">
              <w:rPr>
                <w:rFonts w:cs="Calibri"/>
                <w:color w:val="000000" w:themeColor="text1"/>
                <w:sz w:val="16"/>
                <w:szCs w:val="16"/>
              </w:rPr>
              <w:t>SV</w:t>
            </w:r>
          </w:p>
        </w:tc>
        <w:tc>
          <w:tcPr>
            <w:tcW w:w="587" w:type="dxa"/>
            <w:tcBorders>
              <w:top w:val="nil"/>
              <w:left w:val="nil"/>
              <w:bottom w:val="dashed" w:sz="4" w:space="0" w:color="auto"/>
              <w:right w:val="nil"/>
            </w:tcBorders>
            <w:noWrap/>
            <w:vAlign w:val="bottom"/>
            <w:hideMark/>
          </w:tcPr>
          <w:p w14:paraId="0A075CB6" w14:textId="77777777" w:rsidR="00AE7FA9" w:rsidRPr="00EC6FC5" w:rsidRDefault="00AE7FA9" w:rsidP="00AE7FA9">
            <w:pPr>
              <w:spacing w:before="0" w:after="0"/>
              <w:ind w:left="0"/>
              <w:jc w:val="right"/>
              <w:rPr>
                <w:rFonts w:cs="Calibri"/>
                <w:b/>
                <w:bCs/>
                <w:color w:val="000000" w:themeColor="text1"/>
                <w:sz w:val="16"/>
                <w:szCs w:val="16"/>
              </w:rPr>
            </w:pPr>
            <w:r w:rsidRPr="00EC6FC5">
              <w:rPr>
                <w:rFonts w:cs="Calibri"/>
                <w:b/>
                <w:bCs/>
                <w:color w:val="000000" w:themeColor="text1"/>
                <w:sz w:val="16"/>
                <w:szCs w:val="16"/>
              </w:rPr>
              <w:t>0,670</w:t>
            </w:r>
          </w:p>
        </w:tc>
        <w:tc>
          <w:tcPr>
            <w:tcW w:w="580" w:type="dxa"/>
            <w:tcBorders>
              <w:top w:val="nil"/>
              <w:left w:val="nil"/>
              <w:bottom w:val="dashed" w:sz="4" w:space="0" w:color="auto"/>
              <w:right w:val="nil"/>
            </w:tcBorders>
            <w:noWrap/>
            <w:vAlign w:val="bottom"/>
            <w:hideMark/>
          </w:tcPr>
          <w:p w14:paraId="577C73FA" w14:textId="77777777" w:rsidR="00AE7FA9" w:rsidRPr="00EC6FC5" w:rsidRDefault="00AE7FA9" w:rsidP="00AE7FA9">
            <w:pPr>
              <w:spacing w:before="0" w:after="0"/>
              <w:ind w:left="0"/>
              <w:jc w:val="center"/>
              <w:rPr>
                <w:rFonts w:cs="Calibri"/>
                <w:color w:val="000000" w:themeColor="text1"/>
                <w:sz w:val="16"/>
                <w:szCs w:val="16"/>
              </w:rPr>
            </w:pPr>
            <w:r w:rsidRPr="00EC6FC5">
              <w:rPr>
                <w:rFonts w:cs="Calibri"/>
                <w:color w:val="000000" w:themeColor="text1"/>
                <w:sz w:val="16"/>
                <w:szCs w:val="16"/>
              </w:rPr>
              <w:t>-</w:t>
            </w:r>
          </w:p>
        </w:tc>
        <w:tc>
          <w:tcPr>
            <w:tcW w:w="760" w:type="dxa"/>
            <w:tcBorders>
              <w:top w:val="nil"/>
              <w:left w:val="nil"/>
              <w:bottom w:val="dashed" w:sz="4" w:space="0" w:color="auto"/>
              <w:right w:val="nil"/>
            </w:tcBorders>
            <w:noWrap/>
            <w:vAlign w:val="bottom"/>
            <w:hideMark/>
          </w:tcPr>
          <w:p w14:paraId="5C7A310F" w14:textId="77777777" w:rsidR="00AE7FA9" w:rsidRPr="00EC6FC5" w:rsidRDefault="00AE7FA9" w:rsidP="00AE7FA9">
            <w:pPr>
              <w:spacing w:before="0" w:after="0"/>
              <w:ind w:left="0"/>
              <w:jc w:val="center"/>
              <w:rPr>
                <w:rFonts w:cs="Calibri"/>
                <w:color w:val="000000" w:themeColor="text1"/>
                <w:sz w:val="16"/>
                <w:szCs w:val="16"/>
              </w:rPr>
            </w:pPr>
            <w:r w:rsidRPr="00EC6FC5">
              <w:rPr>
                <w:rFonts w:cs="Calibri"/>
                <w:color w:val="000000" w:themeColor="text1"/>
                <w:sz w:val="16"/>
                <w:szCs w:val="16"/>
              </w:rPr>
              <w:t>-</w:t>
            </w:r>
          </w:p>
        </w:tc>
        <w:tc>
          <w:tcPr>
            <w:tcW w:w="580" w:type="dxa"/>
            <w:tcBorders>
              <w:top w:val="nil"/>
              <w:left w:val="nil"/>
              <w:bottom w:val="dashed" w:sz="4" w:space="0" w:color="auto"/>
              <w:right w:val="nil"/>
            </w:tcBorders>
            <w:noWrap/>
            <w:vAlign w:val="bottom"/>
            <w:hideMark/>
          </w:tcPr>
          <w:p w14:paraId="56B8F439" w14:textId="77777777" w:rsidR="00AE7FA9" w:rsidRPr="00EC6FC5" w:rsidRDefault="00AE7FA9" w:rsidP="00AE7FA9">
            <w:pPr>
              <w:spacing w:before="0" w:after="0"/>
              <w:ind w:left="0"/>
              <w:jc w:val="center"/>
              <w:rPr>
                <w:rFonts w:cs="Calibri"/>
                <w:color w:val="000000" w:themeColor="text1"/>
                <w:sz w:val="16"/>
                <w:szCs w:val="16"/>
              </w:rPr>
            </w:pPr>
            <w:r w:rsidRPr="00EC6FC5">
              <w:rPr>
                <w:rFonts w:cs="Calibri"/>
                <w:color w:val="000000" w:themeColor="text1"/>
                <w:sz w:val="16"/>
                <w:szCs w:val="16"/>
              </w:rPr>
              <w:t>-</w:t>
            </w:r>
          </w:p>
        </w:tc>
        <w:tc>
          <w:tcPr>
            <w:tcW w:w="640" w:type="dxa"/>
            <w:tcBorders>
              <w:top w:val="nil"/>
              <w:left w:val="nil"/>
              <w:bottom w:val="dashed" w:sz="4" w:space="0" w:color="auto"/>
              <w:right w:val="nil"/>
            </w:tcBorders>
            <w:noWrap/>
            <w:vAlign w:val="bottom"/>
            <w:hideMark/>
          </w:tcPr>
          <w:p w14:paraId="107E1E81" w14:textId="77777777" w:rsidR="00AE7FA9" w:rsidRPr="00EC6FC5" w:rsidRDefault="00AE7FA9" w:rsidP="00AE7FA9">
            <w:pPr>
              <w:spacing w:before="0" w:after="0"/>
              <w:ind w:left="0"/>
              <w:jc w:val="center"/>
              <w:rPr>
                <w:rFonts w:cs="Calibri"/>
                <w:color w:val="000000" w:themeColor="text1"/>
                <w:sz w:val="16"/>
                <w:szCs w:val="16"/>
              </w:rPr>
            </w:pPr>
            <w:r w:rsidRPr="00EC6FC5">
              <w:rPr>
                <w:rFonts w:cs="Calibri"/>
                <w:color w:val="000000" w:themeColor="text1"/>
                <w:sz w:val="16"/>
                <w:szCs w:val="16"/>
              </w:rPr>
              <w:t>-</w:t>
            </w:r>
          </w:p>
        </w:tc>
        <w:tc>
          <w:tcPr>
            <w:tcW w:w="720" w:type="dxa"/>
            <w:tcBorders>
              <w:top w:val="nil"/>
              <w:left w:val="nil"/>
              <w:bottom w:val="dashed" w:sz="4" w:space="0" w:color="auto"/>
              <w:right w:val="nil"/>
            </w:tcBorders>
            <w:noWrap/>
            <w:vAlign w:val="bottom"/>
            <w:hideMark/>
          </w:tcPr>
          <w:p w14:paraId="5164EEA3" w14:textId="77777777" w:rsidR="00AE7FA9" w:rsidRPr="00EC6FC5" w:rsidRDefault="00AE7FA9" w:rsidP="00AE7FA9">
            <w:pPr>
              <w:spacing w:before="0" w:after="0"/>
              <w:ind w:left="0"/>
              <w:jc w:val="right"/>
              <w:rPr>
                <w:rFonts w:cs="Calibri"/>
                <w:color w:val="000000" w:themeColor="text1"/>
                <w:sz w:val="16"/>
                <w:szCs w:val="16"/>
              </w:rPr>
            </w:pPr>
            <w:r w:rsidRPr="00EC6FC5">
              <w:rPr>
                <w:rFonts w:cs="Calibri"/>
                <w:color w:val="000000" w:themeColor="text1"/>
                <w:sz w:val="16"/>
                <w:szCs w:val="16"/>
              </w:rPr>
              <w:t>0,670</w:t>
            </w:r>
          </w:p>
        </w:tc>
        <w:tc>
          <w:tcPr>
            <w:tcW w:w="860" w:type="dxa"/>
            <w:tcBorders>
              <w:top w:val="nil"/>
              <w:left w:val="nil"/>
              <w:bottom w:val="dashed" w:sz="4" w:space="0" w:color="auto"/>
              <w:right w:val="nil"/>
            </w:tcBorders>
            <w:noWrap/>
            <w:vAlign w:val="bottom"/>
            <w:hideMark/>
          </w:tcPr>
          <w:p w14:paraId="2823D0C3" w14:textId="77777777" w:rsidR="00AE7FA9" w:rsidRPr="00EC6FC5" w:rsidRDefault="00AE7FA9" w:rsidP="00AE7FA9">
            <w:pPr>
              <w:spacing w:before="0" w:after="0"/>
              <w:ind w:left="0"/>
              <w:jc w:val="center"/>
              <w:rPr>
                <w:rFonts w:cs="Calibri"/>
                <w:color w:val="000000" w:themeColor="text1"/>
                <w:sz w:val="16"/>
                <w:szCs w:val="16"/>
              </w:rPr>
            </w:pPr>
            <w:r w:rsidRPr="00EC6FC5">
              <w:rPr>
                <w:rFonts w:cs="Calibri"/>
                <w:color w:val="000000" w:themeColor="text1"/>
                <w:sz w:val="16"/>
                <w:szCs w:val="16"/>
              </w:rPr>
              <w:t>-</w:t>
            </w:r>
          </w:p>
        </w:tc>
        <w:tc>
          <w:tcPr>
            <w:tcW w:w="420" w:type="dxa"/>
            <w:tcBorders>
              <w:top w:val="nil"/>
              <w:left w:val="nil"/>
              <w:bottom w:val="dashed" w:sz="4" w:space="0" w:color="auto"/>
              <w:right w:val="nil"/>
            </w:tcBorders>
            <w:noWrap/>
            <w:vAlign w:val="bottom"/>
            <w:hideMark/>
          </w:tcPr>
          <w:p w14:paraId="010C91C0" w14:textId="77777777" w:rsidR="00AE7FA9" w:rsidRPr="00EC6FC5" w:rsidRDefault="00AE7FA9" w:rsidP="00AE7FA9">
            <w:pPr>
              <w:spacing w:before="0" w:after="0"/>
              <w:ind w:left="0"/>
              <w:jc w:val="center"/>
              <w:rPr>
                <w:rFonts w:cs="Calibri"/>
                <w:color w:val="000000" w:themeColor="text1"/>
                <w:sz w:val="16"/>
                <w:szCs w:val="16"/>
              </w:rPr>
            </w:pPr>
            <w:r w:rsidRPr="00EC6FC5">
              <w:rPr>
                <w:rFonts w:cs="Calibri"/>
                <w:color w:val="000000" w:themeColor="text1"/>
                <w:sz w:val="16"/>
                <w:szCs w:val="16"/>
              </w:rPr>
              <w:t>-</w:t>
            </w:r>
          </w:p>
        </w:tc>
        <w:tc>
          <w:tcPr>
            <w:tcW w:w="380" w:type="dxa"/>
            <w:tcBorders>
              <w:top w:val="nil"/>
              <w:left w:val="nil"/>
              <w:bottom w:val="dashed" w:sz="4" w:space="0" w:color="auto"/>
              <w:right w:val="nil"/>
            </w:tcBorders>
            <w:noWrap/>
            <w:vAlign w:val="bottom"/>
            <w:hideMark/>
          </w:tcPr>
          <w:p w14:paraId="5A401C1C" w14:textId="77777777" w:rsidR="00AE7FA9" w:rsidRPr="00EC6FC5" w:rsidRDefault="00AE7FA9" w:rsidP="00AE7FA9">
            <w:pPr>
              <w:spacing w:before="0" w:after="0"/>
              <w:ind w:left="0"/>
              <w:jc w:val="center"/>
              <w:rPr>
                <w:rFonts w:cs="Calibri"/>
                <w:color w:val="000000" w:themeColor="text1"/>
                <w:sz w:val="16"/>
                <w:szCs w:val="16"/>
              </w:rPr>
            </w:pPr>
            <w:r w:rsidRPr="00EC6FC5">
              <w:rPr>
                <w:rFonts w:cs="Calibri"/>
                <w:color w:val="000000" w:themeColor="text1"/>
                <w:sz w:val="16"/>
                <w:szCs w:val="16"/>
              </w:rPr>
              <w:t>-</w:t>
            </w:r>
          </w:p>
        </w:tc>
        <w:tc>
          <w:tcPr>
            <w:tcW w:w="347" w:type="dxa"/>
            <w:tcBorders>
              <w:top w:val="nil"/>
              <w:left w:val="nil"/>
              <w:bottom w:val="dashed" w:sz="4" w:space="0" w:color="auto"/>
              <w:right w:val="nil"/>
            </w:tcBorders>
            <w:noWrap/>
            <w:vAlign w:val="bottom"/>
            <w:hideMark/>
          </w:tcPr>
          <w:p w14:paraId="68834233" w14:textId="77777777" w:rsidR="00AE7FA9" w:rsidRPr="00EC6FC5" w:rsidRDefault="00AE7FA9" w:rsidP="00AE7FA9">
            <w:pPr>
              <w:spacing w:before="0" w:after="0"/>
              <w:ind w:left="0"/>
              <w:jc w:val="center"/>
              <w:rPr>
                <w:rFonts w:cs="Calibri"/>
                <w:color w:val="000000" w:themeColor="text1"/>
                <w:sz w:val="16"/>
                <w:szCs w:val="16"/>
              </w:rPr>
            </w:pPr>
            <w:r w:rsidRPr="00EC6FC5">
              <w:rPr>
                <w:rFonts w:cs="Calibri"/>
                <w:color w:val="000000" w:themeColor="text1"/>
                <w:sz w:val="16"/>
                <w:szCs w:val="16"/>
              </w:rPr>
              <w:t>-</w:t>
            </w:r>
          </w:p>
        </w:tc>
        <w:tc>
          <w:tcPr>
            <w:tcW w:w="800" w:type="dxa"/>
            <w:tcBorders>
              <w:top w:val="nil"/>
              <w:left w:val="nil"/>
              <w:bottom w:val="dashed" w:sz="4" w:space="0" w:color="auto"/>
              <w:right w:val="nil"/>
            </w:tcBorders>
            <w:noWrap/>
            <w:vAlign w:val="bottom"/>
            <w:hideMark/>
          </w:tcPr>
          <w:p w14:paraId="0E8F96A4" w14:textId="77777777" w:rsidR="00AE7FA9" w:rsidRPr="00EC6FC5" w:rsidRDefault="00AE7FA9" w:rsidP="00AE7FA9">
            <w:pPr>
              <w:spacing w:before="0" w:after="0"/>
              <w:ind w:left="0"/>
              <w:jc w:val="center"/>
              <w:rPr>
                <w:rFonts w:cs="Calibri"/>
                <w:color w:val="000000" w:themeColor="text1"/>
                <w:sz w:val="16"/>
                <w:szCs w:val="16"/>
              </w:rPr>
            </w:pPr>
            <w:r w:rsidRPr="00EC6FC5">
              <w:rPr>
                <w:rFonts w:cs="Calibri"/>
                <w:color w:val="000000" w:themeColor="text1"/>
                <w:sz w:val="16"/>
                <w:szCs w:val="16"/>
              </w:rPr>
              <w:t>-</w:t>
            </w:r>
          </w:p>
        </w:tc>
      </w:tr>
      <w:tr w:rsidR="00AE7FA9" w:rsidRPr="00EC6FC5" w14:paraId="67835F5B" w14:textId="77777777" w:rsidTr="00F937DD">
        <w:trPr>
          <w:trHeight w:val="225"/>
        </w:trPr>
        <w:tc>
          <w:tcPr>
            <w:tcW w:w="1078" w:type="dxa"/>
            <w:tcBorders>
              <w:top w:val="nil"/>
              <w:left w:val="nil"/>
              <w:bottom w:val="dashed" w:sz="4" w:space="0" w:color="auto"/>
              <w:right w:val="nil"/>
            </w:tcBorders>
            <w:noWrap/>
            <w:vAlign w:val="bottom"/>
            <w:hideMark/>
          </w:tcPr>
          <w:p w14:paraId="5B989081" w14:textId="77777777" w:rsidR="00AE7FA9" w:rsidRPr="00EC6FC5" w:rsidRDefault="00AE7FA9" w:rsidP="00AE7FA9">
            <w:pPr>
              <w:spacing w:before="0" w:after="0"/>
              <w:ind w:left="0"/>
              <w:jc w:val="left"/>
              <w:rPr>
                <w:rFonts w:cs="Calibri"/>
                <w:color w:val="000000" w:themeColor="text1"/>
                <w:sz w:val="16"/>
                <w:szCs w:val="16"/>
              </w:rPr>
            </w:pPr>
            <w:r w:rsidRPr="00EC6FC5">
              <w:rPr>
                <w:rFonts w:cs="Calibri"/>
                <w:color w:val="000000" w:themeColor="text1"/>
                <w:sz w:val="16"/>
                <w:szCs w:val="16"/>
              </w:rPr>
              <w:t>Z.04-1</w:t>
            </w:r>
          </w:p>
        </w:tc>
        <w:tc>
          <w:tcPr>
            <w:tcW w:w="1184" w:type="dxa"/>
            <w:tcBorders>
              <w:top w:val="nil"/>
              <w:left w:val="nil"/>
              <w:bottom w:val="dashed" w:sz="4" w:space="0" w:color="auto"/>
              <w:right w:val="nil"/>
            </w:tcBorders>
            <w:noWrap/>
            <w:vAlign w:val="bottom"/>
            <w:hideMark/>
          </w:tcPr>
          <w:p w14:paraId="06EC975C" w14:textId="77777777" w:rsidR="00AE7FA9" w:rsidRPr="00EC6FC5" w:rsidRDefault="00AE7FA9" w:rsidP="00AE7FA9">
            <w:pPr>
              <w:spacing w:before="0" w:after="0"/>
              <w:ind w:left="0"/>
              <w:jc w:val="left"/>
              <w:rPr>
                <w:rFonts w:cs="Calibri"/>
                <w:color w:val="000000" w:themeColor="text1"/>
                <w:sz w:val="16"/>
                <w:szCs w:val="16"/>
              </w:rPr>
            </w:pPr>
            <w:r w:rsidRPr="00EC6FC5">
              <w:rPr>
                <w:rFonts w:cs="Calibri"/>
                <w:color w:val="000000" w:themeColor="text1"/>
                <w:sz w:val="16"/>
                <w:szCs w:val="16"/>
              </w:rPr>
              <w:t>SV</w:t>
            </w:r>
          </w:p>
        </w:tc>
        <w:tc>
          <w:tcPr>
            <w:tcW w:w="587" w:type="dxa"/>
            <w:tcBorders>
              <w:top w:val="nil"/>
              <w:left w:val="nil"/>
              <w:bottom w:val="dashed" w:sz="4" w:space="0" w:color="auto"/>
              <w:right w:val="nil"/>
            </w:tcBorders>
            <w:noWrap/>
            <w:vAlign w:val="bottom"/>
            <w:hideMark/>
          </w:tcPr>
          <w:p w14:paraId="3D774684" w14:textId="77777777" w:rsidR="00AE7FA9" w:rsidRPr="00EC6FC5" w:rsidRDefault="00AE7FA9" w:rsidP="00AE7FA9">
            <w:pPr>
              <w:spacing w:before="0" w:after="0"/>
              <w:ind w:left="0"/>
              <w:jc w:val="right"/>
              <w:rPr>
                <w:rFonts w:cs="Calibri"/>
                <w:b/>
                <w:bCs/>
                <w:color w:val="000000" w:themeColor="text1"/>
                <w:sz w:val="16"/>
                <w:szCs w:val="16"/>
              </w:rPr>
            </w:pPr>
            <w:r w:rsidRPr="00EC6FC5">
              <w:rPr>
                <w:rFonts w:cs="Calibri"/>
                <w:b/>
                <w:bCs/>
                <w:color w:val="000000" w:themeColor="text1"/>
                <w:sz w:val="16"/>
                <w:szCs w:val="16"/>
              </w:rPr>
              <w:t>0,586</w:t>
            </w:r>
          </w:p>
        </w:tc>
        <w:tc>
          <w:tcPr>
            <w:tcW w:w="580" w:type="dxa"/>
            <w:tcBorders>
              <w:top w:val="nil"/>
              <w:left w:val="nil"/>
              <w:bottom w:val="dashed" w:sz="4" w:space="0" w:color="auto"/>
              <w:right w:val="nil"/>
            </w:tcBorders>
            <w:noWrap/>
            <w:vAlign w:val="bottom"/>
            <w:hideMark/>
          </w:tcPr>
          <w:p w14:paraId="23D9023B" w14:textId="77777777" w:rsidR="00AE7FA9" w:rsidRPr="00EC6FC5" w:rsidRDefault="00AE7FA9" w:rsidP="00AE7FA9">
            <w:pPr>
              <w:spacing w:before="0" w:after="0"/>
              <w:ind w:left="0"/>
              <w:jc w:val="center"/>
              <w:rPr>
                <w:rFonts w:cs="Calibri"/>
                <w:color w:val="000000" w:themeColor="text1"/>
                <w:sz w:val="16"/>
                <w:szCs w:val="16"/>
              </w:rPr>
            </w:pPr>
            <w:r w:rsidRPr="00EC6FC5">
              <w:rPr>
                <w:rFonts w:cs="Calibri"/>
                <w:color w:val="000000" w:themeColor="text1"/>
                <w:sz w:val="16"/>
                <w:szCs w:val="16"/>
              </w:rPr>
              <w:t>-</w:t>
            </w:r>
          </w:p>
        </w:tc>
        <w:tc>
          <w:tcPr>
            <w:tcW w:w="760" w:type="dxa"/>
            <w:tcBorders>
              <w:top w:val="nil"/>
              <w:left w:val="nil"/>
              <w:bottom w:val="dashed" w:sz="4" w:space="0" w:color="auto"/>
              <w:right w:val="nil"/>
            </w:tcBorders>
            <w:noWrap/>
            <w:vAlign w:val="bottom"/>
            <w:hideMark/>
          </w:tcPr>
          <w:p w14:paraId="573767D3" w14:textId="77777777" w:rsidR="00AE7FA9" w:rsidRPr="00EC6FC5" w:rsidRDefault="00AE7FA9" w:rsidP="00AE7FA9">
            <w:pPr>
              <w:spacing w:before="0" w:after="0"/>
              <w:ind w:left="0"/>
              <w:jc w:val="right"/>
              <w:rPr>
                <w:rFonts w:cs="Calibri"/>
                <w:color w:val="000000" w:themeColor="text1"/>
                <w:sz w:val="16"/>
                <w:szCs w:val="16"/>
              </w:rPr>
            </w:pPr>
            <w:r w:rsidRPr="00EC6FC5">
              <w:rPr>
                <w:rFonts w:cs="Calibri"/>
                <w:color w:val="000000" w:themeColor="text1"/>
                <w:sz w:val="16"/>
                <w:szCs w:val="16"/>
              </w:rPr>
              <w:t>0,586</w:t>
            </w:r>
          </w:p>
        </w:tc>
        <w:tc>
          <w:tcPr>
            <w:tcW w:w="580" w:type="dxa"/>
            <w:tcBorders>
              <w:top w:val="nil"/>
              <w:left w:val="nil"/>
              <w:bottom w:val="dashed" w:sz="4" w:space="0" w:color="auto"/>
              <w:right w:val="nil"/>
            </w:tcBorders>
            <w:noWrap/>
            <w:vAlign w:val="bottom"/>
            <w:hideMark/>
          </w:tcPr>
          <w:p w14:paraId="0396F40E" w14:textId="77777777" w:rsidR="00AE7FA9" w:rsidRPr="00EC6FC5" w:rsidRDefault="00AE7FA9" w:rsidP="00AE7FA9">
            <w:pPr>
              <w:spacing w:before="0" w:after="0"/>
              <w:ind w:left="0"/>
              <w:jc w:val="center"/>
              <w:rPr>
                <w:rFonts w:cs="Calibri"/>
                <w:color w:val="000000" w:themeColor="text1"/>
                <w:sz w:val="16"/>
                <w:szCs w:val="16"/>
              </w:rPr>
            </w:pPr>
            <w:r w:rsidRPr="00EC6FC5">
              <w:rPr>
                <w:rFonts w:cs="Calibri"/>
                <w:color w:val="000000" w:themeColor="text1"/>
                <w:sz w:val="16"/>
                <w:szCs w:val="16"/>
              </w:rPr>
              <w:t>-</w:t>
            </w:r>
          </w:p>
        </w:tc>
        <w:tc>
          <w:tcPr>
            <w:tcW w:w="640" w:type="dxa"/>
            <w:tcBorders>
              <w:top w:val="nil"/>
              <w:left w:val="nil"/>
              <w:bottom w:val="dashed" w:sz="4" w:space="0" w:color="auto"/>
              <w:right w:val="nil"/>
            </w:tcBorders>
            <w:noWrap/>
            <w:vAlign w:val="bottom"/>
            <w:hideMark/>
          </w:tcPr>
          <w:p w14:paraId="511D6DDD" w14:textId="77777777" w:rsidR="00AE7FA9" w:rsidRPr="00EC6FC5" w:rsidRDefault="00AE7FA9" w:rsidP="00AE7FA9">
            <w:pPr>
              <w:spacing w:before="0" w:after="0"/>
              <w:ind w:left="0"/>
              <w:jc w:val="center"/>
              <w:rPr>
                <w:rFonts w:cs="Calibri"/>
                <w:color w:val="000000" w:themeColor="text1"/>
                <w:sz w:val="16"/>
                <w:szCs w:val="16"/>
              </w:rPr>
            </w:pPr>
            <w:r w:rsidRPr="00EC6FC5">
              <w:rPr>
                <w:rFonts w:cs="Calibri"/>
                <w:color w:val="000000" w:themeColor="text1"/>
                <w:sz w:val="16"/>
                <w:szCs w:val="16"/>
              </w:rPr>
              <w:t>-</w:t>
            </w:r>
          </w:p>
        </w:tc>
        <w:tc>
          <w:tcPr>
            <w:tcW w:w="720" w:type="dxa"/>
            <w:tcBorders>
              <w:top w:val="nil"/>
              <w:left w:val="nil"/>
              <w:bottom w:val="dashed" w:sz="4" w:space="0" w:color="auto"/>
              <w:right w:val="nil"/>
            </w:tcBorders>
            <w:noWrap/>
            <w:vAlign w:val="bottom"/>
            <w:hideMark/>
          </w:tcPr>
          <w:p w14:paraId="710C9AA3" w14:textId="77777777" w:rsidR="00AE7FA9" w:rsidRPr="00EC6FC5" w:rsidRDefault="00AE7FA9" w:rsidP="00AE7FA9">
            <w:pPr>
              <w:spacing w:before="0" w:after="0"/>
              <w:ind w:left="0"/>
              <w:jc w:val="center"/>
              <w:rPr>
                <w:rFonts w:cs="Calibri"/>
                <w:color w:val="000000" w:themeColor="text1"/>
                <w:sz w:val="16"/>
                <w:szCs w:val="16"/>
              </w:rPr>
            </w:pPr>
            <w:r w:rsidRPr="00EC6FC5">
              <w:rPr>
                <w:rFonts w:cs="Calibri"/>
                <w:color w:val="000000" w:themeColor="text1"/>
                <w:sz w:val="16"/>
                <w:szCs w:val="16"/>
              </w:rPr>
              <w:t>-</w:t>
            </w:r>
          </w:p>
        </w:tc>
        <w:tc>
          <w:tcPr>
            <w:tcW w:w="860" w:type="dxa"/>
            <w:tcBorders>
              <w:top w:val="nil"/>
              <w:left w:val="nil"/>
              <w:bottom w:val="dashed" w:sz="4" w:space="0" w:color="auto"/>
              <w:right w:val="nil"/>
            </w:tcBorders>
            <w:noWrap/>
            <w:vAlign w:val="bottom"/>
            <w:hideMark/>
          </w:tcPr>
          <w:p w14:paraId="0B9559E0" w14:textId="77777777" w:rsidR="00AE7FA9" w:rsidRPr="00EC6FC5" w:rsidRDefault="00AE7FA9" w:rsidP="00AE7FA9">
            <w:pPr>
              <w:spacing w:before="0" w:after="0"/>
              <w:ind w:left="0"/>
              <w:jc w:val="center"/>
              <w:rPr>
                <w:rFonts w:cs="Calibri"/>
                <w:color w:val="000000" w:themeColor="text1"/>
                <w:sz w:val="16"/>
                <w:szCs w:val="16"/>
              </w:rPr>
            </w:pPr>
            <w:r w:rsidRPr="00EC6FC5">
              <w:rPr>
                <w:rFonts w:cs="Calibri"/>
                <w:color w:val="000000" w:themeColor="text1"/>
                <w:sz w:val="16"/>
                <w:szCs w:val="16"/>
              </w:rPr>
              <w:t>-</w:t>
            </w:r>
          </w:p>
        </w:tc>
        <w:tc>
          <w:tcPr>
            <w:tcW w:w="420" w:type="dxa"/>
            <w:tcBorders>
              <w:top w:val="nil"/>
              <w:left w:val="nil"/>
              <w:bottom w:val="dashed" w:sz="4" w:space="0" w:color="auto"/>
              <w:right w:val="nil"/>
            </w:tcBorders>
            <w:noWrap/>
            <w:vAlign w:val="bottom"/>
            <w:hideMark/>
          </w:tcPr>
          <w:p w14:paraId="7BA5A72F" w14:textId="77777777" w:rsidR="00AE7FA9" w:rsidRPr="00EC6FC5" w:rsidRDefault="00AE7FA9" w:rsidP="00AE7FA9">
            <w:pPr>
              <w:spacing w:before="0" w:after="0"/>
              <w:ind w:left="0"/>
              <w:jc w:val="center"/>
              <w:rPr>
                <w:rFonts w:cs="Calibri"/>
                <w:color w:val="000000" w:themeColor="text1"/>
                <w:sz w:val="16"/>
                <w:szCs w:val="16"/>
              </w:rPr>
            </w:pPr>
            <w:r w:rsidRPr="00EC6FC5">
              <w:rPr>
                <w:rFonts w:cs="Calibri"/>
                <w:color w:val="000000" w:themeColor="text1"/>
                <w:sz w:val="16"/>
                <w:szCs w:val="16"/>
              </w:rPr>
              <w:t>-</w:t>
            </w:r>
          </w:p>
        </w:tc>
        <w:tc>
          <w:tcPr>
            <w:tcW w:w="380" w:type="dxa"/>
            <w:tcBorders>
              <w:top w:val="nil"/>
              <w:left w:val="nil"/>
              <w:bottom w:val="dashed" w:sz="4" w:space="0" w:color="auto"/>
              <w:right w:val="nil"/>
            </w:tcBorders>
            <w:noWrap/>
            <w:vAlign w:val="bottom"/>
            <w:hideMark/>
          </w:tcPr>
          <w:p w14:paraId="1D0BBAD9" w14:textId="77777777" w:rsidR="00AE7FA9" w:rsidRPr="00EC6FC5" w:rsidRDefault="00AE7FA9" w:rsidP="00AE7FA9">
            <w:pPr>
              <w:spacing w:before="0" w:after="0"/>
              <w:ind w:left="0"/>
              <w:jc w:val="center"/>
              <w:rPr>
                <w:rFonts w:cs="Calibri"/>
                <w:color w:val="000000" w:themeColor="text1"/>
                <w:sz w:val="16"/>
                <w:szCs w:val="16"/>
              </w:rPr>
            </w:pPr>
            <w:r w:rsidRPr="00EC6FC5">
              <w:rPr>
                <w:rFonts w:cs="Calibri"/>
                <w:color w:val="000000" w:themeColor="text1"/>
                <w:sz w:val="16"/>
                <w:szCs w:val="16"/>
              </w:rPr>
              <w:t>-</w:t>
            </w:r>
          </w:p>
        </w:tc>
        <w:tc>
          <w:tcPr>
            <w:tcW w:w="347" w:type="dxa"/>
            <w:tcBorders>
              <w:top w:val="nil"/>
              <w:left w:val="nil"/>
              <w:bottom w:val="dashed" w:sz="4" w:space="0" w:color="auto"/>
              <w:right w:val="nil"/>
            </w:tcBorders>
            <w:noWrap/>
            <w:vAlign w:val="bottom"/>
            <w:hideMark/>
          </w:tcPr>
          <w:p w14:paraId="660BEB93" w14:textId="77777777" w:rsidR="00AE7FA9" w:rsidRPr="00EC6FC5" w:rsidRDefault="00AE7FA9" w:rsidP="00AE7FA9">
            <w:pPr>
              <w:spacing w:before="0" w:after="0"/>
              <w:ind w:left="0"/>
              <w:jc w:val="center"/>
              <w:rPr>
                <w:rFonts w:cs="Calibri"/>
                <w:color w:val="000000" w:themeColor="text1"/>
                <w:sz w:val="16"/>
                <w:szCs w:val="16"/>
              </w:rPr>
            </w:pPr>
            <w:r w:rsidRPr="00EC6FC5">
              <w:rPr>
                <w:rFonts w:cs="Calibri"/>
                <w:color w:val="000000" w:themeColor="text1"/>
                <w:sz w:val="16"/>
                <w:szCs w:val="16"/>
              </w:rPr>
              <w:t>-</w:t>
            </w:r>
          </w:p>
        </w:tc>
        <w:tc>
          <w:tcPr>
            <w:tcW w:w="800" w:type="dxa"/>
            <w:tcBorders>
              <w:top w:val="nil"/>
              <w:left w:val="nil"/>
              <w:bottom w:val="dashed" w:sz="4" w:space="0" w:color="auto"/>
              <w:right w:val="nil"/>
            </w:tcBorders>
            <w:noWrap/>
            <w:vAlign w:val="bottom"/>
            <w:hideMark/>
          </w:tcPr>
          <w:p w14:paraId="725950F3" w14:textId="77777777" w:rsidR="00AE7FA9" w:rsidRPr="00EC6FC5" w:rsidRDefault="00AE7FA9" w:rsidP="00AE7FA9">
            <w:pPr>
              <w:spacing w:before="0" w:after="0"/>
              <w:ind w:left="0"/>
              <w:jc w:val="center"/>
              <w:rPr>
                <w:rFonts w:cs="Calibri"/>
                <w:color w:val="000000" w:themeColor="text1"/>
                <w:sz w:val="16"/>
                <w:szCs w:val="16"/>
              </w:rPr>
            </w:pPr>
            <w:r w:rsidRPr="00EC6FC5">
              <w:rPr>
                <w:rFonts w:cs="Calibri"/>
                <w:color w:val="000000" w:themeColor="text1"/>
                <w:sz w:val="16"/>
                <w:szCs w:val="16"/>
              </w:rPr>
              <w:t>-</w:t>
            </w:r>
          </w:p>
        </w:tc>
      </w:tr>
      <w:tr w:rsidR="00AE7FA9" w:rsidRPr="00EC6FC5" w14:paraId="6A9F03FC" w14:textId="77777777" w:rsidTr="00F937DD">
        <w:trPr>
          <w:trHeight w:val="225"/>
        </w:trPr>
        <w:tc>
          <w:tcPr>
            <w:tcW w:w="1078" w:type="dxa"/>
            <w:tcBorders>
              <w:top w:val="nil"/>
              <w:left w:val="nil"/>
              <w:bottom w:val="dashed" w:sz="4" w:space="0" w:color="auto"/>
              <w:right w:val="nil"/>
            </w:tcBorders>
            <w:noWrap/>
            <w:vAlign w:val="bottom"/>
            <w:hideMark/>
          </w:tcPr>
          <w:p w14:paraId="35EE013F" w14:textId="77777777" w:rsidR="00AE7FA9" w:rsidRPr="00EC6FC5" w:rsidRDefault="00AE7FA9" w:rsidP="00AE7FA9">
            <w:pPr>
              <w:spacing w:before="0" w:after="0"/>
              <w:ind w:left="0"/>
              <w:jc w:val="left"/>
              <w:rPr>
                <w:rFonts w:cs="Calibri"/>
                <w:color w:val="000000" w:themeColor="text1"/>
                <w:sz w:val="16"/>
                <w:szCs w:val="16"/>
              </w:rPr>
            </w:pPr>
            <w:r w:rsidRPr="00EC6FC5">
              <w:rPr>
                <w:rFonts w:cs="Calibri"/>
                <w:color w:val="000000" w:themeColor="text1"/>
                <w:sz w:val="16"/>
                <w:szCs w:val="16"/>
              </w:rPr>
              <w:t>Z.08-1</w:t>
            </w:r>
          </w:p>
        </w:tc>
        <w:tc>
          <w:tcPr>
            <w:tcW w:w="1184" w:type="dxa"/>
            <w:tcBorders>
              <w:top w:val="nil"/>
              <w:left w:val="nil"/>
              <w:bottom w:val="dashed" w:sz="4" w:space="0" w:color="auto"/>
              <w:right w:val="nil"/>
            </w:tcBorders>
            <w:noWrap/>
            <w:vAlign w:val="bottom"/>
            <w:hideMark/>
          </w:tcPr>
          <w:p w14:paraId="06B2A9E7" w14:textId="77777777" w:rsidR="00AE7FA9" w:rsidRPr="00EC6FC5" w:rsidRDefault="00AE7FA9" w:rsidP="00AE7FA9">
            <w:pPr>
              <w:spacing w:before="0" w:after="0"/>
              <w:ind w:left="0"/>
              <w:jc w:val="left"/>
              <w:rPr>
                <w:rFonts w:cs="Calibri"/>
                <w:color w:val="000000" w:themeColor="text1"/>
                <w:sz w:val="16"/>
                <w:szCs w:val="16"/>
              </w:rPr>
            </w:pPr>
            <w:r w:rsidRPr="00EC6FC5">
              <w:rPr>
                <w:rFonts w:cs="Calibri"/>
                <w:color w:val="000000" w:themeColor="text1"/>
                <w:sz w:val="16"/>
                <w:szCs w:val="16"/>
              </w:rPr>
              <w:t>SV</w:t>
            </w:r>
          </w:p>
        </w:tc>
        <w:tc>
          <w:tcPr>
            <w:tcW w:w="587" w:type="dxa"/>
            <w:tcBorders>
              <w:top w:val="nil"/>
              <w:left w:val="nil"/>
              <w:bottom w:val="dashed" w:sz="4" w:space="0" w:color="auto"/>
              <w:right w:val="nil"/>
            </w:tcBorders>
            <w:noWrap/>
            <w:vAlign w:val="bottom"/>
            <w:hideMark/>
          </w:tcPr>
          <w:p w14:paraId="0F2CB87F" w14:textId="77777777" w:rsidR="00AE7FA9" w:rsidRPr="00EC6FC5" w:rsidRDefault="00AE7FA9" w:rsidP="00AE7FA9">
            <w:pPr>
              <w:spacing w:before="0" w:after="0"/>
              <w:ind w:left="0"/>
              <w:jc w:val="right"/>
              <w:rPr>
                <w:rFonts w:cs="Calibri"/>
                <w:b/>
                <w:bCs/>
                <w:color w:val="000000" w:themeColor="text1"/>
                <w:sz w:val="16"/>
                <w:szCs w:val="16"/>
              </w:rPr>
            </w:pPr>
            <w:r w:rsidRPr="00EC6FC5">
              <w:rPr>
                <w:rFonts w:cs="Calibri"/>
                <w:b/>
                <w:bCs/>
                <w:color w:val="000000" w:themeColor="text1"/>
                <w:sz w:val="16"/>
                <w:szCs w:val="16"/>
              </w:rPr>
              <w:t>0,423</w:t>
            </w:r>
          </w:p>
        </w:tc>
        <w:tc>
          <w:tcPr>
            <w:tcW w:w="580" w:type="dxa"/>
            <w:tcBorders>
              <w:top w:val="nil"/>
              <w:left w:val="nil"/>
              <w:bottom w:val="dashed" w:sz="4" w:space="0" w:color="auto"/>
              <w:right w:val="nil"/>
            </w:tcBorders>
            <w:noWrap/>
            <w:vAlign w:val="bottom"/>
            <w:hideMark/>
          </w:tcPr>
          <w:p w14:paraId="41AE8EBE" w14:textId="77777777" w:rsidR="00AE7FA9" w:rsidRPr="00EC6FC5" w:rsidRDefault="00AE7FA9" w:rsidP="00AE7FA9">
            <w:pPr>
              <w:spacing w:before="0" w:after="0"/>
              <w:ind w:left="0"/>
              <w:jc w:val="center"/>
              <w:rPr>
                <w:rFonts w:cs="Calibri"/>
                <w:color w:val="000000" w:themeColor="text1"/>
                <w:sz w:val="16"/>
                <w:szCs w:val="16"/>
              </w:rPr>
            </w:pPr>
            <w:r w:rsidRPr="00EC6FC5">
              <w:rPr>
                <w:rFonts w:cs="Calibri"/>
                <w:color w:val="000000" w:themeColor="text1"/>
                <w:sz w:val="16"/>
                <w:szCs w:val="16"/>
              </w:rPr>
              <w:t>-</w:t>
            </w:r>
          </w:p>
        </w:tc>
        <w:tc>
          <w:tcPr>
            <w:tcW w:w="760" w:type="dxa"/>
            <w:tcBorders>
              <w:top w:val="nil"/>
              <w:left w:val="nil"/>
              <w:bottom w:val="dashed" w:sz="4" w:space="0" w:color="auto"/>
              <w:right w:val="nil"/>
            </w:tcBorders>
            <w:noWrap/>
            <w:vAlign w:val="bottom"/>
            <w:hideMark/>
          </w:tcPr>
          <w:p w14:paraId="60A6E81D" w14:textId="77777777" w:rsidR="00AE7FA9" w:rsidRPr="00EC6FC5" w:rsidRDefault="00AE7FA9" w:rsidP="00AE7FA9">
            <w:pPr>
              <w:spacing w:before="0" w:after="0"/>
              <w:ind w:left="0"/>
              <w:jc w:val="center"/>
              <w:rPr>
                <w:rFonts w:cs="Calibri"/>
                <w:color w:val="000000" w:themeColor="text1"/>
                <w:sz w:val="16"/>
                <w:szCs w:val="16"/>
              </w:rPr>
            </w:pPr>
            <w:r w:rsidRPr="00EC6FC5">
              <w:rPr>
                <w:rFonts w:cs="Calibri"/>
                <w:color w:val="000000" w:themeColor="text1"/>
                <w:sz w:val="16"/>
                <w:szCs w:val="16"/>
              </w:rPr>
              <w:t>-</w:t>
            </w:r>
          </w:p>
        </w:tc>
        <w:tc>
          <w:tcPr>
            <w:tcW w:w="580" w:type="dxa"/>
            <w:tcBorders>
              <w:top w:val="nil"/>
              <w:left w:val="nil"/>
              <w:bottom w:val="dashed" w:sz="4" w:space="0" w:color="auto"/>
              <w:right w:val="nil"/>
            </w:tcBorders>
            <w:noWrap/>
            <w:vAlign w:val="bottom"/>
            <w:hideMark/>
          </w:tcPr>
          <w:p w14:paraId="7E23793F" w14:textId="77777777" w:rsidR="00AE7FA9" w:rsidRPr="00EC6FC5" w:rsidRDefault="00AE7FA9" w:rsidP="00AE7FA9">
            <w:pPr>
              <w:spacing w:before="0" w:after="0"/>
              <w:ind w:left="0"/>
              <w:jc w:val="center"/>
              <w:rPr>
                <w:rFonts w:cs="Calibri"/>
                <w:color w:val="000000" w:themeColor="text1"/>
                <w:sz w:val="16"/>
                <w:szCs w:val="16"/>
              </w:rPr>
            </w:pPr>
            <w:r w:rsidRPr="00EC6FC5">
              <w:rPr>
                <w:rFonts w:cs="Calibri"/>
                <w:color w:val="000000" w:themeColor="text1"/>
                <w:sz w:val="16"/>
                <w:szCs w:val="16"/>
              </w:rPr>
              <w:t>-</w:t>
            </w:r>
          </w:p>
        </w:tc>
        <w:tc>
          <w:tcPr>
            <w:tcW w:w="640" w:type="dxa"/>
            <w:tcBorders>
              <w:top w:val="nil"/>
              <w:left w:val="nil"/>
              <w:bottom w:val="dashed" w:sz="4" w:space="0" w:color="auto"/>
              <w:right w:val="nil"/>
            </w:tcBorders>
            <w:noWrap/>
            <w:vAlign w:val="bottom"/>
            <w:hideMark/>
          </w:tcPr>
          <w:p w14:paraId="31EF687D" w14:textId="77777777" w:rsidR="00AE7FA9" w:rsidRPr="00EC6FC5" w:rsidRDefault="00AE7FA9" w:rsidP="00AE7FA9">
            <w:pPr>
              <w:spacing w:before="0" w:after="0"/>
              <w:ind w:left="0"/>
              <w:jc w:val="center"/>
              <w:rPr>
                <w:rFonts w:cs="Calibri"/>
                <w:color w:val="000000" w:themeColor="text1"/>
                <w:sz w:val="16"/>
                <w:szCs w:val="16"/>
              </w:rPr>
            </w:pPr>
            <w:r w:rsidRPr="00EC6FC5">
              <w:rPr>
                <w:rFonts w:cs="Calibri"/>
                <w:color w:val="000000" w:themeColor="text1"/>
                <w:sz w:val="16"/>
                <w:szCs w:val="16"/>
              </w:rPr>
              <w:t>-</w:t>
            </w:r>
          </w:p>
        </w:tc>
        <w:tc>
          <w:tcPr>
            <w:tcW w:w="720" w:type="dxa"/>
            <w:tcBorders>
              <w:top w:val="nil"/>
              <w:left w:val="nil"/>
              <w:bottom w:val="dashed" w:sz="4" w:space="0" w:color="auto"/>
              <w:right w:val="nil"/>
            </w:tcBorders>
            <w:noWrap/>
            <w:vAlign w:val="bottom"/>
            <w:hideMark/>
          </w:tcPr>
          <w:p w14:paraId="48884DF7" w14:textId="77777777" w:rsidR="00AE7FA9" w:rsidRPr="00EC6FC5" w:rsidRDefault="00AE7FA9" w:rsidP="00AE7FA9">
            <w:pPr>
              <w:spacing w:before="0" w:after="0"/>
              <w:ind w:left="0"/>
              <w:jc w:val="right"/>
              <w:rPr>
                <w:rFonts w:cs="Calibri"/>
                <w:color w:val="000000" w:themeColor="text1"/>
                <w:sz w:val="16"/>
                <w:szCs w:val="16"/>
              </w:rPr>
            </w:pPr>
            <w:r w:rsidRPr="00EC6FC5">
              <w:rPr>
                <w:rFonts w:cs="Calibri"/>
                <w:color w:val="000000" w:themeColor="text1"/>
                <w:sz w:val="16"/>
                <w:szCs w:val="16"/>
              </w:rPr>
              <w:t>0,423</w:t>
            </w:r>
          </w:p>
        </w:tc>
        <w:tc>
          <w:tcPr>
            <w:tcW w:w="860" w:type="dxa"/>
            <w:tcBorders>
              <w:top w:val="nil"/>
              <w:left w:val="nil"/>
              <w:bottom w:val="dashed" w:sz="4" w:space="0" w:color="auto"/>
              <w:right w:val="nil"/>
            </w:tcBorders>
            <w:noWrap/>
            <w:vAlign w:val="bottom"/>
            <w:hideMark/>
          </w:tcPr>
          <w:p w14:paraId="3023CC4E" w14:textId="77777777" w:rsidR="00AE7FA9" w:rsidRPr="00EC6FC5" w:rsidRDefault="00AE7FA9" w:rsidP="00AE7FA9">
            <w:pPr>
              <w:spacing w:before="0" w:after="0"/>
              <w:ind w:left="0"/>
              <w:jc w:val="center"/>
              <w:rPr>
                <w:rFonts w:cs="Calibri"/>
                <w:color w:val="000000" w:themeColor="text1"/>
                <w:sz w:val="16"/>
                <w:szCs w:val="16"/>
              </w:rPr>
            </w:pPr>
            <w:r w:rsidRPr="00EC6FC5">
              <w:rPr>
                <w:rFonts w:cs="Calibri"/>
                <w:color w:val="000000" w:themeColor="text1"/>
                <w:sz w:val="16"/>
                <w:szCs w:val="16"/>
              </w:rPr>
              <w:t>-</w:t>
            </w:r>
          </w:p>
        </w:tc>
        <w:tc>
          <w:tcPr>
            <w:tcW w:w="420" w:type="dxa"/>
            <w:tcBorders>
              <w:top w:val="nil"/>
              <w:left w:val="nil"/>
              <w:bottom w:val="dashed" w:sz="4" w:space="0" w:color="auto"/>
              <w:right w:val="nil"/>
            </w:tcBorders>
            <w:noWrap/>
            <w:vAlign w:val="bottom"/>
            <w:hideMark/>
          </w:tcPr>
          <w:p w14:paraId="6861A26D" w14:textId="77777777" w:rsidR="00AE7FA9" w:rsidRPr="00EC6FC5" w:rsidRDefault="00AE7FA9" w:rsidP="00AE7FA9">
            <w:pPr>
              <w:spacing w:before="0" w:after="0"/>
              <w:ind w:left="0"/>
              <w:jc w:val="center"/>
              <w:rPr>
                <w:rFonts w:cs="Calibri"/>
                <w:color w:val="000000" w:themeColor="text1"/>
                <w:sz w:val="16"/>
                <w:szCs w:val="16"/>
              </w:rPr>
            </w:pPr>
            <w:r w:rsidRPr="00EC6FC5">
              <w:rPr>
                <w:rFonts w:cs="Calibri"/>
                <w:color w:val="000000" w:themeColor="text1"/>
                <w:sz w:val="16"/>
                <w:szCs w:val="16"/>
              </w:rPr>
              <w:t>-</w:t>
            </w:r>
          </w:p>
        </w:tc>
        <w:tc>
          <w:tcPr>
            <w:tcW w:w="380" w:type="dxa"/>
            <w:tcBorders>
              <w:top w:val="nil"/>
              <w:left w:val="nil"/>
              <w:bottom w:val="dashed" w:sz="4" w:space="0" w:color="auto"/>
              <w:right w:val="nil"/>
            </w:tcBorders>
            <w:noWrap/>
            <w:vAlign w:val="bottom"/>
            <w:hideMark/>
          </w:tcPr>
          <w:p w14:paraId="04A1247D" w14:textId="77777777" w:rsidR="00AE7FA9" w:rsidRPr="00EC6FC5" w:rsidRDefault="00AE7FA9" w:rsidP="00AE7FA9">
            <w:pPr>
              <w:spacing w:before="0" w:after="0"/>
              <w:ind w:left="0"/>
              <w:jc w:val="center"/>
              <w:rPr>
                <w:rFonts w:cs="Calibri"/>
                <w:color w:val="000000" w:themeColor="text1"/>
                <w:sz w:val="16"/>
                <w:szCs w:val="16"/>
              </w:rPr>
            </w:pPr>
            <w:r w:rsidRPr="00EC6FC5">
              <w:rPr>
                <w:rFonts w:cs="Calibri"/>
                <w:color w:val="000000" w:themeColor="text1"/>
                <w:sz w:val="16"/>
                <w:szCs w:val="16"/>
              </w:rPr>
              <w:t>-</w:t>
            </w:r>
          </w:p>
        </w:tc>
        <w:tc>
          <w:tcPr>
            <w:tcW w:w="347" w:type="dxa"/>
            <w:tcBorders>
              <w:top w:val="nil"/>
              <w:left w:val="nil"/>
              <w:bottom w:val="dashed" w:sz="4" w:space="0" w:color="auto"/>
              <w:right w:val="nil"/>
            </w:tcBorders>
            <w:noWrap/>
            <w:vAlign w:val="bottom"/>
            <w:hideMark/>
          </w:tcPr>
          <w:p w14:paraId="350190AC" w14:textId="77777777" w:rsidR="00AE7FA9" w:rsidRPr="00EC6FC5" w:rsidRDefault="00AE7FA9" w:rsidP="00AE7FA9">
            <w:pPr>
              <w:spacing w:before="0" w:after="0"/>
              <w:ind w:left="0"/>
              <w:jc w:val="center"/>
              <w:rPr>
                <w:rFonts w:cs="Calibri"/>
                <w:color w:val="000000" w:themeColor="text1"/>
                <w:sz w:val="16"/>
                <w:szCs w:val="16"/>
              </w:rPr>
            </w:pPr>
            <w:r w:rsidRPr="00EC6FC5">
              <w:rPr>
                <w:rFonts w:cs="Calibri"/>
                <w:color w:val="000000" w:themeColor="text1"/>
                <w:sz w:val="16"/>
                <w:szCs w:val="16"/>
              </w:rPr>
              <w:t>-</w:t>
            </w:r>
          </w:p>
        </w:tc>
        <w:tc>
          <w:tcPr>
            <w:tcW w:w="800" w:type="dxa"/>
            <w:tcBorders>
              <w:top w:val="nil"/>
              <w:left w:val="nil"/>
              <w:bottom w:val="dashed" w:sz="4" w:space="0" w:color="auto"/>
              <w:right w:val="nil"/>
            </w:tcBorders>
            <w:noWrap/>
            <w:vAlign w:val="bottom"/>
            <w:hideMark/>
          </w:tcPr>
          <w:p w14:paraId="1817F858" w14:textId="77777777" w:rsidR="00AE7FA9" w:rsidRPr="00EC6FC5" w:rsidRDefault="00AE7FA9" w:rsidP="00AE7FA9">
            <w:pPr>
              <w:spacing w:before="0" w:after="0"/>
              <w:ind w:left="0"/>
              <w:jc w:val="center"/>
              <w:rPr>
                <w:rFonts w:cs="Calibri"/>
                <w:color w:val="000000" w:themeColor="text1"/>
                <w:sz w:val="16"/>
                <w:szCs w:val="16"/>
              </w:rPr>
            </w:pPr>
            <w:r w:rsidRPr="00EC6FC5">
              <w:rPr>
                <w:rFonts w:cs="Calibri"/>
                <w:color w:val="000000" w:themeColor="text1"/>
                <w:sz w:val="16"/>
                <w:szCs w:val="16"/>
              </w:rPr>
              <w:t>-</w:t>
            </w:r>
          </w:p>
        </w:tc>
      </w:tr>
      <w:tr w:rsidR="00AE7FA9" w:rsidRPr="00EF3CD0" w14:paraId="516A3373" w14:textId="77777777" w:rsidTr="00F937DD">
        <w:trPr>
          <w:trHeight w:val="225"/>
        </w:trPr>
        <w:tc>
          <w:tcPr>
            <w:tcW w:w="2262" w:type="dxa"/>
            <w:gridSpan w:val="2"/>
            <w:tcBorders>
              <w:top w:val="nil"/>
              <w:left w:val="nil"/>
              <w:bottom w:val="dashed" w:sz="4" w:space="0" w:color="auto"/>
              <w:right w:val="nil"/>
            </w:tcBorders>
            <w:noWrap/>
            <w:vAlign w:val="bottom"/>
          </w:tcPr>
          <w:p w14:paraId="5998037A" w14:textId="54ADDC73" w:rsidR="00AE7FA9" w:rsidRPr="00EF3CD0" w:rsidRDefault="00AE7FA9" w:rsidP="00AE7FA9">
            <w:pPr>
              <w:spacing w:before="0" w:after="0"/>
              <w:ind w:left="0"/>
              <w:jc w:val="left"/>
              <w:rPr>
                <w:rFonts w:cs="Calibri"/>
                <w:sz w:val="16"/>
                <w:szCs w:val="16"/>
              </w:rPr>
            </w:pPr>
            <w:r w:rsidRPr="00EF3CD0">
              <w:rPr>
                <w:rFonts w:cs="Calibri"/>
                <w:b/>
                <w:bCs/>
                <w:i/>
                <w:iCs/>
                <w:sz w:val="16"/>
                <w:szCs w:val="16"/>
              </w:rPr>
              <w:t>zastavitelné plochy celkem</w:t>
            </w:r>
          </w:p>
        </w:tc>
        <w:tc>
          <w:tcPr>
            <w:tcW w:w="587" w:type="dxa"/>
            <w:tcBorders>
              <w:top w:val="nil"/>
              <w:left w:val="nil"/>
              <w:bottom w:val="dashed" w:sz="4" w:space="0" w:color="auto"/>
              <w:right w:val="nil"/>
            </w:tcBorders>
            <w:noWrap/>
            <w:vAlign w:val="center"/>
          </w:tcPr>
          <w:p w14:paraId="37CA3D35" w14:textId="5BB1493B" w:rsidR="00AE7FA9" w:rsidRPr="00EF3CD0" w:rsidRDefault="00AE7FA9" w:rsidP="00AE7FA9">
            <w:pPr>
              <w:spacing w:before="0" w:after="0"/>
              <w:ind w:left="0"/>
              <w:jc w:val="right"/>
              <w:rPr>
                <w:rFonts w:cs="Calibri"/>
                <w:b/>
                <w:bCs/>
                <w:sz w:val="16"/>
                <w:szCs w:val="16"/>
              </w:rPr>
            </w:pPr>
            <w:r w:rsidRPr="00EF3CD0">
              <w:rPr>
                <w:rFonts w:cs="Calibri"/>
                <w:b/>
                <w:bCs/>
                <w:i/>
                <w:iCs/>
                <w:sz w:val="16"/>
                <w:szCs w:val="16"/>
              </w:rPr>
              <w:t>11,661</w:t>
            </w:r>
          </w:p>
        </w:tc>
        <w:tc>
          <w:tcPr>
            <w:tcW w:w="580" w:type="dxa"/>
            <w:tcBorders>
              <w:top w:val="nil"/>
              <w:left w:val="nil"/>
              <w:bottom w:val="dashed" w:sz="4" w:space="0" w:color="auto"/>
              <w:right w:val="nil"/>
            </w:tcBorders>
            <w:noWrap/>
            <w:vAlign w:val="center"/>
          </w:tcPr>
          <w:p w14:paraId="649AE495" w14:textId="3B53566B" w:rsidR="00AE7FA9" w:rsidRPr="00EF3CD0" w:rsidRDefault="00AE7FA9" w:rsidP="00AE7FA9">
            <w:pPr>
              <w:spacing w:before="0" w:after="0"/>
              <w:ind w:left="0"/>
              <w:jc w:val="center"/>
              <w:rPr>
                <w:rFonts w:cs="Calibri"/>
                <w:sz w:val="16"/>
                <w:szCs w:val="16"/>
              </w:rPr>
            </w:pPr>
            <w:r w:rsidRPr="00EF3CD0">
              <w:rPr>
                <w:rFonts w:cs="Calibri"/>
                <w:b/>
                <w:bCs/>
                <w:i/>
                <w:iCs/>
                <w:sz w:val="16"/>
                <w:szCs w:val="16"/>
              </w:rPr>
              <w:t>0,000</w:t>
            </w:r>
          </w:p>
        </w:tc>
        <w:tc>
          <w:tcPr>
            <w:tcW w:w="760" w:type="dxa"/>
            <w:tcBorders>
              <w:top w:val="nil"/>
              <w:left w:val="nil"/>
              <w:bottom w:val="dashed" w:sz="4" w:space="0" w:color="auto"/>
              <w:right w:val="nil"/>
            </w:tcBorders>
            <w:noWrap/>
            <w:vAlign w:val="center"/>
          </w:tcPr>
          <w:p w14:paraId="2540092A" w14:textId="072715A0" w:rsidR="00AE7FA9" w:rsidRPr="00EF3CD0" w:rsidRDefault="00AE7FA9" w:rsidP="00AE7FA9">
            <w:pPr>
              <w:spacing w:before="0" w:after="0"/>
              <w:ind w:left="0"/>
              <w:jc w:val="center"/>
              <w:rPr>
                <w:rFonts w:cs="Calibri"/>
                <w:sz w:val="16"/>
                <w:szCs w:val="16"/>
              </w:rPr>
            </w:pPr>
            <w:r w:rsidRPr="00EF3CD0">
              <w:rPr>
                <w:rFonts w:cs="Calibri"/>
                <w:b/>
                <w:bCs/>
                <w:i/>
                <w:iCs/>
                <w:sz w:val="16"/>
                <w:szCs w:val="16"/>
              </w:rPr>
              <w:t>1,724</w:t>
            </w:r>
          </w:p>
        </w:tc>
        <w:tc>
          <w:tcPr>
            <w:tcW w:w="580" w:type="dxa"/>
            <w:tcBorders>
              <w:top w:val="nil"/>
              <w:left w:val="nil"/>
              <w:bottom w:val="dashed" w:sz="4" w:space="0" w:color="auto"/>
              <w:right w:val="nil"/>
            </w:tcBorders>
            <w:noWrap/>
            <w:vAlign w:val="center"/>
          </w:tcPr>
          <w:p w14:paraId="24AC4C5A" w14:textId="01754AEF" w:rsidR="00AE7FA9" w:rsidRPr="00EF3CD0" w:rsidRDefault="00AE7FA9" w:rsidP="00AE7FA9">
            <w:pPr>
              <w:spacing w:before="0" w:after="0"/>
              <w:ind w:left="0"/>
              <w:jc w:val="center"/>
              <w:rPr>
                <w:rFonts w:cs="Calibri"/>
                <w:sz w:val="16"/>
                <w:szCs w:val="16"/>
              </w:rPr>
            </w:pPr>
            <w:r w:rsidRPr="00EF3CD0">
              <w:rPr>
                <w:rFonts w:cs="Calibri"/>
                <w:b/>
                <w:bCs/>
                <w:i/>
                <w:iCs/>
                <w:sz w:val="16"/>
                <w:szCs w:val="16"/>
              </w:rPr>
              <w:t>0,000</w:t>
            </w:r>
          </w:p>
        </w:tc>
        <w:tc>
          <w:tcPr>
            <w:tcW w:w="640" w:type="dxa"/>
            <w:tcBorders>
              <w:top w:val="nil"/>
              <w:left w:val="nil"/>
              <w:bottom w:val="dashed" w:sz="4" w:space="0" w:color="auto"/>
              <w:right w:val="nil"/>
            </w:tcBorders>
            <w:noWrap/>
            <w:vAlign w:val="center"/>
          </w:tcPr>
          <w:p w14:paraId="00F9E61A" w14:textId="0BC861F5" w:rsidR="00AE7FA9" w:rsidRPr="00EF3CD0" w:rsidRDefault="00AE7FA9" w:rsidP="00AE7FA9">
            <w:pPr>
              <w:spacing w:before="0" w:after="0"/>
              <w:ind w:left="0"/>
              <w:jc w:val="center"/>
              <w:rPr>
                <w:rFonts w:cs="Calibri"/>
                <w:sz w:val="16"/>
                <w:szCs w:val="16"/>
              </w:rPr>
            </w:pPr>
            <w:r w:rsidRPr="00EF3CD0">
              <w:rPr>
                <w:rFonts w:cs="Calibri"/>
                <w:b/>
                <w:bCs/>
                <w:i/>
                <w:iCs/>
                <w:sz w:val="16"/>
                <w:szCs w:val="16"/>
              </w:rPr>
              <w:t>0,000</w:t>
            </w:r>
          </w:p>
        </w:tc>
        <w:tc>
          <w:tcPr>
            <w:tcW w:w="720" w:type="dxa"/>
            <w:tcBorders>
              <w:top w:val="nil"/>
              <w:left w:val="nil"/>
              <w:bottom w:val="dashed" w:sz="4" w:space="0" w:color="auto"/>
              <w:right w:val="nil"/>
            </w:tcBorders>
            <w:noWrap/>
            <w:vAlign w:val="center"/>
          </w:tcPr>
          <w:p w14:paraId="0DFD18EA" w14:textId="2162B126" w:rsidR="00AE7FA9" w:rsidRPr="00EF3CD0" w:rsidRDefault="00AE7FA9" w:rsidP="00AE7FA9">
            <w:pPr>
              <w:spacing w:before="0" w:after="0"/>
              <w:ind w:left="0"/>
              <w:jc w:val="right"/>
              <w:rPr>
                <w:rFonts w:cs="Calibri"/>
                <w:sz w:val="16"/>
                <w:szCs w:val="16"/>
              </w:rPr>
            </w:pPr>
            <w:r w:rsidRPr="00EF3CD0">
              <w:rPr>
                <w:rFonts w:cs="Calibri"/>
                <w:b/>
                <w:bCs/>
                <w:i/>
                <w:iCs/>
                <w:sz w:val="16"/>
                <w:szCs w:val="16"/>
              </w:rPr>
              <w:t>9,937</w:t>
            </w:r>
          </w:p>
        </w:tc>
        <w:tc>
          <w:tcPr>
            <w:tcW w:w="860" w:type="dxa"/>
            <w:tcBorders>
              <w:top w:val="nil"/>
              <w:left w:val="nil"/>
              <w:bottom w:val="dashed" w:sz="4" w:space="0" w:color="auto"/>
              <w:right w:val="nil"/>
            </w:tcBorders>
            <w:noWrap/>
            <w:vAlign w:val="bottom"/>
          </w:tcPr>
          <w:p w14:paraId="41B17597" w14:textId="77777777" w:rsidR="00AE7FA9" w:rsidRPr="00EF3CD0" w:rsidRDefault="00AE7FA9" w:rsidP="00AE7FA9">
            <w:pPr>
              <w:spacing w:before="0" w:after="0"/>
              <w:ind w:left="0"/>
              <w:jc w:val="center"/>
              <w:rPr>
                <w:rFonts w:cs="Calibri"/>
                <w:sz w:val="16"/>
                <w:szCs w:val="16"/>
              </w:rPr>
            </w:pPr>
          </w:p>
        </w:tc>
        <w:tc>
          <w:tcPr>
            <w:tcW w:w="420" w:type="dxa"/>
            <w:tcBorders>
              <w:top w:val="nil"/>
              <w:left w:val="nil"/>
              <w:bottom w:val="dashed" w:sz="4" w:space="0" w:color="auto"/>
              <w:right w:val="nil"/>
            </w:tcBorders>
            <w:noWrap/>
            <w:vAlign w:val="bottom"/>
          </w:tcPr>
          <w:p w14:paraId="4FF90A1E" w14:textId="77777777" w:rsidR="00AE7FA9" w:rsidRPr="00EF3CD0" w:rsidRDefault="00AE7FA9" w:rsidP="00AE7FA9">
            <w:pPr>
              <w:spacing w:before="0" w:after="0"/>
              <w:ind w:left="0"/>
              <w:jc w:val="center"/>
              <w:rPr>
                <w:rFonts w:cs="Calibri"/>
                <w:sz w:val="16"/>
                <w:szCs w:val="16"/>
              </w:rPr>
            </w:pPr>
          </w:p>
        </w:tc>
        <w:tc>
          <w:tcPr>
            <w:tcW w:w="380" w:type="dxa"/>
            <w:tcBorders>
              <w:top w:val="nil"/>
              <w:left w:val="nil"/>
              <w:bottom w:val="dashed" w:sz="4" w:space="0" w:color="auto"/>
              <w:right w:val="nil"/>
            </w:tcBorders>
            <w:noWrap/>
            <w:vAlign w:val="bottom"/>
          </w:tcPr>
          <w:p w14:paraId="20060468" w14:textId="77777777" w:rsidR="00AE7FA9" w:rsidRPr="00EF3CD0" w:rsidRDefault="00AE7FA9" w:rsidP="00AE7FA9">
            <w:pPr>
              <w:spacing w:before="0" w:after="0"/>
              <w:ind w:left="0"/>
              <w:jc w:val="center"/>
              <w:rPr>
                <w:rFonts w:cs="Calibri"/>
                <w:sz w:val="16"/>
                <w:szCs w:val="16"/>
              </w:rPr>
            </w:pPr>
          </w:p>
        </w:tc>
        <w:tc>
          <w:tcPr>
            <w:tcW w:w="347" w:type="dxa"/>
            <w:tcBorders>
              <w:top w:val="nil"/>
              <w:left w:val="nil"/>
              <w:bottom w:val="dashed" w:sz="4" w:space="0" w:color="auto"/>
              <w:right w:val="nil"/>
            </w:tcBorders>
            <w:noWrap/>
            <w:vAlign w:val="bottom"/>
          </w:tcPr>
          <w:p w14:paraId="21E3C5A7" w14:textId="77777777" w:rsidR="00AE7FA9" w:rsidRPr="00EF3CD0" w:rsidRDefault="00AE7FA9" w:rsidP="00AE7FA9">
            <w:pPr>
              <w:spacing w:before="0" w:after="0"/>
              <w:ind w:left="0"/>
              <w:jc w:val="center"/>
              <w:rPr>
                <w:rFonts w:cs="Calibri"/>
                <w:sz w:val="16"/>
                <w:szCs w:val="16"/>
              </w:rPr>
            </w:pPr>
          </w:p>
        </w:tc>
        <w:tc>
          <w:tcPr>
            <w:tcW w:w="800" w:type="dxa"/>
            <w:tcBorders>
              <w:top w:val="nil"/>
              <w:left w:val="nil"/>
              <w:bottom w:val="dashed" w:sz="4" w:space="0" w:color="auto"/>
              <w:right w:val="nil"/>
            </w:tcBorders>
            <w:noWrap/>
            <w:vAlign w:val="bottom"/>
          </w:tcPr>
          <w:p w14:paraId="3A22502A" w14:textId="77777777" w:rsidR="00AE7FA9" w:rsidRPr="00EF3CD0" w:rsidRDefault="00AE7FA9" w:rsidP="00AE7FA9">
            <w:pPr>
              <w:spacing w:before="0" w:after="0"/>
              <w:ind w:left="0"/>
              <w:jc w:val="center"/>
              <w:rPr>
                <w:rFonts w:cs="Calibri"/>
                <w:sz w:val="16"/>
                <w:szCs w:val="16"/>
              </w:rPr>
            </w:pPr>
          </w:p>
        </w:tc>
      </w:tr>
      <w:tr w:rsidR="00AE7FA9" w:rsidRPr="00EF3CD0" w14:paraId="11C06B9C" w14:textId="77777777" w:rsidTr="00F937DD">
        <w:trPr>
          <w:trHeight w:val="225"/>
        </w:trPr>
        <w:tc>
          <w:tcPr>
            <w:tcW w:w="2262" w:type="dxa"/>
            <w:gridSpan w:val="2"/>
            <w:tcBorders>
              <w:top w:val="nil"/>
              <w:left w:val="nil"/>
              <w:bottom w:val="dashed" w:sz="4" w:space="0" w:color="auto"/>
              <w:right w:val="nil"/>
            </w:tcBorders>
            <w:noWrap/>
            <w:vAlign w:val="bottom"/>
          </w:tcPr>
          <w:p w14:paraId="16B88EF9" w14:textId="338EAE18" w:rsidR="00AE7FA9" w:rsidRPr="00EF3CD0" w:rsidRDefault="00AE7FA9" w:rsidP="00AE7FA9">
            <w:pPr>
              <w:spacing w:before="0" w:after="0"/>
              <w:ind w:left="0"/>
              <w:jc w:val="left"/>
              <w:rPr>
                <w:rFonts w:cs="Calibri"/>
                <w:sz w:val="16"/>
                <w:szCs w:val="16"/>
              </w:rPr>
            </w:pPr>
            <w:r>
              <w:rPr>
                <w:rFonts w:cs="Calibri"/>
                <w:b/>
                <w:bCs/>
                <w:i/>
                <w:iCs/>
                <w:sz w:val="16"/>
                <w:szCs w:val="16"/>
              </w:rPr>
              <w:t>p</w:t>
            </w:r>
            <w:r w:rsidRPr="00EF3CD0">
              <w:rPr>
                <w:rFonts w:cs="Calibri"/>
                <w:b/>
                <w:bCs/>
                <w:i/>
                <w:iCs/>
                <w:sz w:val="16"/>
                <w:szCs w:val="16"/>
              </w:rPr>
              <w:t>lochy smíšené celkem</w:t>
            </w:r>
          </w:p>
        </w:tc>
        <w:tc>
          <w:tcPr>
            <w:tcW w:w="587" w:type="dxa"/>
            <w:tcBorders>
              <w:top w:val="nil"/>
              <w:left w:val="nil"/>
              <w:bottom w:val="dashed" w:sz="4" w:space="0" w:color="auto"/>
              <w:right w:val="nil"/>
            </w:tcBorders>
            <w:noWrap/>
            <w:vAlign w:val="center"/>
          </w:tcPr>
          <w:p w14:paraId="415191B1" w14:textId="39BE6815" w:rsidR="00AE7FA9" w:rsidRPr="00EF3CD0" w:rsidRDefault="00AE7FA9" w:rsidP="00AE7FA9">
            <w:pPr>
              <w:spacing w:before="0" w:after="0"/>
              <w:ind w:left="0"/>
              <w:jc w:val="right"/>
              <w:rPr>
                <w:rFonts w:cs="Calibri"/>
                <w:b/>
                <w:bCs/>
                <w:i/>
                <w:iCs/>
                <w:sz w:val="16"/>
                <w:szCs w:val="16"/>
              </w:rPr>
            </w:pPr>
            <w:r w:rsidRPr="00EF3CD0">
              <w:rPr>
                <w:rFonts w:cs="Calibri"/>
                <w:b/>
                <w:bCs/>
                <w:i/>
                <w:iCs/>
                <w:sz w:val="16"/>
                <w:szCs w:val="16"/>
              </w:rPr>
              <w:t>16,459</w:t>
            </w:r>
          </w:p>
        </w:tc>
        <w:tc>
          <w:tcPr>
            <w:tcW w:w="580" w:type="dxa"/>
            <w:tcBorders>
              <w:top w:val="nil"/>
              <w:left w:val="nil"/>
              <w:bottom w:val="dashed" w:sz="4" w:space="0" w:color="auto"/>
              <w:right w:val="nil"/>
            </w:tcBorders>
            <w:noWrap/>
            <w:vAlign w:val="center"/>
          </w:tcPr>
          <w:p w14:paraId="714F05B8" w14:textId="58ABBF99" w:rsidR="00AE7FA9" w:rsidRPr="00EF3CD0" w:rsidRDefault="00AE7FA9" w:rsidP="00AE7FA9">
            <w:pPr>
              <w:spacing w:before="0" w:after="0"/>
              <w:ind w:left="0"/>
              <w:jc w:val="center"/>
              <w:rPr>
                <w:rFonts w:cs="Calibri"/>
                <w:b/>
                <w:bCs/>
                <w:i/>
                <w:iCs/>
                <w:sz w:val="16"/>
                <w:szCs w:val="16"/>
              </w:rPr>
            </w:pPr>
            <w:r w:rsidRPr="00EF3CD0">
              <w:rPr>
                <w:rFonts w:cs="Calibri"/>
                <w:b/>
                <w:bCs/>
                <w:i/>
                <w:iCs/>
                <w:sz w:val="16"/>
                <w:szCs w:val="16"/>
              </w:rPr>
              <w:t>0,000</w:t>
            </w:r>
          </w:p>
        </w:tc>
        <w:tc>
          <w:tcPr>
            <w:tcW w:w="760" w:type="dxa"/>
            <w:tcBorders>
              <w:top w:val="nil"/>
              <w:left w:val="nil"/>
              <w:bottom w:val="dashed" w:sz="4" w:space="0" w:color="auto"/>
              <w:right w:val="nil"/>
            </w:tcBorders>
            <w:noWrap/>
            <w:vAlign w:val="center"/>
          </w:tcPr>
          <w:p w14:paraId="7F9B5C8D" w14:textId="4FE245D8" w:rsidR="00AE7FA9" w:rsidRPr="00EF3CD0" w:rsidRDefault="00AE7FA9" w:rsidP="00AE7FA9">
            <w:pPr>
              <w:spacing w:before="0" w:after="0"/>
              <w:ind w:left="0"/>
              <w:jc w:val="center"/>
              <w:rPr>
                <w:rFonts w:cs="Calibri"/>
                <w:b/>
                <w:bCs/>
                <w:i/>
                <w:iCs/>
                <w:sz w:val="16"/>
                <w:szCs w:val="16"/>
              </w:rPr>
            </w:pPr>
            <w:r w:rsidRPr="00EF3CD0">
              <w:rPr>
                <w:rFonts w:cs="Calibri"/>
                <w:b/>
                <w:bCs/>
                <w:i/>
                <w:iCs/>
                <w:sz w:val="16"/>
                <w:szCs w:val="16"/>
              </w:rPr>
              <w:t>2,925</w:t>
            </w:r>
          </w:p>
        </w:tc>
        <w:tc>
          <w:tcPr>
            <w:tcW w:w="580" w:type="dxa"/>
            <w:tcBorders>
              <w:top w:val="nil"/>
              <w:left w:val="nil"/>
              <w:bottom w:val="dashed" w:sz="4" w:space="0" w:color="auto"/>
              <w:right w:val="nil"/>
            </w:tcBorders>
            <w:noWrap/>
            <w:vAlign w:val="center"/>
          </w:tcPr>
          <w:p w14:paraId="063A7F0B" w14:textId="369E5393" w:rsidR="00AE7FA9" w:rsidRPr="00EF3CD0" w:rsidRDefault="00AE7FA9" w:rsidP="00AE7FA9">
            <w:pPr>
              <w:spacing w:before="0" w:after="0"/>
              <w:ind w:left="0"/>
              <w:jc w:val="center"/>
              <w:rPr>
                <w:rFonts w:cs="Calibri"/>
                <w:b/>
                <w:bCs/>
                <w:i/>
                <w:iCs/>
                <w:sz w:val="16"/>
                <w:szCs w:val="16"/>
              </w:rPr>
            </w:pPr>
            <w:r w:rsidRPr="00EF3CD0">
              <w:rPr>
                <w:rFonts w:cs="Calibri"/>
                <w:b/>
                <w:bCs/>
                <w:i/>
                <w:iCs/>
                <w:sz w:val="16"/>
                <w:szCs w:val="16"/>
              </w:rPr>
              <w:t>0,000</w:t>
            </w:r>
          </w:p>
        </w:tc>
        <w:tc>
          <w:tcPr>
            <w:tcW w:w="640" w:type="dxa"/>
            <w:tcBorders>
              <w:top w:val="nil"/>
              <w:left w:val="nil"/>
              <w:bottom w:val="dashed" w:sz="4" w:space="0" w:color="auto"/>
              <w:right w:val="nil"/>
            </w:tcBorders>
            <w:noWrap/>
            <w:vAlign w:val="center"/>
          </w:tcPr>
          <w:p w14:paraId="0D28792E" w14:textId="72F8FBA7" w:rsidR="00AE7FA9" w:rsidRPr="00EF3CD0" w:rsidRDefault="00AE7FA9" w:rsidP="00AE7FA9">
            <w:pPr>
              <w:spacing w:before="0" w:after="0"/>
              <w:ind w:left="0"/>
              <w:jc w:val="center"/>
              <w:rPr>
                <w:rFonts w:cs="Calibri"/>
                <w:b/>
                <w:bCs/>
                <w:i/>
                <w:iCs/>
                <w:sz w:val="16"/>
                <w:szCs w:val="16"/>
              </w:rPr>
            </w:pPr>
            <w:r w:rsidRPr="00EF3CD0">
              <w:rPr>
                <w:rFonts w:cs="Calibri"/>
                <w:b/>
                <w:bCs/>
                <w:i/>
                <w:iCs/>
                <w:sz w:val="16"/>
                <w:szCs w:val="16"/>
              </w:rPr>
              <w:t>0,579</w:t>
            </w:r>
          </w:p>
        </w:tc>
        <w:tc>
          <w:tcPr>
            <w:tcW w:w="720" w:type="dxa"/>
            <w:tcBorders>
              <w:top w:val="nil"/>
              <w:left w:val="nil"/>
              <w:bottom w:val="dashed" w:sz="4" w:space="0" w:color="auto"/>
              <w:right w:val="nil"/>
            </w:tcBorders>
            <w:noWrap/>
            <w:vAlign w:val="center"/>
          </w:tcPr>
          <w:p w14:paraId="64BD8551" w14:textId="54DB19EC" w:rsidR="00AE7FA9" w:rsidRPr="00EF3CD0" w:rsidRDefault="00AE7FA9" w:rsidP="00AE7FA9">
            <w:pPr>
              <w:spacing w:before="0" w:after="0"/>
              <w:ind w:left="0"/>
              <w:jc w:val="right"/>
              <w:rPr>
                <w:rFonts w:cs="Calibri"/>
                <w:b/>
                <w:bCs/>
                <w:i/>
                <w:iCs/>
                <w:sz w:val="16"/>
                <w:szCs w:val="16"/>
              </w:rPr>
            </w:pPr>
            <w:r w:rsidRPr="00EF3CD0">
              <w:rPr>
                <w:rFonts w:cs="Calibri"/>
                <w:b/>
                <w:bCs/>
                <w:i/>
                <w:iCs/>
                <w:sz w:val="16"/>
                <w:szCs w:val="16"/>
              </w:rPr>
              <w:t>12,955</w:t>
            </w:r>
          </w:p>
        </w:tc>
        <w:tc>
          <w:tcPr>
            <w:tcW w:w="860" w:type="dxa"/>
            <w:tcBorders>
              <w:top w:val="nil"/>
              <w:left w:val="nil"/>
              <w:bottom w:val="dashed" w:sz="4" w:space="0" w:color="auto"/>
              <w:right w:val="nil"/>
            </w:tcBorders>
            <w:noWrap/>
            <w:vAlign w:val="bottom"/>
          </w:tcPr>
          <w:p w14:paraId="55B069B0" w14:textId="77777777" w:rsidR="00AE7FA9" w:rsidRPr="00EF3CD0" w:rsidRDefault="00AE7FA9" w:rsidP="00AE7FA9">
            <w:pPr>
              <w:spacing w:before="0" w:after="0"/>
              <w:ind w:left="0"/>
              <w:jc w:val="center"/>
              <w:rPr>
                <w:rFonts w:cs="Calibri"/>
                <w:sz w:val="16"/>
                <w:szCs w:val="16"/>
              </w:rPr>
            </w:pPr>
          </w:p>
        </w:tc>
        <w:tc>
          <w:tcPr>
            <w:tcW w:w="420" w:type="dxa"/>
            <w:tcBorders>
              <w:top w:val="nil"/>
              <w:left w:val="nil"/>
              <w:bottom w:val="dashed" w:sz="4" w:space="0" w:color="auto"/>
              <w:right w:val="nil"/>
            </w:tcBorders>
            <w:noWrap/>
            <w:vAlign w:val="bottom"/>
          </w:tcPr>
          <w:p w14:paraId="6BD3690A" w14:textId="77777777" w:rsidR="00AE7FA9" w:rsidRPr="00EF3CD0" w:rsidRDefault="00AE7FA9" w:rsidP="00AE7FA9">
            <w:pPr>
              <w:spacing w:before="0" w:after="0"/>
              <w:ind w:left="0"/>
              <w:jc w:val="center"/>
              <w:rPr>
                <w:rFonts w:cs="Calibri"/>
                <w:sz w:val="16"/>
                <w:szCs w:val="16"/>
              </w:rPr>
            </w:pPr>
          </w:p>
        </w:tc>
        <w:tc>
          <w:tcPr>
            <w:tcW w:w="380" w:type="dxa"/>
            <w:tcBorders>
              <w:top w:val="nil"/>
              <w:left w:val="nil"/>
              <w:bottom w:val="dashed" w:sz="4" w:space="0" w:color="auto"/>
              <w:right w:val="nil"/>
            </w:tcBorders>
            <w:noWrap/>
            <w:vAlign w:val="bottom"/>
          </w:tcPr>
          <w:p w14:paraId="28719840" w14:textId="77777777" w:rsidR="00AE7FA9" w:rsidRPr="00EF3CD0" w:rsidRDefault="00AE7FA9" w:rsidP="00AE7FA9">
            <w:pPr>
              <w:spacing w:before="0" w:after="0"/>
              <w:ind w:left="0"/>
              <w:jc w:val="center"/>
              <w:rPr>
                <w:rFonts w:cs="Calibri"/>
                <w:sz w:val="16"/>
                <w:szCs w:val="16"/>
              </w:rPr>
            </w:pPr>
          </w:p>
        </w:tc>
        <w:tc>
          <w:tcPr>
            <w:tcW w:w="347" w:type="dxa"/>
            <w:tcBorders>
              <w:top w:val="nil"/>
              <w:left w:val="nil"/>
              <w:bottom w:val="dashed" w:sz="4" w:space="0" w:color="auto"/>
              <w:right w:val="nil"/>
            </w:tcBorders>
            <w:noWrap/>
            <w:vAlign w:val="bottom"/>
          </w:tcPr>
          <w:p w14:paraId="28EA8D38" w14:textId="77777777" w:rsidR="00AE7FA9" w:rsidRPr="00EF3CD0" w:rsidRDefault="00AE7FA9" w:rsidP="00AE7FA9">
            <w:pPr>
              <w:spacing w:before="0" w:after="0"/>
              <w:ind w:left="0"/>
              <w:jc w:val="center"/>
              <w:rPr>
                <w:rFonts w:cs="Calibri"/>
                <w:sz w:val="16"/>
                <w:szCs w:val="16"/>
              </w:rPr>
            </w:pPr>
          </w:p>
        </w:tc>
        <w:tc>
          <w:tcPr>
            <w:tcW w:w="800" w:type="dxa"/>
            <w:tcBorders>
              <w:top w:val="nil"/>
              <w:left w:val="nil"/>
              <w:bottom w:val="dashed" w:sz="4" w:space="0" w:color="auto"/>
              <w:right w:val="nil"/>
            </w:tcBorders>
            <w:noWrap/>
            <w:vAlign w:val="bottom"/>
          </w:tcPr>
          <w:p w14:paraId="49385923" w14:textId="77777777" w:rsidR="00AE7FA9" w:rsidRPr="00EF3CD0" w:rsidRDefault="00AE7FA9" w:rsidP="00AE7FA9">
            <w:pPr>
              <w:spacing w:before="0" w:after="0"/>
              <w:ind w:left="0"/>
              <w:jc w:val="center"/>
              <w:rPr>
                <w:rFonts w:cs="Calibri"/>
                <w:sz w:val="16"/>
                <w:szCs w:val="16"/>
              </w:rPr>
            </w:pPr>
          </w:p>
        </w:tc>
      </w:tr>
      <w:tr w:rsidR="00AE7FA9" w:rsidRPr="00EF3CD0" w14:paraId="76EBC691" w14:textId="77777777" w:rsidTr="00F937DD">
        <w:trPr>
          <w:trHeight w:val="210"/>
        </w:trPr>
        <w:tc>
          <w:tcPr>
            <w:tcW w:w="8936" w:type="dxa"/>
            <w:gridSpan w:val="13"/>
            <w:tcBorders>
              <w:top w:val="dashed" w:sz="4" w:space="0" w:color="auto"/>
              <w:left w:val="nil"/>
              <w:bottom w:val="dashed" w:sz="4" w:space="0" w:color="auto"/>
              <w:right w:val="nil"/>
            </w:tcBorders>
            <w:vAlign w:val="center"/>
            <w:hideMark/>
          </w:tcPr>
          <w:p w14:paraId="62DDED77" w14:textId="77777777" w:rsidR="00AE7FA9" w:rsidRPr="00EF3CD0" w:rsidRDefault="00AE7FA9" w:rsidP="00AE7FA9">
            <w:pPr>
              <w:spacing w:before="0" w:after="0"/>
              <w:ind w:left="0"/>
              <w:jc w:val="left"/>
              <w:rPr>
                <w:rFonts w:cs="Calibri"/>
                <w:b/>
                <w:bCs/>
                <w:sz w:val="16"/>
                <w:szCs w:val="16"/>
              </w:rPr>
            </w:pPr>
            <w:r w:rsidRPr="00EF3CD0">
              <w:rPr>
                <w:rFonts w:cs="Calibri"/>
                <w:b/>
                <w:bCs/>
                <w:sz w:val="16"/>
                <w:szCs w:val="16"/>
              </w:rPr>
              <w:t> </w:t>
            </w:r>
          </w:p>
        </w:tc>
      </w:tr>
      <w:tr w:rsidR="00AE7FA9" w:rsidRPr="00EF3CD0" w14:paraId="4997A758" w14:textId="77777777" w:rsidTr="00F937DD">
        <w:trPr>
          <w:trHeight w:val="210"/>
        </w:trPr>
        <w:tc>
          <w:tcPr>
            <w:tcW w:w="8936" w:type="dxa"/>
            <w:gridSpan w:val="13"/>
            <w:tcBorders>
              <w:top w:val="dashed" w:sz="4" w:space="0" w:color="auto"/>
              <w:left w:val="nil"/>
              <w:bottom w:val="dashed" w:sz="4" w:space="0" w:color="auto"/>
              <w:right w:val="nil"/>
            </w:tcBorders>
            <w:vAlign w:val="center"/>
            <w:hideMark/>
          </w:tcPr>
          <w:p w14:paraId="4E2DAECC" w14:textId="77777777" w:rsidR="00AE7FA9" w:rsidRPr="00EF3CD0" w:rsidRDefault="00AE7FA9" w:rsidP="00AE7FA9">
            <w:pPr>
              <w:spacing w:before="0" w:after="0"/>
              <w:ind w:left="0"/>
              <w:jc w:val="left"/>
              <w:rPr>
                <w:rFonts w:cs="Calibri"/>
                <w:b/>
                <w:bCs/>
                <w:i/>
                <w:iCs/>
                <w:sz w:val="16"/>
                <w:szCs w:val="16"/>
              </w:rPr>
            </w:pPr>
            <w:r w:rsidRPr="00EF3CD0">
              <w:rPr>
                <w:rFonts w:cs="Calibri"/>
                <w:b/>
                <w:bCs/>
                <w:i/>
                <w:iCs/>
                <w:sz w:val="16"/>
                <w:szCs w:val="16"/>
              </w:rPr>
              <w:t>Plochy rekreace</w:t>
            </w:r>
          </w:p>
        </w:tc>
      </w:tr>
      <w:tr w:rsidR="00AE7FA9" w:rsidRPr="00EF3CD0" w14:paraId="278DE3CC" w14:textId="77777777" w:rsidTr="00F937DD">
        <w:trPr>
          <w:trHeight w:val="210"/>
        </w:trPr>
        <w:tc>
          <w:tcPr>
            <w:tcW w:w="8936" w:type="dxa"/>
            <w:gridSpan w:val="13"/>
            <w:tcBorders>
              <w:top w:val="dashed" w:sz="4" w:space="0" w:color="auto"/>
              <w:left w:val="nil"/>
              <w:bottom w:val="dashed" w:sz="4" w:space="0" w:color="auto"/>
              <w:right w:val="nil"/>
            </w:tcBorders>
            <w:vAlign w:val="center"/>
            <w:hideMark/>
          </w:tcPr>
          <w:p w14:paraId="59FBAFA3" w14:textId="77777777" w:rsidR="00AE7FA9" w:rsidRPr="00EF3CD0" w:rsidRDefault="00AE7FA9" w:rsidP="00AE7FA9">
            <w:pPr>
              <w:spacing w:before="0" w:after="0"/>
              <w:ind w:left="0"/>
              <w:jc w:val="left"/>
              <w:rPr>
                <w:rFonts w:cs="Calibri"/>
                <w:b/>
                <w:bCs/>
                <w:i/>
                <w:iCs/>
                <w:sz w:val="16"/>
                <w:szCs w:val="16"/>
              </w:rPr>
            </w:pPr>
            <w:r w:rsidRPr="00EF3CD0">
              <w:rPr>
                <w:rFonts w:cs="Calibri"/>
                <w:b/>
                <w:bCs/>
                <w:i/>
                <w:iCs/>
                <w:sz w:val="16"/>
                <w:szCs w:val="16"/>
              </w:rPr>
              <w:t>plochy transformační</w:t>
            </w:r>
          </w:p>
        </w:tc>
      </w:tr>
      <w:tr w:rsidR="00AE7FA9" w:rsidRPr="00EF3CD0" w14:paraId="7570FEFB" w14:textId="77777777" w:rsidTr="00F937DD">
        <w:trPr>
          <w:trHeight w:val="210"/>
        </w:trPr>
        <w:tc>
          <w:tcPr>
            <w:tcW w:w="1078" w:type="dxa"/>
            <w:tcBorders>
              <w:top w:val="nil"/>
              <w:left w:val="nil"/>
              <w:bottom w:val="dashed" w:sz="4" w:space="0" w:color="auto"/>
              <w:right w:val="nil"/>
            </w:tcBorders>
            <w:noWrap/>
            <w:vAlign w:val="bottom"/>
            <w:hideMark/>
          </w:tcPr>
          <w:p w14:paraId="0968CBF3" w14:textId="77777777" w:rsidR="00AE7FA9" w:rsidRPr="00EF3CD0" w:rsidRDefault="00AE7FA9" w:rsidP="00AE7FA9">
            <w:pPr>
              <w:spacing w:before="0" w:after="0"/>
              <w:ind w:left="0"/>
              <w:jc w:val="left"/>
              <w:rPr>
                <w:rFonts w:cs="Calibri"/>
                <w:sz w:val="16"/>
                <w:szCs w:val="16"/>
              </w:rPr>
            </w:pPr>
            <w:r w:rsidRPr="00EF3CD0">
              <w:rPr>
                <w:rFonts w:cs="Calibri"/>
                <w:sz w:val="16"/>
                <w:szCs w:val="16"/>
              </w:rPr>
              <w:t>T.01-1</w:t>
            </w:r>
          </w:p>
        </w:tc>
        <w:tc>
          <w:tcPr>
            <w:tcW w:w="1184" w:type="dxa"/>
            <w:tcBorders>
              <w:top w:val="nil"/>
              <w:left w:val="nil"/>
              <w:bottom w:val="dashed" w:sz="4" w:space="0" w:color="auto"/>
              <w:right w:val="nil"/>
            </w:tcBorders>
            <w:noWrap/>
            <w:vAlign w:val="bottom"/>
            <w:hideMark/>
          </w:tcPr>
          <w:p w14:paraId="1464DDA8" w14:textId="77777777" w:rsidR="00AE7FA9" w:rsidRPr="00EF3CD0" w:rsidRDefault="00AE7FA9" w:rsidP="00AE7FA9">
            <w:pPr>
              <w:spacing w:before="0" w:after="0"/>
              <w:ind w:left="0"/>
              <w:jc w:val="left"/>
              <w:rPr>
                <w:rFonts w:cs="Calibri"/>
                <w:sz w:val="16"/>
                <w:szCs w:val="16"/>
              </w:rPr>
            </w:pPr>
            <w:r w:rsidRPr="00EF3CD0">
              <w:rPr>
                <w:rFonts w:cs="Calibri"/>
                <w:sz w:val="16"/>
                <w:szCs w:val="16"/>
              </w:rPr>
              <w:t>RX</w:t>
            </w:r>
          </w:p>
        </w:tc>
        <w:tc>
          <w:tcPr>
            <w:tcW w:w="587" w:type="dxa"/>
            <w:tcBorders>
              <w:top w:val="nil"/>
              <w:left w:val="nil"/>
              <w:bottom w:val="dashed" w:sz="4" w:space="0" w:color="auto"/>
              <w:right w:val="nil"/>
            </w:tcBorders>
            <w:noWrap/>
            <w:vAlign w:val="bottom"/>
            <w:hideMark/>
          </w:tcPr>
          <w:p w14:paraId="7C98283B" w14:textId="77777777" w:rsidR="00AE7FA9" w:rsidRPr="00EF3CD0" w:rsidRDefault="00AE7FA9" w:rsidP="00AE7FA9">
            <w:pPr>
              <w:spacing w:before="0" w:after="0"/>
              <w:ind w:left="0"/>
              <w:jc w:val="right"/>
              <w:rPr>
                <w:rFonts w:cs="Calibri"/>
                <w:b/>
                <w:bCs/>
                <w:sz w:val="16"/>
                <w:szCs w:val="16"/>
              </w:rPr>
            </w:pPr>
            <w:r w:rsidRPr="00EF3CD0">
              <w:rPr>
                <w:rFonts w:cs="Calibri"/>
                <w:b/>
                <w:bCs/>
                <w:sz w:val="16"/>
                <w:szCs w:val="16"/>
              </w:rPr>
              <w:t>0,809</w:t>
            </w:r>
          </w:p>
        </w:tc>
        <w:tc>
          <w:tcPr>
            <w:tcW w:w="580" w:type="dxa"/>
            <w:tcBorders>
              <w:top w:val="nil"/>
              <w:left w:val="nil"/>
              <w:bottom w:val="dashed" w:sz="4" w:space="0" w:color="auto"/>
              <w:right w:val="nil"/>
            </w:tcBorders>
            <w:noWrap/>
            <w:vAlign w:val="bottom"/>
            <w:hideMark/>
          </w:tcPr>
          <w:p w14:paraId="744C5418" w14:textId="77777777" w:rsidR="00AE7FA9" w:rsidRPr="00EF3CD0" w:rsidRDefault="00AE7FA9" w:rsidP="00AE7FA9">
            <w:pPr>
              <w:spacing w:before="0" w:after="0"/>
              <w:ind w:left="0"/>
              <w:jc w:val="right"/>
              <w:rPr>
                <w:rFonts w:cs="Calibri"/>
                <w:sz w:val="16"/>
                <w:szCs w:val="16"/>
              </w:rPr>
            </w:pPr>
            <w:r w:rsidRPr="00EF3CD0">
              <w:rPr>
                <w:rFonts w:cs="Calibri"/>
                <w:sz w:val="16"/>
                <w:szCs w:val="16"/>
              </w:rPr>
              <w:t>0,809</w:t>
            </w:r>
          </w:p>
        </w:tc>
        <w:tc>
          <w:tcPr>
            <w:tcW w:w="760" w:type="dxa"/>
            <w:tcBorders>
              <w:top w:val="nil"/>
              <w:left w:val="nil"/>
              <w:bottom w:val="dashed" w:sz="4" w:space="0" w:color="auto"/>
              <w:right w:val="nil"/>
            </w:tcBorders>
            <w:noWrap/>
            <w:vAlign w:val="bottom"/>
            <w:hideMark/>
          </w:tcPr>
          <w:p w14:paraId="2F4315E1" w14:textId="77777777" w:rsidR="00AE7FA9" w:rsidRPr="00EF3CD0" w:rsidRDefault="00AE7FA9" w:rsidP="00AE7FA9">
            <w:pPr>
              <w:spacing w:before="0" w:after="0"/>
              <w:ind w:left="0"/>
              <w:jc w:val="center"/>
              <w:rPr>
                <w:rFonts w:cs="Calibri"/>
                <w:sz w:val="16"/>
                <w:szCs w:val="16"/>
              </w:rPr>
            </w:pPr>
            <w:r w:rsidRPr="00EF3CD0">
              <w:rPr>
                <w:rFonts w:cs="Calibri"/>
                <w:sz w:val="16"/>
                <w:szCs w:val="16"/>
              </w:rPr>
              <w:t>-</w:t>
            </w:r>
          </w:p>
        </w:tc>
        <w:tc>
          <w:tcPr>
            <w:tcW w:w="580" w:type="dxa"/>
            <w:tcBorders>
              <w:top w:val="nil"/>
              <w:left w:val="nil"/>
              <w:bottom w:val="dashed" w:sz="4" w:space="0" w:color="auto"/>
              <w:right w:val="nil"/>
            </w:tcBorders>
            <w:noWrap/>
            <w:vAlign w:val="bottom"/>
            <w:hideMark/>
          </w:tcPr>
          <w:p w14:paraId="3BAB27A3" w14:textId="77777777" w:rsidR="00AE7FA9" w:rsidRPr="00EF3CD0" w:rsidRDefault="00AE7FA9" w:rsidP="00AE7FA9">
            <w:pPr>
              <w:spacing w:before="0" w:after="0"/>
              <w:ind w:left="0"/>
              <w:jc w:val="center"/>
              <w:rPr>
                <w:rFonts w:cs="Calibri"/>
                <w:sz w:val="16"/>
                <w:szCs w:val="16"/>
              </w:rPr>
            </w:pPr>
            <w:r w:rsidRPr="00EF3CD0">
              <w:rPr>
                <w:rFonts w:cs="Calibri"/>
                <w:sz w:val="16"/>
                <w:szCs w:val="16"/>
              </w:rPr>
              <w:t>-</w:t>
            </w:r>
          </w:p>
        </w:tc>
        <w:tc>
          <w:tcPr>
            <w:tcW w:w="640" w:type="dxa"/>
            <w:tcBorders>
              <w:top w:val="nil"/>
              <w:left w:val="nil"/>
              <w:bottom w:val="dashed" w:sz="4" w:space="0" w:color="auto"/>
              <w:right w:val="nil"/>
            </w:tcBorders>
            <w:noWrap/>
            <w:vAlign w:val="bottom"/>
            <w:hideMark/>
          </w:tcPr>
          <w:p w14:paraId="301C7C52" w14:textId="77777777" w:rsidR="00AE7FA9" w:rsidRPr="00EF3CD0" w:rsidRDefault="00AE7FA9" w:rsidP="00AE7FA9">
            <w:pPr>
              <w:spacing w:before="0" w:after="0"/>
              <w:ind w:left="0"/>
              <w:jc w:val="center"/>
              <w:rPr>
                <w:rFonts w:cs="Calibri"/>
                <w:sz w:val="16"/>
                <w:szCs w:val="16"/>
              </w:rPr>
            </w:pPr>
            <w:r w:rsidRPr="00EF3CD0">
              <w:rPr>
                <w:rFonts w:cs="Calibri"/>
                <w:sz w:val="16"/>
                <w:szCs w:val="16"/>
              </w:rPr>
              <w:t>-</w:t>
            </w:r>
          </w:p>
        </w:tc>
        <w:tc>
          <w:tcPr>
            <w:tcW w:w="720" w:type="dxa"/>
            <w:tcBorders>
              <w:top w:val="nil"/>
              <w:left w:val="nil"/>
              <w:bottom w:val="dashed" w:sz="4" w:space="0" w:color="auto"/>
              <w:right w:val="nil"/>
            </w:tcBorders>
            <w:noWrap/>
            <w:vAlign w:val="bottom"/>
            <w:hideMark/>
          </w:tcPr>
          <w:p w14:paraId="4FDA230A" w14:textId="77777777" w:rsidR="00AE7FA9" w:rsidRPr="00EF3CD0" w:rsidRDefault="00AE7FA9" w:rsidP="00AE7FA9">
            <w:pPr>
              <w:spacing w:before="0" w:after="0"/>
              <w:ind w:left="0"/>
              <w:jc w:val="center"/>
              <w:rPr>
                <w:rFonts w:cs="Calibri"/>
                <w:sz w:val="16"/>
                <w:szCs w:val="16"/>
              </w:rPr>
            </w:pPr>
            <w:r w:rsidRPr="00EF3CD0">
              <w:rPr>
                <w:rFonts w:cs="Calibri"/>
                <w:sz w:val="16"/>
                <w:szCs w:val="16"/>
              </w:rPr>
              <w:t>-</w:t>
            </w:r>
          </w:p>
        </w:tc>
        <w:tc>
          <w:tcPr>
            <w:tcW w:w="860" w:type="dxa"/>
            <w:tcBorders>
              <w:top w:val="nil"/>
              <w:left w:val="nil"/>
              <w:bottom w:val="dashed" w:sz="4" w:space="0" w:color="auto"/>
              <w:right w:val="nil"/>
            </w:tcBorders>
            <w:noWrap/>
            <w:vAlign w:val="bottom"/>
            <w:hideMark/>
          </w:tcPr>
          <w:p w14:paraId="7E7F1AE2" w14:textId="77777777" w:rsidR="00AE7FA9" w:rsidRPr="00EF3CD0" w:rsidRDefault="00AE7FA9" w:rsidP="00AE7FA9">
            <w:pPr>
              <w:spacing w:before="0" w:after="0"/>
              <w:ind w:left="0"/>
              <w:jc w:val="center"/>
              <w:rPr>
                <w:rFonts w:cs="Calibri"/>
                <w:sz w:val="16"/>
                <w:szCs w:val="16"/>
              </w:rPr>
            </w:pPr>
            <w:r w:rsidRPr="00EF3CD0">
              <w:rPr>
                <w:rFonts w:cs="Calibri"/>
                <w:sz w:val="16"/>
                <w:szCs w:val="16"/>
              </w:rPr>
              <w:t>-</w:t>
            </w:r>
          </w:p>
        </w:tc>
        <w:tc>
          <w:tcPr>
            <w:tcW w:w="420" w:type="dxa"/>
            <w:tcBorders>
              <w:top w:val="nil"/>
              <w:left w:val="nil"/>
              <w:bottom w:val="dashed" w:sz="4" w:space="0" w:color="auto"/>
              <w:right w:val="nil"/>
            </w:tcBorders>
            <w:noWrap/>
            <w:vAlign w:val="bottom"/>
            <w:hideMark/>
          </w:tcPr>
          <w:p w14:paraId="6D3751A6" w14:textId="77777777" w:rsidR="00AE7FA9" w:rsidRPr="00EF3CD0" w:rsidRDefault="00AE7FA9" w:rsidP="00AE7FA9">
            <w:pPr>
              <w:spacing w:before="0" w:after="0"/>
              <w:ind w:left="0"/>
              <w:jc w:val="center"/>
              <w:rPr>
                <w:rFonts w:cs="Calibri"/>
                <w:sz w:val="16"/>
                <w:szCs w:val="16"/>
              </w:rPr>
            </w:pPr>
            <w:r w:rsidRPr="00EF3CD0">
              <w:rPr>
                <w:rFonts w:cs="Calibri"/>
                <w:sz w:val="16"/>
                <w:szCs w:val="16"/>
              </w:rPr>
              <w:t>-</w:t>
            </w:r>
          </w:p>
        </w:tc>
        <w:tc>
          <w:tcPr>
            <w:tcW w:w="380" w:type="dxa"/>
            <w:tcBorders>
              <w:top w:val="nil"/>
              <w:left w:val="nil"/>
              <w:bottom w:val="dashed" w:sz="4" w:space="0" w:color="auto"/>
              <w:right w:val="nil"/>
            </w:tcBorders>
            <w:noWrap/>
            <w:vAlign w:val="bottom"/>
            <w:hideMark/>
          </w:tcPr>
          <w:p w14:paraId="7E444FC0" w14:textId="77777777" w:rsidR="00AE7FA9" w:rsidRPr="00EF3CD0" w:rsidRDefault="00AE7FA9" w:rsidP="00AE7FA9">
            <w:pPr>
              <w:spacing w:before="0" w:after="0"/>
              <w:ind w:left="0"/>
              <w:jc w:val="center"/>
              <w:rPr>
                <w:rFonts w:cs="Calibri"/>
                <w:sz w:val="16"/>
                <w:szCs w:val="16"/>
              </w:rPr>
            </w:pPr>
            <w:r w:rsidRPr="00EF3CD0">
              <w:rPr>
                <w:rFonts w:cs="Calibri"/>
                <w:sz w:val="16"/>
                <w:szCs w:val="16"/>
              </w:rPr>
              <w:t>-</w:t>
            </w:r>
          </w:p>
        </w:tc>
        <w:tc>
          <w:tcPr>
            <w:tcW w:w="347" w:type="dxa"/>
            <w:tcBorders>
              <w:top w:val="nil"/>
              <w:left w:val="nil"/>
              <w:bottom w:val="dashed" w:sz="4" w:space="0" w:color="auto"/>
              <w:right w:val="nil"/>
            </w:tcBorders>
            <w:noWrap/>
            <w:vAlign w:val="bottom"/>
            <w:hideMark/>
          </w:tcPr>
          <w:p w14:paraId="1DB48219" w14:textId="77777777" w:rsidR="00AE7FA9" w:rsidRPr="00EF3CD0" w:rsidRDefault="00AE7FA9" w:rsidP="00AE7FA9">
            <w:pPr>
              <w:spacing w:before="0" w:after="0"/>
              <w:ind w:left="0"/>
              <w:jc w:val="center"/>
              <w:rPr>
                <w:rFonts w:cs="Calibri"/>
                <w:sz w:val="16"/>
                <w:szCs w:val="16"/>
              </w:rPr>
            </w:pPr>
            <w:r w:rsidRPr="00EF3CD0">
              <w:rPr>
                <w:rFonts w:cs="Calibri"/>
                <w:sz w:val="16"/>
                <w:szCs w:val="16"/>
              </w:rPr>
              <w:t>-</w:t>
            </w:r>
          </w:p>
        </w:tc>
        <w:tc>
          <w:tcPr>
            <w:tcW w:w="800" w:type="dxa"/>
            <w:tcBorders>
              <w:top w:val="nil"/>
              <w:left w:val="nil"/>
              <w:bottom w:val="dashed" w:sz="4" w:space="0" w:color="auto"/>
              <w:right w:val="nil"/>
            </w:tcBorders>
            <w:noWrap/>
            <w:vAlign w:val="bottom"/>
            <w:hideMark/>
          </w:tcPr>
          <w:p w14:paraId="30EFAA9C" w14:textId="77777777" w:rsidR="00AE7FA9" w:rsidRPr="00EF3CD0" w:rsidRDefault="00AE7FA9" w:rsidP="00AE7FA9">
            <w:pPr>
              <w:spacing w:before="0" w:after="0"/>
              <w:ind w:left="0"/>
              <w:jc w:val="center"/>
              <w:rPr>
                <w:rFonts w:cs="Calibri"/>
                <w:sz w:val="16"/>
                <w:szCs w:val="16"/>
              </w:rPr>
            </w:pPr>
            <w:r w:rsidRPr="00EF3CD0">
              <w:rPr>
                <w:rFonts w:cs="Calibri"/>
                <w:sz w:val="16"/>
                <w:szCs w:val="16"/>
              </w:rPr>
              <w:t>-</w:t>
            </w:r>
          </w:p>
        </w:tc>
      </w:tr>
      <w:tr w:rsidR="00AE7FA9" w:rsidRPr="00EF3CD0" w14:paraId="69A8BBE5" w14:textId="77777777" w:rsidTr="00F937DD">
        <w:trPr>
          <w:trHeight w:val="210"/>
        </w:trPr>
        <w:tc>
          <w:tcPr>
            <w:tcW w:w="2262" w:type="dxa"/>
            <w:gridSpan w:val="2"/>
            <w:tcBorders>
              <w:top w:val="nil"/>
              <w:left w:val="nil"/>
              <w:bottom w:val="dashed" w:sz="4" w:space="0" w:color="auto"/>
              <w:right w:val="nil"/>
            </w:tcBorders>
            <w:noWrap/>
            <w:vAlign w:val="bottom"/>
          </w:tcPr>
          <w:p w14:paraId="7FD741B5" w14:textId="153D89CE" w:rsidR="00AE7FA9" w:rsidRPr="00EF3CD0" w:rsidRDefault="00AE7FA9" w:rsidP="00AE7FA9">
            <w:pPr>
              <w:spacing w:before="0" w:after="0"/>
              <w:ind w:left="0"/>
              <w:jc w:val="left"/>
              <w:rPr>
                <w:rFonts w:cs="Calibri"/>
                <w:sz w:val="16"/>
                <w:szCs w:val="16"/>
              </w:rPr>
            </w:pPr>
            <w:r w:rsidRPr="00EF3CD0">
              <w:rPr>
                <w:rFonts w:cs="Calibri"/>
                <w:b/>
                <w:bCs/>
                <w:i/>
                <w:iCs/>
                <w:sz w:val="16"/>
                <w:szCs w:val="16"/>
              </w:rPr>
              <w:t>plochy transformační celkem</w:t>
            </w:r>
          </w:p>
        </w:tc>
        <w:tc>
          <w:tcPr>
            <w:tcW w:w="587" w:type="dxa"/>
            <w:tcBorders>
              <w:top w:val="nil"/>
              <w:left w:val="nil"/>
              <w:bottom w:val="dashed" w:sz="4" w:space="0" w:color="auto"/>
              <w:right w:val="nil"/>
            </w:tcBorders>
            <w:noWrap/>
            <w:vAlign w:val="center"/>
          </w:tcPr>
          <w:p w14:paraId="0000C607" w14:textId="6A3B0418" w:rsidR="00AE7FA9" w:rsidRPr="00EF3CD0" w:rsidRDefault="00AE7FA9" w:rsidP="00AE7FA9">
            <w:pPr>
              <w:spacing w:before="0" w:after="0"/>
              <w:ind w:left="0"/>
              <w:jc w:val="right"/>
              <w:rPr>
                <w:rFonts w:cs="Calibri"/>
                <w:b/>
                <w:bCs/>
                <w:sz w:val="16"/>
                <w:szCs w:val="16"/>
              </w:rPr>
            </w:pPr>
            <w:r w:rsidRPr="00EF3CD0">
              <w:rPr>
                <w:rFonts w:cs="Calibri"/>
                <w:b/>
                <w:bCs/>
                <w:i/>
                <w:iCs/>
                <w:sz w:val="16"/>
                <w:szCs w:val="16"/>
              </w:rPr>
              <w:t>0,809</w:t>
            </w:r>
          </w:p>
        </w:tc>
        <w:tc>
          <w:tcPr>
            <w:tcW w:w="580" w:type="dxa"/>
            <w:tcBorders>
              <w:top w:val="nil"/>
              <w:left w:val="nil"/>
              <w:bottom w:val="dashed" w:sz="4" w:space="0" w:color="auto"/>
              <w:right w:val="nil"/>
            </w:tcBorders>
            <w:noWrap/>
            <w:vAlign w:val="center"/>
          </w:tcPr>
          <w:p w14:paraId="38B9A507" w14:textId="7518EA4D" w:rsidR="00AE7FA9" w:rsidRPr="00EF3CD0" w:rsidRDefault="00AE7FA9" w:rsidP="00AE7FA9">
            <w:pPr>
              <w:spacing w:before="0" w:after="0"/>
              <w:ind w:left="0"/>
              <w:jc w:val="right"/>
              <w:rPr>
                <w:rFonts w:cs="Calibri"/>
                <w:sz w:val="16"/>
                <w:szCs w:val="16"/>
              </w:rPr>
            </w:pPr>
            <w:r w:rsidRPr="00EF3CD0">
              <w:rPr>
                <w:rFonts w:cs="Calibri"/>
                <w:b/>
                <w:bCs/>
                <w:i/>
                <w:iCs/>
                <w:sz w:val="16"/>
                <w:szCs w:val="16"/>
              </w:rPr>
              <w:t>0,809</w:t>
            </w:r>
          </w:p>
        </w:tc>
        <w:tc>
          <w:tcPr>
            <w:tcW w:w="760" w:type="dxa"/>
            <w:tcBorders>
              <w:top w:val="nil"/>
              <w:left w:val="nil"/>
              <w:bottom w:val="dashed" w:sz="4" w:space="0" w:color="auto"/>
              <w:right w:val="nil"/>
            </w:tcBorders>
            <w:noWrap/>
            <w:vAlign w:val="center"/>
          </w:tcPr>
          <w:p w14:paraId="44FCD702" w14:textId="57E18727" w:rsidR="00AE7FA9" w:rsidRPr="00EF3CD0" w:rsidRDefault="00AE7FA9" w:rsidP="00AE7FA9">
            <w:pPr>
              <w:spacing w:before="0" w:after="0"/>
              <w:ind w:left="0"/>
              <w:jc w:val="center"/>
              <w:rPr>
                <w:rFonts w:cs="Calibri"/>
                <w:sz w:val="16"/>
                <w:szCs w:val="16"/>
              </w:rPr>
            </w:pPr>
            <w:r w:rsidRPr="00EF3CD0">
              <w:rPr>
                <w:rFonts w:cs="Calibri"/>
                <w:b/>
                <w:bCs/>
                <w:i/>
                <w:iCs/>
                <w:sz w:val="16"/>
                <w:szCs w:val="16"/>
              </w:rPr>
              <w:t>0,000</w:t>
            </w:r>
          </w:p>
        </w:tc>
        <w:tc>
          <w:tcPr>
            <w:tcW w:w="580" w:type="dxa"/>
            <w:tcBorders>
              <w:top w:val="nil"/>
              <w:left w:val="nil"/>
              <w:bottom w:val="dashed" w:sz="4" w:space="0" w:color="auto"/>
              <w:right w:val="nil"/>
            </w:tcBorders>
            <w:noWrap/>
            <w:vAlign w:val="center"/>
          </w:tcPr>
          <w:p w14:paraId="32D14AB5" w14:textId="020AD4B0" w:rsidR="00AE7FA9" w:rsidRPr="00EF3CD0" w:rsidRDefault="00AE7FA9" w:rsidP="00AE7FA9">
            <w:pPr>
              <w:spacing w:before="0" w:after="0"/>
              <w:ind w:left="0"/>
              <w:jc w:val="center"/>
              <w:rPr>
                <w:rFonts w:cs="Calibri"/>
                <w:sz w:val="16"/>
                <w:szCs w:val="16"/>
              </w:rPr>
            </w:pPr>
            <w:r w:rsidRPr="00EF3CD0">
              <w:rPr>
                <w:rFonts w:cs="Calibri"/>
                <w:b/>
                <w:bCs/>
                <w:i/>
                <w:iCs/>
                <w:sz w:val="16"/>
                <w:szCs w:val="16"/>
              </w:rPr>
              <w:t>0,000</w:t>
            </w:r>
          </w:p>
        </w:tc>
        <w:tc>
          <w:tcPr>
            <w:tcW w:w="640" w:type="dxa"/>
            <w:tcBorders>
              <w:top w:val="nil"/>
              <w:left w:val="nil"/>
              <w:bottom w:val="dashed" w:sz="4" w:space="0" w:color="auto"/>
              <w:right w:val="nil"/>
            </w:tcBorders>
            <w:noWrap/>
            <w:vAlign w:val="center"/>
          </w:tcPr>
          <w:p w14:paraId="222BD992" w14:textId="748E1E87" w:rsidR="00AE7FA9" w:rsidRPr="00EF3CD0" w:rsidRDefault="00AE7FA9" w:rsidP="00AE7FA9">
            <w:pPr>
              <w:spacing w:before="0" w:after="0"/>
              <w:ind w:left="0"/>
              <w:jc w:val="center"/>
              <w:rPr>
                <w:rFonts w:cs="Calibri"/>
                <w:sz w:val="16"/>
                <w:szCs w:val="16"/>
              </w:rPr>
            </w:pPr>
            <w:r w:rsidRPr="00EF3CD0">
              <w:rPr>
                <w:rFonts w:cs="Calibri"/>
                <w:b/>
                <w:bCs/>
                <w:i/>
                <w:iCs/>
                <w:sz w:val="16"/>
                <w:szCs w:val="16"/>
              </w:rPr>
              <w:t>0,000</w:t>
            </w:r>
          </w:p>
        </w:tc>
        <w:tc>
          <w:tcPr>
            <w:tcW w:w="720" w:type="dxa"/>
            <w:tcBorders>
              <w:top w:val="nil"/>
              <w:left w:val="nil"/>
              <w:bottom w:val="dashed" w:sz="4" w:space="0" w:color="auto"/>
              <w:right w:val="nil"/>
            </w:tcBorders>
            <w:noWrap/>
            <w:vAlign w:val="center"/>
          </w:tcPr>
          <w:p w14:paraId="07468B63" w14:textId="0B3622E6" w:rsidR="00AE7FA9" w:rsidRPr="00EF3CD0" w:rsidRDefault="00AE7FA9" w:rsidP="00AE7FA9">
            <w:pPr>
              <w:spacing w:before="0" w:after="0"/>
              <w:ind w:left="0"/>
              <w:jc w:val="center"/>
              <w:rPr>
                <w:rFonts w:cs="Calibri"/>
                <w:sz w:val="16"/>
                <w:szCs w:val="16"/>
              </w:rPr>
            </w:pPr>
            <w:r w:rsidRPr="00EF3CD0">
              <w:rPr>
                <w:rFonts w:cs="Calibri"/>
                <w:b/>
                <w:bCs/>
                <w:i/>
                <w:iCs/>
                <w:sz w:val="16"/>
                <w:szCs w:val="16"/>
              </w:rPr>
              <w:t>0,000</w:t>
            </w:r>
          </w:p>
        </w:tc>
        <w:tc>
          <w:tcPr>
            <w:tcW w:w="860" w:type="dxa"/>
            <w:tcBorders>
              <w:top w:val="nil"/>
              <w:left w:val="nil"/>
              <w:bottom w:val="dashed" w:sz="4" w:space="0" w:color="auto"/>
              <w:right w:val="nil"/>
            </w:tcBorders>
            <w:noWrap/>
            <w:vAlign w:val="bottom"/>
          </w:tcPr>
          <w:p w14:paraId="385E042C" w14:textId="77777777" w:rsidR="00AE7FA9" w:rsidRPr="00EF3CD0" w:rsidRDefault="00AE7FA9" w:rsidP="00AE7FA9">
            <w:pPr>
              <w:spacing w:before="0" w:after="0"/>
              <w:ind w:left="0"/>
              <w:jc w:val="center"/>
              <w:rPr>
                <w:rFonts w:cs="Calibri"/>
                <w:sz w:val="16"/>
                <w:szCs w:val="16"/>
              </w:rPr>
            </w:pPr>
          </w:p>
        </w:tc>
        <w:tc>
          <w:tcPr>
            <w:tcW w:w="420" w:type="dxa"/>
            <w:tcBorders>
              <w:top w:val="nil"/>
              <w:left w:val="nil"/>
              <w:bottom w:val="dashed" w:sz="4" w:space="0" w:color="auto"/>
              <w:right w:val="nil"/>
            </w:tcBorders>
            <w:noWrap/>
            <w:vAlign w:val="bottom"/>
          </w:tcPr>
          <w:p w14:paraId="09D2D019" w14:textId="77777777" w:rsidR="00AE7FA9" w:rsidRPr="00EF3CD0" w:rsidRDefault="00AE7FA9" w:rsidP="00AE7FA9">
            <w:pPr>
              <w:spacing w:before="0" w:after="0"/>
              <w:ind w:left="0"/>
              <w:jc w:val="center"/>
              <w:rPr>
                <w:rFonts w:cs="Calibri"/>
                <w:sz w:val="16"/>
                <w:szCs w:val="16"/>
              </w:rPr>
            </w:pPr>
          </w:p>
        </w:tc>
        <w:tc>
          <w:tcPr>
            <w:tcW w:w="380" w:type="dxa"/>
            <w:tcBorders>
              <w:top w:val="nil"/>
              <w:left w:val="nil"/>
              <w:bottom w:val="dashed" w:sz="4" w:space="0" w:color="auto"/>
              <w:right w:val="nil"/>
            </w:tcBorders>
            <w:noWrap/>
            <w:vAlign w:val="bottom"/>
          </w:tcPr>
          <w:p w14:paraId="778606D3" w14:textId="77777777" w:rsidR="00AE7FA9" w:rsidRPr="00EF3CD0" w:rsidRDefault="00AE7FA9" w:rsidP="00AE7FA9">
            <w:pPr>
              <w:spacing w:before="0" w:after="0"/>
              <w:ind w:left="0"/>
              <w:jc w:val="center"/>
              <w:rPr>
                <w:rFonts w:cs="Calibri"/>
                <w:sz w:val="16"/>
                <w:szCs w:val="16"/>
              </w:rPr>
            </w:pPr>
          </w:p>
        </w:tc>
        <w:tc>
          <w:tcPr>
            <w:tcW w:w="347" w:type="dxa"/>
            <w:tcBorders>
              <w:top w:val="nil"/>
              <w:left w:val="nil"/>
              <w:bottom w:val="dashed" w:sz="4" w:space="0" w:color="auto"/>
              <w:right w:val="nil"/>
            </w:tcBorders>
            <w:noWrap/>
            <w:vAlign w:val="bottom"/>
          </w:tcPr>
          <w:p w14:paraId="6BC0D23F" w14:textId="77777777" w:rsidR="00AE7FA9" w:rsidRPr="00EF3CD0" w:rsidRDefault="00AE7FA9" w:rsidP="00AE7FA9">
            <w:pPr>
              <w:spacing w:before="0" w:after="0"/>
              <w:ind w:left="0"/>
              <w:jc w:val="center"/>
              <w:rPr>
                <w:rFonts w:cs="Calibri"/>
                <w:sz w:val="16"/>
                <w:szCs w:val="16"/>
              </w:rPr>
            </w:pPr>
          </w:p>
        </w:tc>
        <w:tc>
          <w:tcPr>
            <w:tcW w:w="800" w:type="dxa"/>
            <w:tcBorders>
              <w:top w:val="nil"/>
              <w:left w:val="nil"/>
              <w:bottom w:val="dashed" w:sz="4" w:space="0" w:color="auto"/>
              <w:right w:val="nil"/>
            </w:tcBorders>
            <w:noWrap/>
            <w:vAlign w:val="bottom"/>
          </w:tcPr>
          <w:p w14:paraId="5F4EB5FE" w14:textId="77777777" w:rsidR="00AE7FA9" w:rsidRPr="00EF3CD0" w:rsidRDefault="00AE7FA9" w:rsidP="00AE7FA9">
            <w:pPr>
              <w:spacing w:before="0" w:after="0"/>
              <w:ind w:left="0"/>
              <w:jc w:val="center"/>
              <w:rPr>
                <w:rFonts w:cs="Calibri"/>
                <w:sz w:val="16"/>
                <w:szCs w:val="16"/>
              </w:rPr>
            </w:pPr>
          </w:p>
        </w:tc>
      </w:tr>
      <w:tr w:rsidR="00AE7FA9" w:rsidRPr="00EF3CD0" w14:paraId="7091603D" w14:textId="77777777" w:rsidTr="00F937DD">
        <w:trPr>
          <w:trHeight w:val="210"/>
        </w:trPr>
        <w:tc>
          <w:tcPr>
            <w:tcW w:w="8936" w:type="dxa"/>
            <w:gridSpan w:val="13"/>
            <w:tcBorders>
              <w:top w:val="dashed" w:sz="4" w:space="0" w:color="auto"/>
              <w:left w:val="nil"/>
              <w:bottom w:val="dashed" w:sz="4" w:space="0" w:color="auto"/>
              <w:right w:val="nil"/>
            </w:tcBorders>
            <w:vAlign w:val="center"/>
            <w:hideMark/>
          </w:tcPr>
          <w:p w14:paraId="2F266F87" w14:textId="77777777" w:rsidR="00AE7FA9" w:rsidRPr="00EF3CD0" w:rsidRDefault="00AE7FA9" w:rsidP="00AE7FA9">
            <w:pPr>
              <w:spacing w:before="0" w:after="0"/>
              <w:ind w:left="0"/>
              <w:jc w:val="left"/>
              <w:rPr>
                <w:rFonts w:cs="Calibri"/>
                <w:b/>
                <w:bCs/>
                <w:i/>
                <w:iCs/>
                <w:sz w:val="16"/>
                <w:szCs w:val="16"/>
              </w:rPr>
            </w:pPr>
            <w:r w:rsidRPr="00EF3CD0">
              <w:rPr>
                <w:rFonts w:cs="Calibri"/>
                <w:b/>
                <w:bCs/>
                <w:i/>
                <w:iCs/>
                <w:sz w:val="16"/>
                <w:szCs w:val="16"/>
              </w:rPr>
              <w:t>zastavitelné plochy</w:t>
            </w:r>
          </w:p>
        </w:tc>
      </w:tr>
      <w:tr w:rsidR="00AE7FA9" w:rsidRPr="00EF3CD0" w14:paraId="2BC648BA" w14:textId="77777777" w:rsidTr="00F937DD">
        <w:trPr>
          <w:trHeight w:val="210"/>
        </w:trPr>
        <w:tc>
          <w:tcPr>
            <w:tcW w:w="1078" w:type="dxa"/>
            <w:tcBorders>
              <w:top w:val="nil"/>
              <w:left w:val="nil"/>
              <w:bottom w:val="dashed" w:sz="4" w:space="0" w:color="auto"/>
              <w:right w:val="nil"/>
            </w:tcBorders>
            <w:noWrap/>
            <w:vAlign w:val="bottom"/>
            <w:hideMark/>
          </w:tcPr>
          <w:p w14:paraId="1425E7F8" w14:textId="77777777" w:rsidR="00AE7FA9" w:rsidRPr="00EF3CD0" w:rsidRDefault="00AE7FA9" w:rsidP="00AE7FA9">
            <w:pPr>
              <w:spacing w:before="0" w:after="0"/>
              <w:ind w:left="0"/>
              <w:jc w:val="left"/>
              <w:rPr>
                <w:rFonts w:cs="Calibri"/>
                <w:sz w:val="16"/>
                <w:szCs w:val="16"/>
              </w:rPr>
            </w:pPr>
            <w:r w:rsidRPr="00EF3CD0">
              <w:rPr>
                <w:rFonts w:cs="Calibri"/>
                <w:sz w:val="16"/>
                <w:szCs w:val="16"/>
              </w:rPr>
              <w:t>Z.02-3</w:t>
            </w:r>
          </w:p>
        </w:tc>
        <w:tc>
          <w:tcPr>
            <w:tcW w:w="1184" w:type="dxa"/>
            <w:tcBorders>
              <w:top w:val="nil"/>
              <w:left w:val="nil"/>
              <w:bottom w:val="dashed" w:sz="4" w:space="0" w:color="auto"/>
              <w:right w:val="nil"/>
            </w:tcBorders>
            <w:noWrap/>
            <w:vAlign w:val="bottom"/>
            <w:hideMark/>
          </w:tcPr>
          <w:p w14:paraId="0D40C67A" w14:textId="77777777" w:rsidR="00AE7FA9" w:rsidRPr="00EF3CD0" w:rsidRDefault="00AE7FA9" w:rsidP="00AE7FA9">
            <w:pPr>
              <w:spacing w:before="0" w:after="0"/>
              <w:ind w:left="0"/>
              <w:jc w:val="left"/>
              <w:rPr>
                <w:rFonts w:cs="Calibri"/>
                <w:sz w:val="16"/>
                <w:szCs w:val="16"/>
              </w:rPr>
            </w:pPr>
            <w:r w:rsidRPr="00EF3CD0">
              <w:rPr>
                <w:rFonts w:cs="Calibri"/>
                <w:sz w:val="16"/>
                <w:szCs w:val="16"/>
              </w:rPr>
              <w:t>RX</w:t>
            </w:r>
          </w:p>
        </w:tc>
        <w:tc>
          <w:tcPr>
            <w:tcW w:w="587" w:type="dxa"/>
            <w:tcBorders>
              <w:top w:val="nil"/>
              <w:left w:val="nil"/>
              <w:bottom w:val="dashed" w:sz="4" w:space="0" w:color="auto"/>
              <w:right w:val="nil"/>
            </w:tcBorders>
            <w:noWrap/>
            <w:vAlign w:val="bottom"/>
            <w:hideMark/>
          </w:tcPr>
          <w:p w14:paraId="090ADE56" w14:textId="77777777" w:rsidR="00AE7FA9" w:rsidRPr="00EF3CD0" w:rsidRDefault="00AE7FA9" w:rsidP="00AE7FA9">
            <w:pPr>
              <w:spacing w:before="0" w:after="0"/>
              <w:ind w:left="0"/>
              <w:jc w:val="right"/>
              <w:rPr>
                <w:rFonts w:cs="Calibri"/>
                <w:b/>
                <w:bCs/>
                <w:sz w:val="16"/>
                <w:szCs w:val="16"/>
              </w:rPr>
            </w:pPr>
            <w:r w:rsidRPr="00EF3CD0">
              <w:rPr>
                <w:rFonts w:cs="Calibri"/>
                <w:b/>
                <w:bCs/>
                <w:sz w:val="16"/>
                <w:szCs w:val="16"/>
              </w:rPr>
              <w:t>1,016</w:t>
            </w:r>
          </w:p>
        </w:tc>
        <w:tc>
          <w:tcPr>
            <w:tcW w:w="580" w:type="dxa"/>
            <w:tcBorders>
              <w:top w:val="nil"/>
              <w:left w:val="nil"/>
              <w:bottom w:val="dashed" w:sz="4" w:space="0" w:color="auto"/>
              <w:right w:val="nil"/>
            </w:tcBorders>
            <w:noWrap/>
            <w:vAlign w:val="bottom"/>
            <w:hideMark/>
          </w:tcPr>
          <w:p w14:paraId="01003C92" w14:textId="77777777" w:rsidR="00AE7FA9" w:rsidRPr="00EF3CD0" w:rsidRDefault="00AE7FA9" w:rsidP="00AE7FA9">
            <w:pPr>
              <w:spacing w:before="0" w:after="0"/>
              <w:ind w:left="0"/>
              <w:jc w:val="center"/>
              <w:rPr>
                <w:rFonts w:cs="Calibri"/>
                <w:sz w:val="16"/>
                <w:szCs w:val="16"/>
              </w:rPr>
            </w:pPr>
            <w:r w:rsidRPr="00EF3CD0">
              <w:rPr>
                <w:rFonts w:cs="Calibri"/>
                <w:sz w:val="16"/>
                <w:szCs w:val="16"/>
              </w:rPr>
              <w:t>-</w:t>
            </w:r>
          </w:p>
        </w:tc>
        <w:tc>
          <w:tcPr>
            <w:tcW w:w="760" w:type="dxa"/>
            <w:tcBorders>
              <w:top w:val="nil"/>
              <w:left w:val="nil"/>
              <w:bottom w:val="dashed" w:sz="4" w:space="0" w:color="auto"/>
              <w:right w:val="nil"/>
            </w:tcBorders>
            <w:noWrap/>
            <w:vAlign w:val="bottom"/>
            <w:hideMark/>
          </w:tcPr>
          <w:p w14:paraId="012070C7" w14:textId="77777777" w:rsidR="00AE7FA9" w:rsidRPr="00EF3CD0" w:rsidRDefault="00AE7FA9" w:rsidP="00AE7FA9">
            <w:pPr>
              <w:spacing w:before="0" w:after="0"/>
              <w:ind w:left="0"/>
              <w:jc w:val="center"/>
              <w:rPr>
                <w:rFonts w:cs="Calibri"/>
                <w:sz w:val="16"/>
                <w:szCs w:val="16"/>
              </w:rPr>
            </w:pPr>
            <w:r w:rsidRPr="00EF3CD0">
              <w:rPr>
                <w:rFonts w:cs="Calibri"/>
                <w:sz w:val="16"/>
                <w:szCs w:val="16"/>
              </w:rPr>
              <w:t>-</w:t>
            </w:r>
          </w:p>
        </w:tc>
        <w:tc>
          <w:tcPr>
            <w:tcW w:w="580" w:type="dxa"/>
            <w:tcBorders>
              <w:top w:val="nil"/>
              <w:left w:val="nil"/>
              <w:bottom w:val="dashed" w:sz="4" w:space="0" w:color="auto"/>
              <w:right w:val="nil"/>
            </w:tcBorders>
            <w:noWrap/>
            <w:vAlign w:val="bottom"/>
            <w:hideMark/>
          </w:tcPr>
          <w:p w14:paraId="54933D90" w14:textId="77777777" w:rsidR="00AE7FA9" w:rsidRPr="00EF3CD0" w:rsidRDefault="00AE7FA9" w:rsidP="00AE7FA9">
            <w:pPr>
              <w:spacing w:before="0" w:after="0"/>
              <w:ind w:left="0"/>
              <w:jc w:val="center"/>
              <w:rPr>
                <w:rFonts w:cs="Calibri"/>
                <w:sz w:val="16"/>
                <w:szCs w:val="16"/>
              </w:rPr>
            </w:pPr>
            <w:r w:rsidRPr="00EF3CD0">
              <w:rPr>
                <w:rFonts w:cs="Calibri"/>
                <w:sz w:val="16"/>
                <w:szCs w:val="16"/>
              </w:rPr>
              <w:t>-</w:t>
            </w:r>
          </w:p>
        </w:tc>
        <w:tc>
          <w:tcPr>
            <w:tcW w:w="640" w:type="dxa"/>
            <w:tcBorders>
              <w:top w:val="nil"/>
              <w:left w:val="nil"/>
              <w:bottom w:val="dashed" w:sz="4" w:space="0" w:color="auto"/>
              <w:right w:val="nil"/>
            </w:tcBorders>
            <w:noWrap/>
            <w:vAlign w:val="bottom"/>
            <w:hideMark/>
          </w:tcPr>
          <w:p w14:paraId="2FAD964A" w14:textId="77777777" w:rsidR="00AE7FA9" w:rsidRPr="00EF3CD0" w:rsidRDefault="00AE7FA9" w:rsidP="00AE7FA9">
            <w:pPr>
              <w:spacing w:before="0" w:after="0"/>
              <w:ind w:left="0"/>
              <w:jc w:val="center"/>
              <w:rPr>
                <w:rFonts w:cs="Calibri"/>
                <w:sz w:val="16"/>
                <w:szCs w:val="16"/>
              </w:rPr>
            </w:pPr>
            <w:r w:rsidRPr="00EF3CD0">
              <w:rPr>
                <w:rFonts w:cs="Calibri"/>
                <w:sz w:val="16"/>
                <w:szCs w:val="16"/>
              </w:rPr>
              <w:t>-</w:t>
            </w:r>
          </w:p>
        </w:tc>
        <w:tc>
          <w:tcPr>
            <w:tcW w:w="720" w:type="dxa"/>
            <w:tcBorders>
              <w:top w:val="nil"/>
              <w:left w:val="nil"/>
              <w:bottom w:val="dashed" w:sz="4" w:space="0" w:color="auto"/>
              <w:right w:val="nil"/>
            </w:tcBorders>
            <w:noWrap/>
            <w:vAlign w:val="bottom"/>
            <w:hideMark/>
          </w:tcPr>
          <w:p w14:paraId="316B5F5D" w14:textId="77777777" w:rsidR="00AE7FA9" w:rsidRPr="00EF3CD0" w:rsidRDefault="00AE7FA9" w:rsidP="00AE7FA9">
            <w:pPr>
              <w:spacing w:before="0" w:after="0"/>
              <w:ind w:left="0"/>
              <w:jc w:val="right"/>
              <w:rPr>
                <w:rFonts w:cs="Calibri"/>
                <w:sz w:val="16"/>
                <w:szCs w:val="16"/>
              </w:rPr>
            </w:pPr>
            <w:r w:rsidRPr="00EF3CD0">
              <w:rPr>
                <w:rFonts w:cs="Calibri"/>
                <w:sz w:val="16"/>
                <w:szCs w:val="16"/>
              </w:rPr>
              <w:t>1,016</w:t>
            </w:r>
          </w:p>
        </w:tc>
        <w:tc>
          <w:tcPr>
            <w:tcW w:w="860" w:type="dxa"/>
            <w:tcBorders>
              <w:top w:val="nil"/>
              <w:left w:val="nil"/>
              <w:bottom w:val="dashed" w:sz="4" w:space="0" w:color="auto"/>
              <w:right w:val="nil"/>
            </w:tcBorders>
            <w:noWrap/>
            <w:vAlign w:val="bottom"/>
            <w:hideMark/>
          </w:tcPr>
          <w:p w14:paraId="7F363B63" w14:textId="77777777" w:rsidR="00AE7FA9" w:rsidRPr="00EF3CD0" w:rsidRDefault="00AE7FA9" w:rsidP="00AE7FA9">
            <w:pPr>
              <w:spacing w:before="0" w:after="0"/>
              <w:ind w:left="0"/>
              <w:jc w:val="center"/>
              <w:rPr>
                <w:rFonts w:cs="Calibri"/>
                <w:sz w:val="16"/>
                <w:szCs w:val="16"/>
              </w:rPr>
            </w:pPr>
            <w:r w:rsidRPr="00EF3CD0">
              <w:rPr>
                <w:rFonts w:cs="Calibri"/>
                <w:sz w:val="16"/>
                <w:szCs w:val="16"/>
              </w:rPr>
              <w:t>-</w:t>
            </w:r>
          </w:p>
        </w:tc>
        <w:tc>
          <w:tcPr>
            <w:tcW w:w="420" w:type="dxa"/>
            <w:tcBorders>
              <w:top w:val="nil"/>
              <w:left w:val="nil"/>
              <w:bottom w:val="dashed" w:sz="4" w:space="0" w:color="auto"/>
              <w:right w:val="nil"/>
            </w:tcBorders>
            <w:noWrap/>
            <w:vAlign w:val="bottom"/>
            <w:hideMark/>
          </w:tcPr>
          <w:p w14:paraId="5E91458A" w14:textId="77777777" w:rsidR="00AE7FA9" w:rsidRPr="00EF3CD0" w:rsidRDefault="00AE7FA9" w:rsidP="00AE7FA9">
            <w:pPr>
              <w:spacing w:before="0" w:after="0"/>
              <w:ind w:left="0"/>
              <w:jc w:val="center"/>
              <w:rPr>
                <w:rFonts w:cs="Calibri"/>
                <w:sz w:val="16"/>
                <w:szCs w:val="16"/>
              </w:rPr>
            </w:pPr>
            <w:r w:rsidRPr="00EF3CD0">
              <w:rPr>
                <w:rFonts w:cs="Calibri"/>
                <w:sz w:val="16"/>
                <w:szCs w:val="16"/>
              </w:rPr>
              <w:t>-</w:t>
            </w:r>
          </w:p>
        </w:tc>
        <w:tc>
          <w:tcPr>
            <w:tcW w:w="380" w:type="dxa"/>
            <w:tcBorders>
              <w:top w:val="nil"/>
              <w:left w:val="nil"/>
              <w:bottom w:val="dashed" w:sz="4" w:space="0" w:color="auto"/>
              <w:right w:val="nil"/>
            </w:tcBorders>
            <w:noWrap/>
            <w:vAlign w:val="bottom"/>
            <w:hideMark/>
          </w:tcPr>
          <w:p w14:paraId="0625B3A6" w14:textId="77777777" w:rsidR="00AE7FA9" w:rsidRPr="00EF3CD0" w:rsidRDefault="00AE7FA9" w:rsidP="00AE7FA9">
            <w:pPr>
              <w:spacing w:before="0" w:after="0"/>
              <w:ind w:left="0"/>
              <w:jc w:val="center"/>
              <w:rPr>
                <w:rFonts w:cs="Calibri"/>
                <w:sz w:val="16"/>
                <w:szCs w:val="16"/>
              </w:rPr>
            </w:pPr>
            <w:r w:rsidRPr="00EF3CD0">
              <w:rPr>
                <w:rFonts w:cs="Calibri"/>
                <w:sz w:val="16"/>
                <w:szCs w:val="16"/>
              </w:rPr>
              <w:t>-</w:t>
            </w:r>
          </w:p>
        </w:tc>
        <w:tc>
          <w:tcPr>
            <w:tcW w:w="347" w:type="dxa"/>
            <w:tcBorders>
              <w:top w:val="nil"/>
              <w:left w:val="nil"/>
              <w:bottom w:val="dashed" w:sz="4" w:space="0" w:color="auto"/>
              <w:right w:val="nil"/>
            </w:tcBorders>
            <w:noWrap/>
            <w:vAlign w:val="bottom"/>
            <w:hideMark/>
          </w:tcPr>
          <w:p w14:paraId="6F69AC16" w14:textId="77777777" w:rsidR="00AE7FA9" w:rsidRPr="00EF3CD0" w:rsidRDefault="00AE7FA9" w:rsidP="00AE7FA9">
            <w:pPr>
              <w:spacing w:before="0" w:after="0"/>
              <w:ind w:left="0"/>
              <w:jc w:val="center"/>
              <w:rPr>
                <w:rFonts w:cs="Calibri"/>
                <w:sz w:val="16"/>
                <w:szCs w:val="16"/>
              </w:rPr>
            </w:pPr>
            <w:r w:rsidRPr="00EF3CD0">
              <w:rPr>
                <w:rFonts w:cs="Calibri"/>
                <w:sz w:val="16"/>
                <w:szCs w:val="16"/>
              </w:rPr>
              <w:t>-</w:t>
            </w:r>
          </w:p>
        </w:tc>
        <w:tc>
          <w:tcPr>
            <w:tcW w:w="800" w:type="dxa"/>
            <w:tcBorders>
              <w:top w:val="nil"/>
              <w:left w:val="nil"/>
              <w:bottom w:val="dashed" w:sz="4" w:space="0" w:color="auto"/>
              <w:right w:val="nil"/>
            </w:tcBorders>
            <w:noWrap/>
            <w:vAlign w:val="bottom"/>
            <w:hideMark/>
          </w:tcPr>
          <w:p w14:paraId="43FBBE74" w14:textId="77777777" w:rsidR="00AE7FA9" w:rsidRPr="00EF3CD0" w:rsidRDefault="00AE7FA9" w:rsidP="00AE7FA9">
            <w:pPr>
              <w:spacing w:before="0" w:after="0"/>
              <w:ind w:left="0"/>
              <w:jc w:val="center"/>
              <w:rPr>
                <w:rFonts w:cs="Calibri"/>
                <w:sz w:val="16"/>
                <w:szCs w:val="16"/>
              </w:rPr>
            </w:pPr>
            <w:r w:rsidRPr="00EF3CD0">
              <w:rPr>
                <w:rFonts w:cs="Calibri"/>
                <w:sz w:val="16"/>
                <w:szCs w:val="16"/>
              </w:rPr>
              <w:t>-</w:t>
            </w:r>
          </w:p>
        </w:tc>
      </w:tr>
      <w:tr w:rsidR="00AE7FA9" w:rsidRPr="00EF3CD0" w14:paraId="55637D8D" w14:textId="77777777" w:rsidTr="00F937DD">
        <w:trPr>
          <w:trHeight w:val="210"/>
        </w:trPr>
        <w:tc>
          <w:tcPr>
            <w:tcW w:w="1078" w:type="dxa"/>
            <w:tcBorders>
              <w:top w:val="nil"/>
              <w:left w:val="nil"/>
              <w:bottom w:val="dashed" w:sz="4" w:space="0" w:color="auto"/>
              <w:right w:val="nil"/>
            </w:tcBorders>
            <w:noWrap/>
            <w:vAlign w:val="bottom"/>
            <w:hideMark/>
          </w:tcPr>
          <w:p w14:paraId="70E0C037" w14:textId="77777777" w:rsidR="00AE7FA9" w:rsidRPr="00EF3CD0" w:rsidRDefault="00AE7FA9" w:rsidP="00AE7FA9">
            <w:pPr>
              <w:spacing w:before="0" w:after="0"/>
              <w:ind w:left="0"/>
              <w:jc w:val="left"/>
              <w:rPr>
                <w:rFonts w:cs="Calibri"/>
                <w:sz w:val="16"/>
                <w:szCs w:val="16"/>
              </w:rPr>
            </w:pPr>
            <w:r w:rsidRPr="00EF3CD0">
              <w:rPr>
                <w:rFonts w:cs="Calibri"/>
                <w:sz w:val="16"/>
                <w:szCs w:val="16"/>
              </w:rPr>
              <w:t>Z.02-4</w:t>
            </w:r>
          </w:p>
        </w:tc>
        <w:tc>
          <w:tcPr>
            <w:tcW w:w="1184" w:type="dxa"/>
            <w:tcBorders>
              <w:top w:val="nil"/>
              <w:left w:val="nil"/>
              <w:bottom w:val="dashed" w:sz="4" w:space="0" w:color="auto"/>
              <w:right w:val="nil"/>
            </w:tcBorders>
            <w:noWrap/>
            <w:vAlign w:val="bottom"/>
            <w:hideMark/>
          </w:tcPr>
          <w:p w14:paraId="793AE41B" w14:textId="77777777" w:rsidR="00AE7FA9" w:rsidRPr="00EF3CD0" w:rsidRDefault="00AE7FA9" w:rsidP="00AE7FA9">
            <w:pPr>
              <w:spacing w:before="0" w:after="0"/>
              <w:ind w:left="0"/>
              <w:jc w:val="left"/>
              <w:rPr>
                <w:rFonts w:cs="Calibri"/>
                <w:sz w:val="16"/>
                <w:szCs w:val="16"/>
              </w:rPr>
            </w:pPr>
            <w:r w:rsidRPr="00EF3CD0">
              <w:rPr>
                <w:rFonts w:cs="Calibri"/>
                <w:sz w:val="16"/>
                <w:szCs w:val="16"/>
              </w:rPr>
              <w:t>RX</w:t>
            </w:r>
          </w:p>
        </w:tc>
        <w:tc>
          <w:tcPr>
            <w:tcW w:w="587" w:type="dxa"/>
            <w:tcBorders>
              <w:top w:val="nil"/>
              <w:left w:val="nil"/>
              <w:bottom w:val="dashed" w:sz="4" w:space="0" w:color="auto"/>
              <w:right w:val="nil"/>
            </w:tcBorders>
            <w:noWrap/>
            <w:vAlign w:val="bottom"/>
            <w:hideMark/>
          </w:tcPr>
          <w:p w14:paraId="634DCFD3" w14:textId="77777777" w:rsidR="00AE7FA9" w:rsidRPr="00EF3CD0" w:rsidRDefault="00AE7FA9" w:rsidP="00AE7FA9">
            <w:pPr>
              <w:spacing w:before="0" w:after="0"/>
              <w:ind w:left="0"/>
              <w:jc w:val="right"/>
              <w:rPr>
                <w:rFonts w:cs="Calibri"/>
                <w:b/>
                <w:bCs/>
                <w:sz w:val="16"/>
                <w:szCs w:val="16"/>
              </w:rPr>
            </w:pPr>
            <w:r w:rsidRPr="00EF3CD0">
              <w:rPr>
                <w:rFonts w:cs="Calibri"/>
                <w:b/>
                <w:bCs/>
                <w:sz w:val="16"/>
                <w:szCs w:val="16"/>
              </w:rPr>
              <w:t>0,763</w:t>
            </w:r>
          </w:p>
        </w:tc>
        <w:tc>
          <w:tcPr>
            <w:tcW w:w="580" w:type="dxa"/>
            <w:tcBorders>
              <w:top w:val="nil"/>
              <w:left w:val="nil"/>
              <w:bottom w:val="dashed" w:sz="4" w:space="0" w:color="auto"/>
              <w:right w:val="nil"/>
            </w:tcBorders>
            <w:noWrap/>
            <w:vAlign w:val="bottom"/>
            <w:hideMark/>
          </w:tcPr>
          <w:p w14:paraId="3B2AC0C6" w14:textId="77777777" w:rsidR="00AE7FA9" w:rsidRPr="00EF3CD0" w:rsidRDefault="00AE7FA9" w:rsidP="00AE7FA9">
            <w:pPr>
              <w:spacing w:before="0" w:after="0"/>
              <w:ind w:left="0"/>
              <w:jc w:val="center"/>
              <w:rPr>
                <w:rFonts w:cs="Calibri"/>
                <w:sz w:val="16"/>
                <w:szCs w:val="16"/>
              </w:rPr>
            </w:pPr>
            <w:r w:rsidRPr="00EF3CD0">
              <w:rPr>
                <w:rFonts w:cs="Calibri"/>
                <w:sz w:val="16"/>
                <w:szCs w:val="16"/>
              </w:rPr>
              <w:t>-</w:t>
            </w:r>
          </w:p>
        </w:tc>
        <w:tc>
          <w:tcPr>
            <w:tcW w:w="760" w:type="dxa"/>
            <w:tcBorders>
              <w:top w:val="nil"/>
              <w:left w:val="nil"/>
              <w:bottom w:val="dashed" w:sz="4" w:space="0" w:color="auto"/>
              <w:right w:val="nil"/>
            </w:tcBorders>
            <w:noWrap/>
            <w:vAlign w:val="bottom"/>
            <w:hideMark/>
          </w:tcPr>
          <w:p w14:paraId="72322DB7" w14:textId="77777777" w:rsidR="00AE7FA9" w:rsidRPr="00EF3CD0" w:rsidRDefault="00AE7FA9" w:rsidP="00AE7FA9">
            <w:pPr>
              <w:spacing w:before="0" w:after="0"/>
              <w:ind w:left="0"/>
              <w:jc w:val="center"/>
              <w:rPr>
                <w:rFonts w:cs="Calibri"/>
                <w:sz w:val="16"/>
                <w:szCs w:val="16"/>
              </w:rPr>
            </w:pPr>
            <w:r w:rsidRPr="00EF3CD0">
              <w:rPr>
                <w:rFonts w:cs="Calibri"/>
                <w:sz w:val="16"/>
                <w:szCs w:val="16"/>
              </w:rPr>
              <w:t>-</w:t>
            </w:r>
          </w:p>
        </w:tc>
        <w:tc>
          <w:tcPr>
            <w:tcW w:w="580" w:type="dxa"/>
            <w:tcBorders>
              <w:top w:val="nil"/>
              <w:left w:val="nil"/>
              <w:bottom w:val="dashed" w:sz="4" w:space="0" w:color="auto"/>
              <w:right w:val="nil"/>
            </w:tcBorders>
            <w:noWrap/>
            <w:vAlign w:val="bottom"/>
            <w:hideMark/>
          </w:tcPr>
          <w:p w14:paraId="0A10B1C1" w14:textId="77777777" w:rsidR="00AE7FA9" w:rsidRPr="00EF3CD0" w:rsidRDefault="00AE7FA9" w:rsidP="00AE7FA9">
            <w:pPr>
              <w:spacing w:before="0" w:after="0"/>
              <w:ind w:left="0"/>
              <w:jc w:val="center"/>
              <w:rPr>
                <w:rFonts w:cs="Calibri"/>
                <w:sz w:val="16"/>
                <w:szCs w:val="16"/>
              </w:rPr>
            </w:pPr>
            <w:r w:rsidRPr="00EF3CD0">
              <w:rPr>
                <w:rFonts w:cs="Calibri"/>
                <w:sz w:val="16"/>
                <w:szCs w:val="16"/>
              </w:rPr>
              <w:t>-</w:t>
            </w:r>
          </w:p>
        </w:tc>
        <w:tc>
          <w:tcPr>
            <w:tcW w:w="640" w:type="dxa"/>
            <w:tcBorders>
              <w:top w:val="nil"/>
              <w:left w:val="nil"/>
              <w:bottom w:val="dashed" w:sz="4" w:space="0" w:color="auto"/>
              <w:right w:val="nil"/>
            </w:tcBorders>
            <w:noWrap/>
            <w:vAlign w:val="bottom"/>
            <w:hideMark/>
          </w:tcPr>
          <w:p w14:paraId="3D7FFEB9" w14:textId="77777777" w:rsidR="00AE7FA9" w:rsidRPr="00EF3CD0" w:rsidRDefault="00AE7FA9" w:rsidP="00AE7FA9">
            <w:pPr>
              <w:spacing w:before="0" w:after="0"/>
              <w:ind w:left="0"/>
              <w:jc w:val="center"/>
              <w:rPr>
                <w:rFonts w:cs="Calibri"/>
                <w:sz w:val="16"/>
                <w:szCs w:val="16"/>
              </w:rPr>
            </w:pPr>
            <w:r w:rsidRPr="00EF3CD0">
              <w:rPr>
                <w:rFonts w:cs="Calibri"/>
                <w:sz w:val="16"/>
                <w:szCs w:val="16"/>
              </w:rPr>
              <w:t>-</w:t>
            </w:r>
          </w:p>
        </w:tc>
        <w:tc>
          <w:tcPr>
            <w:tcW w:w="720" w:type="dxa"/>
            <w:tcBorders>
              <w:top w:val="nil"/>
              <w:left w:val="nil"/>
              <w:bottom w:val="dashed" w:sz="4" w:space="0" w:color="auto"/>
              <w:right w:val="nil"/>
            </w:tcBorders>
            <w:noWrap/>
            <w:vAlign w:val="bottom"/>
            <w:hideMark/>
          </w:tcPr>
          <w:p w14:paraId="725BCF3A" w14:textId="77777777" w:rsidR="00AE7FA9" w:rsidRPr="00EF3CD0" w:rsidRDefault="00AE7FA9" w:rsidP="00AE7FA9">
            <w:pPr>
              <w:spacing w:before="0" w:after="0"/>
              <w:ind w:left="0"/>
              <w:jc w:val="right"/>
              <w:rPr>
                <w:rFonts w:cs="Calibri"/>
                <w:sz w:val="16"/>
                <w:szCs w:val="16"/>
              </w:rPr>
            </w:pPr>
            <w:r w:rsidRPr="00EF3CD0">
              <w:rPr>
                <w:rFonts w:cs="Calibri"/>
                <w:sz w:val="16"/>
                <w:szCs w:val="16"/>
              </w:rPr>
              <w:t>0,763</w:t>
            </w:r>
          </w:p>
        </w:tc>
        <w:tc>
          <w:tcPr>
            <w:tcW w:w="860" w:type="dxa"/>
            <w:tcBorders>
              <w:top w:val="nil"/>
              <w:left w:val="nil"/>
              <w:bottom w:val="dashed" w:sz="4" w:space="0" w:color="auto"/>
              <w:right w:val="nil"/>
            </w:tcBorders>
            <w:noWrap/>
            <w:vAlign w:val="bottom"/>
            <w:hideMark/>
          </w:tcPr>
          <w:p w14:paraId="4729E3F9" w14:textId="77777777" w:rsidR="00AE7FA9" w:rsidRPr="00EF3CD0" w:rsidRDefault="00AE7FA9" w:rsidP="00AE7FA9">
            <w:pPr>
              <w:spacing w:before="0" w:after="0"/>
              <w:ind w:left="0"/>
              <w:jc w:val="center"/>
              <w:rPr>
                <w:rFonts w:cs="Calibri"/>
                <w:sz w:val="16"/>
                <w:szCs w:val="16"/>
              </w:rPr>
            </w:pPr>
            <w:r w:rsidRPr="00EF3CD0">
              <w:rPr>
                <w:rFonts w:cs="Calibri"/>
                <w:sz w:val="16"/>
                <w:szCs w:val="16"/>
              </w:rPr>
              <w:t>-</w:t>
            </w:r>
          </w:p>
        </w:tc>
        <w:tc>
          <w:tcPr>
            <w:tcW w:w="420" w:type="dxa"/>
            <w:tcBorders>
              <w:top w:val="nil"/>
              <w:left w:val="nil"/>
              <w:bottom w:val="dashed" w:sz="4" w:space="0" w:color="auto"/>
              <w:right w:val="nil"/>
            </w:tcBorders>
            <w:noWrap/>
            <w:vAlign w:val="bottom"/>
            <w:hideMark/>
          </w:tcPr>
          <w:p w14:paraId="2D1BA3B2" w14:textId="77777777" w:rsidR="00AE7FA9" w:rsidRPr="00EF3CD0" w:rsidRDefault="00AE7FA9" w:rsidP="00AE7FA9">
            <w:pPr>
              <w:spacing w:before="0" w:after="0"/>
              <w:ind w:left="0"/>
              <w:jc w:val="center"/>
              <w:rPr>
                <w:rFonts w:cs="Calibri"/>
                <w:sz w:val="16"/>
                <w:szCs w:val="16"/>
              </w:rPr>
            </w:pPr>
            <w:r w:rsidRPr="00EF3CD0">
              <w:rPr>
                <w:rFonts w:cs="Calibri"/>
                <w:sz w:val="16"/>
                <w:szCs w:val="16"/>
              </w:rPr>
              <w:t>-</w:t>
            </w:r>
          </w:p>
        </w:tc>
        <w:tc>
          <w:tcPr>
            <w:tcW w:w="380" w:type="dxa"/>
            <w:tcBorders>
              <w:top w:val="nil"/>
              <w:left w:val="nil"/>
              <w:bottom w:val="dashed" w:sz="4" w:space="0" w:color="auto"/>
              <w:right w:val="nil"/>
            </w:tcBorders>
            <w:noWrap/>
            <w:vAlign w:val="bottom"/>
            <w:hideMark/>
          </w:tcPr>
          <w:p w14:paraId="1863AE25" w14:textId="77777777" w:rsidR="00AE7FA9" w:rsidRPr="00EF3CD0" w:rsidRDefault="00AE7FA9" w:rsidP="00AE7FA9">
            <w:pPr>
              <w:spacing w:before="0" w:after="0"/>
              <w:ind w:left="0"/>
              <w:jc w:val="center"/>
              <w:rPr>
                <w:rFonts w:cs="Calibri"/>
                <w:sz w:val="16"/>
                <w:szCs w:val="16"/>
              </w:rPr>
            </w:pPr>
            <w:r w:rsidRPr="00EF3CD0">
              <w:rPr>
                <w:rFonts w:cs="Calibri"/>
                <w:sz w:val="16"/>
                <w:szCs w:val="16"/>
              </w:rPr>
              <w:t>-</w:t>
            </w:r>
          </w:p>
        </w:tc>
        <w:tc>
          <w:tcPr>
            <w:tcW w:w="347" w:type="dxa"/>
            <w:tcBorders>
              <w:top w:val="nil"/>
              <w:left w:val="nil"/>
              <w:bottom w:val="dashed" w:sz="4" w:space="0" w:color="auto"/>
              <w:right w:val="nil"/>
            </w:tcBorders>
            <w:noWrap/>
            <w:vAlign w:val="bottom"/>
            <w:hideMark/>
          </w:tcPr>
          <w:p w14:paraId="431C8A0C" w14:textId="77777777" w:rsidR="00AE7FA9" w:rsidRPr="00EF3CD0" w:rsidRDefault="00AE7FA9" w:rsidP="00AE7FA9">
            <w:pPr>
              <w:spacing w:before="0" w:after="0"/>
              <w:ind w:left="0"/>
              <w:jc w:val="center"/>
              <w:rPr>
                <w:rFonts w:cs="Calibri"/>
                <w:sz w:val="16"/>
                <w:szCs w:val="16"/>
              </w:rPr>
            </w:pPr>
            <w:r w:rsidRPr="00EF3CD0">
              <w:rPr>
                <w:rFonts w:cs="Calibri"/>
                <w:sz w:val="16"/>
                <w:szCs w:val="16"/>
              </w:rPr>
              <w:t>-</w:t>
            </w:r>
          </w:p>
        </w:tc>
        <w:tc>
          <w:tcPr>
            <w:tcW w:w="800" w:type="dxa"/>
            <w:tcBorders>
              <w:top w:val="nil"/>
              <w:left w:val="nil"/>
              <w:bottom w:val="dashed" w:sz="4" w:space="0" w:color="auto"/>
              <w:right w:val="nil"/>
            </w:tcBorders>
            <w:noWrap/>
            <w:vAlign w:val="bottom"/>
            <w:hideMark/>
          </w:tcPr>
          <w:p w14:paraId="38E8C893" w14:textId="77777777" w:rsidR="00AE7FA9" w:rsidRPr="00EF3CD0" w:rsidRDefault="00AE7FA9" w:rsidP="00AE7FA9">
            <w:pPr>
              <w:spacing w:before="0" w:after="0"/>
              <w:ind w:left="0"/>
              <w:jc w:val="center"/>
              <w:rPr>
                <w:rFonts w:cs="Calibri"/>
                <w:sz w:val="16"/>
                <w:szCs w:val="16"/>
              </w:rPr>
            </w:pPr>
            <w:r w:rsidRPr="00EF3CD0">
              <w:rPr>
                <w:rFonts w:cs="Calibri"/>
                <w:sz w:val="16"/>
                <w:szCs w:val="16"/>
              </w:rPr>
              <w:t>-</w:t>
            </w:r>
          </w:p>
        </w:tc>
      </w:tr>
      <w:tr w:rsidR="00AE7FA9" w:rsidRPr="00EF3CD0" w14:paraId="4BC9E69E" w14:textId="77777777" w:rsidTr="00F937DD">
        <w:trPr>
          <w:trHeight w:val="210"/>
        </w:trPr>
        <w:tc>
          <w:tcPr>
            <w:tcW w:w="2262" w:type="dxa"/>
            <w:gridSpan w:val="2"/>
            <w:tcBorders>
              <w:top w:val="nil"/>
              <w:left w:val="nil"/>
              <w:bottom w:val="dashed" w:sz="4" w:space="0" w:color="auto"/>
              <w:right w:val="nil"/>
            </w:tcBorders>
            <w:noWrap/>
            <w:vAlign w:val="bottom"/>
          </w:tcPr>
          <w:p w14:paraId="67B026DC" w14:textId="089C1BE8" w:rsidR="00AE7FA9" w:rsidRPr="00EF3CD0" w:rsidRDefault="00AE7FA9" w:rsidP="00AE7FA9">
            <w:pPr>
              <w:spacing w:before="0" w:after="0"/>
              <w:ind w:left="0"/>
              <w:jc w:val="left"/>
              <w:rPr>
                <w:rFonts w:cs="Calibri"/>
                <w:sz w:val="16"/>
                <w:szCs w:val="16"/>
              </w:rPr>
            </w:pPr>
            <w:r w:rsidRPr="00EF3CD0">
              <w:rPr>
                <w:rFonts w:cs="Calibri"/>
                <w:b/>
                <w:bCs/>
                <w:i/>
                <w:iCs/>
                <w:sz w:val="16"/>
                <w:szCs w:val="16"/>
              </w:rPr>
              <w:t>zastavitelné plochy celkem</w:t>
            </w:r>
          </w:p>
        </w:tc>
        <w:tc>
          <w:tcPr>
            <w:tcW w:w="587" w:type="dxa"/>
            <w:tcBorders>
              <w:top w:val="nil"/>
              <w:left w:val="nil"/>
              <w:bottom w:val="dashed" w:sz="4" w:space="0" w:color="auto"/>
              <w:right w:val="nil"/>
            </w:tcBorders>
            <w:noWrap/>
            <w:vAlign w:val="center"/>
          </w:tcPr>
          <w:p w14:paraId="6BCFB6B0" w14:textId="32C27C37" w:rsidR="00AE7FA9" w:rsidRPr="00EF3CD0" w:rsidRDefault="00AE7FA9" w:rsidP="00AE7FA9">
            <w:pPr>
              <w:spacing w:before="0" w:after="0"/>
              <w:ind w:left="0"/>
              <w:jc w:val="right"/>
              <w:rPr>
                <w:rFonts w:cs="Calibri"/>
                <w:b/>
                <w:bCs/>
                <w:sz w:val="16"/>
                <w:szCs w:val="16"/>
              </w:rPr>
            </w:pPr>
            <w:r w:rsidRPr="00EF3CD0">
              <w:rPr>
                <w:rFonts w:cs="Calibri"/>
                <w:b/>
                <w:bCs/>
                <w:i/>
                <w:iCs/>
                <w:sz w:val="16"/>
                <w:szCs w:val="16"/>
              </w:rPr>
              <w:t>1,779</w:t>
            </w:r>
          </w:p>
        </w:tc>
        <w:tc>
          <w:tcPr>
            <w:tcW w:w="580" w:type="dxa"/>
            <w:tcBorders>
              <w:top w:val="nil"/>
              <w:left w:val="nil"/>
              <w:bottom w:val="dashed" w:sz="4" w:space="0" w:color="auto"/>
              <w:right w:val="nil"/>
            </w:tcBorders>
            <w:noWrap/>
            <w:vAlign w:val="center"/>
          </w:tcPr>
          <w:p w14:paraId="1AA065F1" w14:textId="6A241A87" w:rsidR="00AE7FA9" w:rsidRPr="00EF3CD0" w:rsidRDefault="00AE7FA9" w:rsidP="00AE7FA9">
            <w:pPr>
              <w:spacing w:before="0" w:after="0"/>
              <w:ind w:left="0"/>
              <w:jc w:val="center"/>
              <w:rPr>
                <w:rFonts w:cs="Calibri"/>
                <w:sz w:val="16"/>
                <w:szCs w:val="16"/>
              </w:rPr>
            </w:pPr>
            <w:r w:rsidRPr="00EF3CD0">
              <w:rPr>
                <w:rFonts w:cs="Calibri"/>
                <w:b/>
                <w:bCs/>
                <w:i/>
                <w:iCs/>
                <w:sz w:val="16"/>
                <w:szCs w:val="16"/>
              </w:rPr>
              <w:t>0,000</w:t>
            </w:r>
          </w:p>
        </w:tc>
        <w:tc>
          <w:tcPr>
            <w:tcW w:w="760" w:type="dxa"/>
            <w:tcBorders>
              <w:top w:val="nil"/>
              <w:left w:val="nil"/>
              <w:bottom w:val="dashed" w:sz="4" w:space="0" w:color="auto"/>
              <w:right w:val="nil"/>
            </w:tcBorders>
            <w:noWrap/>
            <w:vAlign w:val="center"/>
          </w:tcPr>
          <w:p w14:paraId="16738686" w14:textId="061A9100" w:rsidR="00AE7FA9" w:rsidRPr="00EF3CD0" w:rsidRDefault="00AE7FA9" w:rsidP="00AE7FA9">
            <w:pPr>
              <w:spacing w:before="0" w:after="0"/>
              <w:ind w:left="0"/>
              <w:jc w:val="center"/>
              <w:rPr>
                <w:rFonts w:cs="Calibri"/>
                <w:sz w:val="16"/>
                <w:szCs w:val="16"/>
              </w:rPr>
            </w:pPr>
            <w:r w:rsidRPr="00EF3CD0">
              <w:rPr>
                <w:rFonts w:cs="Calibri"/>
                <w:b/>
                <w:bCs/>
                <w:i/>
                <w:iCs/>
                <w:sz w:val="16"/>
                <w:szCs w:val="16"/>
              </w:rPr>
              <w:t>0,000</w:t>
            </w:r>
          </w:p>
        </w:tc>
        <w:tc>
          <w:tcPr>
            <w:tcW w:w="580" w:type="dxa"/>
            <w:tcBorders>
              <w:top w:val="nil"/>
              <w:left w:val="nil"/>
              <w:bottom w:val="dashed" w:sz="4" w:space="0" w:color="auto"/>
              <w:right w:val="nil"/>
            </w:tcBorders>
            <w:noWrap/>
            <w:vAlign w:val="center"/>
          </w:tcPr>
          <w:p w14:paraId="68FC9074" w14:textId="44396C51" w:rsidR="00AE7FA9" w:rsidRPr="00EF3CD0" w:rsidRDefault="00AE7FA9" w:rsidP="00AE7FA9">
            <w:pPr>
              <w:spacing w:before="0" w:after="0"/>
              <w:ind w:left="0"/>
              <w:jc w:val="center"/>
              <w:rPr>
                <w:rFonts w:cs="Calibri"/>
                <w:sz w:val="16"/>
                <w:szCs w:val="16"/>
              </w:rPr>
            </w:pPr>
            <w:r w:rsidRPr="00EF3CD0">
              <w:rPr>
                <w:rFonts w:cs="Calibri"/>
                <w:b/>
                <w:bCs/>
                <w:i/>
                <w:iCs/>
                <w:sz w:val="16"/>
                <w:szCs w:val="16"/>
              </w:rPr>
              <w:t>0,000</w:t>
            </w:r>
          </w:p>
        </w:tc>
        <w:tc>
          <w:tcPr>
            <w:tcW w:w="640" w:type="dxa"/>
            <w:tcBorders>
              <w:top w:val="nil"/>
              <w:left w:val="nil"/>
              <w:bottom w:val="dashed" w:sz="4" w:space="0" w:color="auto"/>
              <w:right w:val="nil"/>
            </w:tcBorders>
            <w:noWrap/>
            <w:vAlign w:val="center"/>
          </w:tcPr>
          <w:p w14:paraId="3C3EA0CF" w14:textId="69FD258E" w:rsidR="00AE7FA9" w:rsidRPr="00EF3CD0" w:rsidRDefault="00AE7FA9" w:rsidP="00AE7FA9">
            <w:pPr>
              <w:spacing w:before="0" w:after="0"/>
              <w:ind w:left="0"/>
              <w:jc w:val="center"/>
              <w:rPr>
                <w:rFonts w:cs="Calibri"/>
                <w:sz w:val="16"/>
                <w:szCs w:val="16"/>
              </w:rPr>
            </w:pPr>
            <w:r w:rsidRPr="00EF3CD0">
              <w:rPr>
                <w:rFonts w:cs="Calibri"/>
                <w:b/>
                <w:bCs/>
                <w:i/>
                <w:iCs/>
                <w:sz w:val="16"/>
                <w:szCs w:val="16"/>
              </w:rPr>
              <w:t>0,000</w:t>
            </w:r>
          </w:p>
        </w:tc>
        <w:tc>
          <w:tcPr>
            <w:tcW w:w="720" w:type="dxa"/>
            <w:tcBorders>
              <w:top w:val="nil"/>
              <w:left w:val="nil"/>
              <w:bottom w:val="dashed" w:sz="4" w:space="0" w:color="auto"/>
              <w:right w:val="nil"/>
            </w:tcBorders>
            <w:noWrap/>
            <w:vAlign w:val="center"/>
          </w:tcPr>
          <w:p w14:paraId="49AC09E7" w14:textId="2F96B964" w:rsidR="00AE7FA9" w:rsidRPr="00EF3CD0" w:rsidRDefault="00AE7FA9" w:rsidP="00AE7FA9">
            <w:pPr>
              <w:spacing w:before="0" w:after="0"/>
              <w:ind w:left="0"/>
              <w:jc w:val="right"/>
              <w:rPr>
                <w:rFonts w:cs="Calibri"/>
                <w:sz w:val="16"/>
                <w:szCs w:val="16"/>
              </w:rPr>
            </w:pPr>
            <w:r w:rsidRPr="00EF3CD0">
              <w:rPr>
                <w:rFonts w:cs="Calibri"/>
                <w:b/>
                <w:bCs/>
                <w:i/>
                <w:iCs/>
                <w:sz w:val="16"/>
                <w:szCs w:val="16"/>
              </w:rPr>
              <w:t>1,779</w:t>
            </w:r>
          </w:p>
        </w:tc>
        <w:tc>
          <w:tcPr>
            <w:tcW w:w="860" w:type="dxa"/>
            <w:tcBorders>
              <w:top w:val="nil"/>
              <w:left w:val="nil"/>
              <w:bottom w:val="dashed" w:sz="4" w:space="0" w:color="auto"/>
              <w:right w:val="nil"/>
            </w:tcBorders>
            <w:noWrap/>
            <w:vAlign w:val="bottom"/>
          </w:tcPr>
          <w:p w14:paraId="6804C18D" w14:textId="77777777" w:rsidR="00AE7FA9" w:rsidRPr="00EF3CD0" w:rsidRDefault="00AE7FA9" w:rsidP="00AE7FA9">
            <w:pPr>
              <w:spacing w:before="0" w:after="0"/>
              <w:ind w:left="0"/>
              <w:jc w:val="center"/>
              <w:rPr>
                <w:rFonts w:cs="Calibri"/>
                <w:sz w:val="16"/>
                <w:szCs w:val="16"/>
              </w:rPr>
            </w:pPr>
          </w:p>
        </w:tc>
        <w:tc>
          <w:tcPr>
            <w:tcW w:w="420" w:type="dxa"/>
            <w:tcBorders>
              <w:top w:val="nil"/>
              <w:left w:val="nil"/>
              <w:bottom w:val="dashed" w:sz="4" w:space="0" w:color="auto"/>
              <w:right w:val="nil"/>
            </w:tcBorders>
            <w:noWrap/>
            <w:vAlign w:val="bottom"/>
          </w:tcPr>
          <w:p w14:paraId="198227E0" w14:textId="77777777" w:rsidR="00AE7FA9" w:rsidRPr="00EF3CD0" w:rsidRDefault="00AE7FA9" w:rsidP="00AE7FA9">
            <w:pPr>
              <w:spacing w:before="0" w:after="0"/>
              <w:ind w:left="0"/>
              <w:jc w:val="center"/>
              <w:rPr>
                <w:rFonts w:cs="Calibri"/>
                <w:sz w:val="16"/>
                <w:szCs w:val="16"/>
              </w:rPr>
            </w:pPr>
          </w:p>
        </w:tc>
        <w:tc>
          <w:tcPr>
            <w:tcW w:w="380" w:type="dxa"/>
            <w:tcBorders>
              <w:top w:val="nil"/>
              <w:left w:val="nil"/>
              <w:bottom w:val="dashed" w:sz="4" w:space="0" w:color="auto"/>
              <w:right w:val="nil"/>
            </w:tcBorders>
            <w:noWrap/>
            <w:vAlign w:val="bottom"/>
          </w:tcPr>
          <w:p w14:paraId="31407433" w14:textId="77777777" w:rsidR="00AE7FA9" w:rsidRPr="00EF3CD0" w:rsidRDefault="00AE7FA9" w:rsidP="00AE7FA9">
            <w:pPr>
              <w:spacing w:before="0" w:after="0"/>
              <w:ind w:left="0"/>
              <w:jc w:val="center"/>
              <w:rPr>
                <w:rFonts w:cs="Calibri"/>
                <w:sz w:val="16"/>
                <w:szCs w:val="16"/>
              </w:rPr>
            </w:pPr>
          </w:p>
        </w:tc>
        <w:tc>
          <w:tcPr>
            <w:tcW w:w="347" w:type="dxa"/>
            <w:tcBorders>
              <w:top w:val="nil"/>
              <w:left w:val="nil"/>
              <w:bottom w:val="dashed" w:sz="4" w:space="0" w:color="auto"/>
              <w:right w:val="nil"/>
            </w:tcBorders>
            <w:noWrap/>
            <w:vAlign w:val="bottom"/>
          </w:tcPr>
          <w:p w14:paraId="10B6885F" w14:textId="77777777" w:rsidR="00AE7FA9" w:rsidRPr="00EF3CD0" w:rsidRDefault="00AE7FA9" w:rsidP="00AE7FA9">
            <w:pPr>
              <w:spacing w:before="0" w:after="0"/>
              <w:ind w:left="0"/>
              <w:jc w:val="center"/>
              <w:rPr>
                <w:rFonts w:cs="Calibri"/>
                <w:sz w:val="16"/>
                <w:szCs w:val="16"/>
              </w:rPr>
            </w:pPr>
          </w:p>
        </w:tc>
        <w:tc>
          <w:tcPr>
            <w:tcW w:w="800" w:type="dxa"/>
            <w:tcBorders>
              <w:top w:val="nil"/>
              <w:left w:val="nil"/>
              <w:bottom w:val="dashed" w:sz="4" w:space="0" w:color="auto"/>
              <w:right w:val="nil"/>
            </w:tcBorders>
            <w:noWrap/>
            <w:vAlign w:val="bottom"/>
          </w:tcPr>
          <w:p w14:paraId="459A4EB2" w14:textId="77777777" w:rsidR="00AE7FA9" w:rsidRPr="00EF3CD0" w:rsidRDefault="00AE7FA9" w:rsidP="00AE7FA9">
            <w:pPr>
              <w:spacing w:before="0" w:after="0"/>
              <w:ind w:left="0"/>
              <w:jc w:val="center"/>
              <w:rPr>
                <w:rFonts w:cs="Calibri"/>
                <w:sz w:val="16"/>
                <w:szCs w:val="16"/>
              </w:rPr>
            </w:pPr>
          </w:p>
        </w:tc>
      </w:tr>
      <w:tr w:rsidR="00AE7FA9" w:rsidRPr="00EF3CD0" w14:paraId="5BDE94B5" w14:textId="77777777" w:rsidTr="00F937DD">
        <w:trPr>
          <w:trHeight w:val="210"/>
        </w:trPr>
        <w:tc>
          <w:tcPr>
            <w:tcW w:w="2262" w:type="dxa"/>
            <w:gridSpan w:val="2"/>
            <w:tcBorders>
              <w:top w:val="nil"/>
              <w:left w:val="nil"/>
              <w:bottom w:val="dashed" w:sz="4" w:space="0" w:color="auto"/>
              <w:right w:val="nil"/>
            </w:tcBorders>
            <w:noWrap/>
            <w:vAlign w:val="bottom"/>
          </w:tcPr>
          <w:p w14:paraId="42D23DEB" w14:textId="24E57AD1" w:rsidR="00AE7FA9" w:rsidRPr="00EF3CD0" w:rsidRDefault="00AE7FA9" w:rsidP="00AE7FA9">
            <w:pPr>
              <w:spacing w:before="0" w:after="0"/>
              <w:ind w:left="0"/>
              <w:jc w:val="left"/>
              <w:rPr>
                <w:rFonts w:cs="Calibri"/>
                <w:sz w:val="16"/>
                <w:szCs w:val="16"/>
              </w:rPr>
            </w:pPr>
            <w:r>
              <w:rPr>
                <w:rFonts w:cs="Calibri"/>
                <w:b/>
                <w:bCs/>
                <w:i/>
                <w:iCs/>
                <w:sz w:val="16"/>
                <w:szCs w:val="16"/>
              </w:rPr>
              <w:t>p</w:t>
            </w:r>
            <w:r w:rsidRPr="00EF3CD0">
              <w:rPr>
                <w:rFonts w:cs="Calibri"/>
                <w:b/>
                <w:bCs/>
                <w:i/>
                <w:iCs/>
                <w:sz w:val="16"/>
                <w:szCs w:val="16"/>
              </w:rPr>
              <w:t>lochy rekreace celkem</w:t>
            </w:r>
          </w:p>
        </w:tc>
        <w:tc>
          <w:tcPr>
            <w:tcW w:w="587" w:type="dxa"/>
            <w:tcBorders>
              <w:top w:val="nil"/>
              <w:left w:val="nil"/>
              <w:bottom w:val="dashed" w:sz="4" w:space="0" w:color="auto"/>
              <w:right w:val="nil"/>
            </w:tcBorders>
            <w:noWrap/>
            <w:vAlign w:val="center"/>
          </w:tcPr>
          <w:p w14:paraId="169E465A" w14:textId="5B7FC170" w:rsidR="00AE7FA9" w:rsidRPr="00EF3CD0" w:rsidRDefault="00AE7FA9" w:rsidP="00AE7FA9">
            <w:pPr>
              <w:spacing w:before="0" w:after="0"/>
              <w:ind w:left="0"/>
              <w:jc w:val="right"/>
              <w:rPr>
                <w:rFonts w:cs="Calibri"/>
                <w:b/>
                <w:bCs/>
                <w:sz w:val="16"/>
                <w:szCs w:val="16"/>
              </w:rPr>
            </w:pPr>
            <w:r w:rsidRPr="00EF3CD0">
              <w:rPr>
                <w:rFonts w:cs="Calibri"/>
                <w:b/>
                <w:bCs/>
                <w:i/>
                <w:iCs/>
                <w:sz w:val="16"/>
                <w:szCs w:val="16"/>
              </w:rPr>
              <w:t>2,588</w:t>
            </w:r>
          </w:p>
        </w:tc>
        <w:tc>
          <w:tcPr>
            <w:tcW w:w="580" w:type="dxa"/>
            <w:tcBorders>
              <w:top w:val="nil"/>
              <w:left w:val="nil"/>
              <w:bottom w:val="dashed" w:sz="4" w:space="0" w:color="auto"/>
              <w:right w:val="nil"/>
            </w:tcBorders>
            <w:noWrap/>
            <w:vAlign w:val="center"/>
          </w:tcPr>
          <w:p w14:paraId="50FDA656" w14:textId="4F2CBB7B" w:rsidR="00AE7FA9" w:rsidRPr="00EF3CD0" w:rsidRDefault="00AE7FA9" w:rsidP="00AE7FA9">
            <w:pPr>
              <w:spacing w:before="0" w:after="0"/>
              <w:ind w:left="0"/>
              <w:jc w:val="center"/>
              <w:rPr>
                <w:rFonts w:cs="Calibri"/>
                <w:sz w:val="16"/>
                <w:szCs w:val="16"/>
              </w:rPr>
            </w:pPr>
            <w:r w:rsidRPr="00EF3CD0">
              <w:rPr>
                <w:rFonts w:cs="Calibri"/>
                <w:b/>
                <w:bCs/>
                <w:i/>
                <w:iCs/>
                <w:sz w:val="16"/>
                <w:szCs w:val="16"/>
              </w:rPr>
              <w:t>0,809</w:t>
            </w:r>
          </w:p>
        </w:tc>
        <w:tc>
          <w:tcPr>
            <w:tcW w:w="760" w:type="dxa"/>
            <w:tcBorders>
              <w:top w:val="nil"/>
              <w:left w:val="nil"/>
              <w:bottom w:val="dashed" w:sz="4" w:space="0" w:color="auto"/>
              <w:right w:val="nil"/>
            </w:tcBorders>
            <w:noWrap/>
            <w:vAlign w:val="center"/>
          </w:tcPr>
          <w:p w14:paraId="2DE32190" w14:textId="022136B4" w:rsidR="00AE7FA9" w:rsidRPr="00EF3CD0" w:rsidRDefault="00AE7FA9" w:rsidP="00AE7FA9">
            <w:pPr>
              <w:spacing w:before="0" w:after="0"/>
              <w:ind w:left="0"/>
              <w:jc w:val="center"/>
              <w:rPr>
                <w:rFonts w:cs="Calibri"/>
                <w:sz w:val="16"/>
                <w:szCs w:val="16"/>
              </w:rPr>
            </w:pPr>
            <w:r w:rsidRPr="00EF3CD0">
              <w:rPr>
                <w:rFonts w:cs="Calibri"/>
                <w:b/>
                <w:bCs/>
                <w:i/>
                <w:iCs/>
                <w:sz w:val="16"/>
                <w:szCs w:val="16"/>
              </w:rPr>
              <w:t>0,000</w:t>
            </w:r>
          </w:p>
        </w:tc>
        <w:tc>
          <w:tcPr>
            <w:tcW w:w="580" w:type="dxa"/>
            <w:tcBorders>
              <w:top w:val="nil"/>
              <w:left w:val="nil"/>
              <w:bottom w:val="dashed" w:sz="4" w:space="0" w:color="auto"/>
              <w:right w:val="nil"/>
            </w:tcBorders>
            <w:noWrap/>
            <w:vAlign w:val="center"/>
          </w:tcPr>
          <w:p w14:paraId="7D8B4F80" w14:textId="4F3C42C6" w:rsidR="00AE7FA9" w:rsidRPr="00EF3CD0" w:rsidRDefault="00AE7FA9" w:rsidP="00AE7FA9">
            <w:pPr>
              <w:spacing w:before="0" w:after="0"/>
              <w:ind w:left="0"/>
              <w:jc w:val="center"/>
              <w:rPr>
                <w:rFonts w:cs="Calibri"/>
                <w:sz w:val="16"/>
                <w:szCs w:val="16"/>
              </w:rPr>
            </w:pPr>
            <w:r w:rsidRPr="00EF3CD0">
              <w:rPr>
                <w:rFonts w:cs="Calibri"/>
                <w:b/>
                <w:bCs/>
                <w:i/>
                <w:iCs/>
                <w:sz w:val="16"/>
                <w:szCs w:val="16"/>
              </w:rPr>
              <w:t>0,000</w:t>
            </w:r>
          </w:p>
        </w:tc>
        <w:tc>
          <w:tcPr>
            <w:tcW w:w="640" w:type="dxa"/>
            <w:tcBorders>
              <w:top w:val="nil"/>
              <w:left w:val="nil"/>
              <w:bottom w:val="dashed" w:sz="4" w:space="0" w:color="auto"/>
              <w:right w:val="nil"/>
            </w:tcBorders>
            <w:noWrap/>
            <w:vAlign w:val="center"/>
          </w:tcPr>
          <w:p w14:paraId="6475D88F" w14:textId="55DA864A" w:rsidR="00AE7FA9" w:rsidRPr="00EF3CD0" w:rsidRDefault="00AE7FA9" w:rsidP="00AE7FA9">
            <w:pPr>
              <w:spacing w:before="0" w:after="0"/>
              <w:ind w:left="0"/>
              <w:jc w:val="center"/>
              <w:rPr>
                <w:rFonts w:cs="Calibri"/>
                <w:sz w:val="16"/>
                <w:szCs w:val="16"/>
              </w:rPr>
            </w:pPr>
            <w:r w:rsidRPr="00EF3CD0">
              <w:rPr>
                <w:rFonts w:cs="Calibri"/>
                <w:b/>
                <w:bCs/>
                <w:i/>
                <w:iCs/>
                <w:sz w:val="16"/>
                <w:szCs w:val="16"/>
              </w:rPr>
              <w:t>0,000</w:t>
            </w:r>
          </w:p>
        </w:tc>
        <w:tc>
          <w:tcPr>
            <w:tcW w:w="720" w:type="dxa"/>
            <w:tcBorders>
              <w:top w:val="nil"/>
              <w:left w:val="nil"/>
              <w:bottom w:val="dashed" w:sz="4" w:space="0" w:color="auto"/>
              <w:right w:val="nil"/>
            </w:tcBorders>
            <w:noWrap/>
            <w:vAlign w:val="center"/>
          </w:tcPr>
          <w:p w14:paraId="1801D7EB" w14:textId="3B5EA5FE" w:rsidR="00AE7FA9" w:rsidRPr="00EF3CD0" w:rsidRDefault="00AE7FA9" w:rsidP="00AE7FA9">
            <w:pPr>
              <w:spacing w:before="0" w:after="0"/>
              <w:ind w:left="0"/>
              <w:jc w:val="right"/>
              <w:rPr>
                <w:rFonts w:cs="Calibri"/>
                <w:sz w:val="16"/>
                <w:szCs w:val="16"/>
              </w:rPr>
            </w:pPr>
            <w:r w:rsidRPr="00EF3CD0">
              <w:rPr>
                <w:rFonts w:cs="Calibri"/>
                <w:b/>
                <w:bCs/>
                <w:i/>
                <w:iCs/>
                <w:sz w:val="16"/>
                <w:szCs w:val="16"/>
              </w:rPr>
              <w:t>1,779</w:t>
            </w:r>
          </w:p>
        </w:tc>
        <w:tc>
          <w:tcPr>
            <w:tcW w:w="860" w:type="dxa"/>
            <w:tcBorders>
              <w:top w:val="nil"/>
              <w:left w:val="nil"/>
              <w:bottom w:val="dashed" w:sz="4" w:space="0" w:color="auto"/>
              <w:right w:val="nil"/>
            </w:tcBorders>
            <w:noWrap/>
            <w:vAlign w:val="bottom"/>
          </w:tcPr>
          <w:p w14:paraId="19C5106A" w14:textId="77777777" w:rsidR="00AE7FA9" w:rsidRPr="00EF3CD0" w:rsidRDefault="00AE7FA9" w:rsidP="00AE7FA9">
            <w:pPr>
              <w:spacing w:before="0" w:after="0"/>
              <w:ind w:left="0"/>
              <w:jc w:val="center"/>
              <w:rPr>
                <w:rFonts w:cs="Calibri"/>
                <w:sz w:val="16"/>
                <w:szCs w:val="16"/>
              </w:rPr>
            </w:pPr>
          </w:p>
        </w:tc>
        <w:tc>
          <w:tcPr>
            <w:tcW w:w="420" w:type="dxa"/>
            <w:tcBorders>
              <w:top w:val="nil"/>
              <w:left w:val="nil"/>
              <w:bottom w:val="dashed" w:sz="4" w:space="0" w:color="auto"/>
              <w:right w:val="nil"/>
            </w:tcBorders>
            <w:noWrap/>
            <w:vAlign w:val="bottom"/>
          </w:tcPr>
          <w:p w14:paraId="38137545" w14:textId="77777777" w:rsidR="00AE7FA9" w:rsidRPr="00EF3CD0" w:rsidRDefault="00AE7FA9" w:rsidP="00AE7FA9">
            <w:pPr>
              <w:spacing w:before="0" w:after="0"/>
              <w:ind w:left="0"/>
              <w:jc w:val="center"/>
              <w:rPr>
                <w:rFonts w:cs="Calibri"/>
                <w:sz w:val="16"/>
                <w:szCs w:val="16"/>
              </w:rPr>
            </w:pPr>
          </w:p>
        </w:tc>
        <w:tc>
          <w:tcPr>
            <w:tcW w:w="380" w:type="dxa"/>
            <w:tcBorders>
              <w:top w:val="nil"/>
              <w:left w:val="nil"/>
              <w:bottom w:val="dashed" w:sz="4" w:space="0" w:color="auto"/>
              <w:right w:val="nil"/>
            </w:tcBorders>
            <w:noWrap/>
            <w:vAlign w:val="bottom"/>
          </w:tcPr>
          <w:p w14:paraId="5D86ABD6" w14:textId="77777777" w:rsidR="00AE7FA9" w:rsidRPr="00EF3CD0" w:rsidRDefault="00AE7FA9" w:rsidP="00AE7FA9">
            <w:pPr>
              <w:spacing w:before="0" w:after="0"/>
              <w:ind w:left="0"/>
              <w:jc w:val="center"/>
              <w:rPr>
                <w:rFonts w:cs="Calibri"/>
                <w:sz w:val="16"/>
                <w:szCs w:val="16"/>
              </w:rPr>
            </w:pPr>
          </w:p>
        </w:tc>
        <w:tc>
          <w:tcPr>
            <w:tcW w:w="347" w:type="dxa"/>
            <w:tcBorders>
              <w:top w:val="nil"/>
              <w:left w:val="nil"/>
              <w:bottom w:val="dashed" w:sz="4" w:space="0" w:color="auto"/>
              <w:right w:val="nil"/>
            </w:tcBorders>
            <w:noWrap/>
            <w:vAlign w:val="bottom"/>
          </w:tcPr>
          <w:p w14:paraId="127B0D6E" w14:textId="77777777" w:rsidR="00AE7FA9" w:rsidRPr="00EF3CD0" w:rsidRDefault="00AE7FA9" w:rsidP="00AE7FA9">
            <w:pPr>
              <w:spacing w:before="0" w:after="0"/>
              <w:ind w:left="0"/>
              <w:jc w:val="center"/>
              <w:rPr>
                <w:rFonts w:cs="Calibri"/>
                <w:sz w:val="16"/>
                <w:szCs w:val="16"/>
              </w:rPr>
            </w:pPr>
          </w:p>
        </w:tc>
        <w:tc>
          <w:tcPr>
            <w:tcW w:w="800" w:type="dxa"/>
            <w:tcBorders>
              <w:top w:val="nil"/>
              <w:left w:val="nil"/>
              <w:bottom w:val="dashed" w:sz="4" w:space="0" w:color="auto"/>
              <w:right w:val="nil"/>
            </w:tcBorders>
            <w:noWrap/>
            <w:vAlign w:val="bottom"/>
          </w:tcPr>
          <w:p w14:paraId="15BF02E4" w14:textId="77777777" w:rsidR="00AE7FA9" w:rsidRPr="00EF3CD0" w:rsidRDefault="00AE7FA9" w:rsidP="00AE7FA9">
            <w:pPr>
              <w:spacing w:before="0" w:after="0"/>
              <w:ind w:left="0"/>
              <w:jc w:val="center"/>
              <w:rPr>
                <w:rFonts w:cs="Calibri"/>
                <w:sz w:val="16"/>
                <w:szCs w:val="16"/>
              </w:rPr>
            </w:pPr>
          </w:p>
        </w:tc>
      </w:tr>
      <w:tr w:rsidR="00AE7FA9" w:rsidRPr="00EF3CD0" w14:paraId="7A03F35C" w14:textId="77777777" w:rsidTr="00F937DD">
        <w:trPr>
          <w:trHeight w:val="210"/>
        </w:trPr>
        <w:tc>
          <w:tcPr>
            <w:tcW w:w="1078" w:type="dxa"/>
            <w:tcBorders>
              <w:top w:val="nil"/>
              <w:left w:val="nil"/>
              <w:bottom w:val="dashed" w:sz="4" w:space="0" w:color="auto"/>
              <w:right w:val="nil"/>
            </w:tcBorders>
            <w:vAlign w:val="center"/>
            <w:hideMark/>
          </w:tcPr>
          <w:p w14:paraId="4243EDEC" w14:textId="77777777" w:rsidR="00AE7FA9" w:rsidRPr="00EF3CD0" w:rsidRDefault="00AE7FA9" w:rsidP="00AE7FA9">
            <w:pPr>
              <w:spacing w:before="0" w:after="0"/>
              <w:ind w:left="0"/>
              <w:jc w:val="left"/>
              <w:rPr>
                <w:rFonts w:cs="Calibri"/>
                <w:b/>
                <w:bCs/>
                <w:sz w:val="16"/>
                <w:szCs w:val="16"/>
              </w:rPr>
            </w:pPr>
            <w:r w:rsidRPr="00EF3CD0">
              <w:rPr>
                <w:rFonts w:cs="Calibri"/>
                <w:b/>
                <w:bCs/>
                <w:sz w:val="16"/>
                <w:szCs w:val="16"/>
              </w:rPr>
              <w:t> </w:t>
            </w:r>
          </w:p>
        </w:tc>
        <w:tc>
          <w:tcPr>
            <w:tcW w:w="1184" w:type="dxa"/>
            <w:tcBorders>
              <w:top w:val="nil"/>
              <w:left w:val="nil"/>
              <w:bottom w:val="dashed" w:sz="4" w:space="0" w:color="auto"/>
              <w:right w:val="nil"/>
            </w:tcBorders>
            <w:vAlign w:val="center"/>
            <w:hideMark/>
          </w:tcPr>
          <w:p w14:paraId="430B4A94" w14:textId="77777777" w:rsidR="00AE7FA9" w:rsidRPr="00EF3CD0" w:rsidRDefault="00AE7FA9" w:rsidP="00AE7FA9">
            <w:pPr>
              <w:spacing w:before="0" w:after="0"/>
              <w:ind w:left="0"/>
              <w:jc w:val="left"/>
              <w:rPr>
                <w:rFonts w:cs="Calibri"/>
                <w:b/>
                <w:bCs/>
                <w:sz w:val="16"/>
                <w:szCs w:val="16"/>
              </w:rPr>
            </w:pPr>
            <w:r w:rsidRPr="00EF3CD0">
              <w:rPr>
                <w:rFonts w:cs="Calibri"/>
                <w:b/>
                <w:bCs/>
                <w:sz w:val="16"/>
                <w:szCs w:val="16"/>
              </w:rPr>
              <w:t> </w:t>
            </w:r>
          </w:p>
        </w:tc>
        <w:tc>
          <w:tcPr>
            <w:tcW w:w="587" w:type="dxa"/>
            <w:tcBorders>
              <w:top w:val="nil"/>
              <w:left w:val="nil"/>
              <w:bottom w:val="dashed" w:sz="4" w:space="0" w:color="auto"/>
              <w:right w:val="nil"/>
            </w:tcBorders>
            <w:vAlign w:val="center"/>
            <w:hideMark/>
          </w:tcPr>
          <w:p w14:paraId="2338F36C" w14:textId="77777777" w:rsidR="00AE7FA9" w:rsidRPr="00EF3CD0" w:rsidRDefault="00AE7FA9" w:rsidP="00AE7FA9">
            <w:pPr>
              <w:spacing w:before="0" w:after="0"/>
              <w:ind w:left="0"/>
              <w:jc w:val="left"/>
              <w:rPr>
                <w:rFonts w:cs="Calibri"/>
                <w:b/>
                <w:bCs/>
                <w:sz w:val="16"/>
                <w:szCs w:val="16"/>
              </w:rPr>
            </w:pPr>
            <w:r w:rsidRPr="00EF3CD0">
              <w:rPr>
                <w:rFonts w:cs="Calibri"/>
                <w:b/>
                <w:bCs/>
                <w:sz w:val="16"/>
                <w:szCs w:val="16"/>
              </w:rPr>
              <w:t> </w:t>
            </w:r>
          </w:p>
        </w:tc>
        <w:tc>
          <w:tcPr>
            <w:tcW w:w="580" w:type="dxa"/>
            <w:tcBorders>
              <w:top w:val="nil"/>
              <w:left w:val="nil"/>
              <w:bottom w:val="dashed" w:sz="4" w:space="0" w:color="auto"/>
              <w:right w:val="nil"/>
            </w:tcBorders>
            <w:vAlign w:val="center"/>
            <w:hideMark/>
          </w:tcPr>
          <w:p w14:paraId="5ADF400A" w14:textId="77777777" w:rsidR="00AE7FA9" w:rsidRPr="00EF3CD0" w:rsidRDefault="00AE7FA9" w:rsidP="00AE7FA9">
            <w:pPr>
              <w:spacing w:before="0" w:after="0"/>
              <w:ind w:left="0"/>
              <w:jc w:val="left"/>
              <w:rPr>
                <w:rFonts w:cs="Calibri"/>
                <w:b/>
                <w:bCs/>
                <w:sz w:val="16"/>
                <w:szCs w:val="16"/>
              </w:rPr>
            </w:pPr>
            <w:r w:rsidRPr="00EF3CD0">
              <w:rPr>
                <w:rFonts w:cs="Calibri"/>
                <w:b/>
                <w:bCs/>
                <w:sz w:val="16"/>
                <w:szCs w:val="16"/>
              </w:rPr>
              <w:t> </w:t>
            </w:r>
          </w:p>
        </w:tc>
        <w:tc>
          <w:tcPr>
            <w:tcW w:w="760" w:type="dxa"/>
            <w:tcBorders>
              <w:top w:val="nil"/>
              <w:left w:val="nil"/>
              <w:bottom w:val="dashed" w:sz="4" w:space="0" w:color="auto"/>
              <w:right w:val="nil"/>
            </w:tcBorders>
            <w:vAlign w:val="center"/>
            <w:hideMark/>
          </w:tcPr>
          <w:p w14:paraId="41A89640" w14:textId="77777777" w:rsidR="00AE7FA9" w:rsidRPr="00EF3CD0" w:rsidRDefault="00AE7FA9" w:rsidP="00AE7FA9">
            <w:pPr>
              <w:spacing w:before="0" w:after="0"/>
              <w:ind w:left="0"/>
              <w:jc w:val="left"/>
              <w:rPr>
                <w:rFonts w:cs="Calibri"/>
                <w:b/>
                <w:bCs/>
                <w:sz w:val="16"/>
                <w:szCs w:val="16"/>
              </w:rPr>
            </w:pPr>
            <w:r w:rsidRPr="00EF3CD0">
              <w:rPr>
                <w:rFonts w:cs="Calibri"/>
                <w:b/>
                <w:bCs/>
                <w:sz w:val="16"/>
                <w:szCs w:val="16"/>
              </w:rPr>
              <w:t> </w:t>
            </w:r>
          </w:p>
        </w:tc>
        <w:tc>
          <w:tcPr>
            <w:tcW w:w="580" w:type="dxa"/>
            <w:tcBorders>
              <w:top w:val="nil"/>
              <w:left w:val="nil"/>
              <w:bottom w:val="dashed" w:sz="4" w:space="0" w:color="auto"/>
              <w:right w:val="nil"/>
            </w:tcBorders>
            <w:vAlign w:val="center"/>
            <w:hideMark/>
          </w:tcPr>
          <w:p w14:paraId="7B98EE30" w14:textId="77777777" w:rsidR="00AE7FA9" w:rsidRPr="00EF3CD0" w:rsidRDefault="00AE7FA9" w:rsidP="00AE7FA9">
            <w:pPr>
              <w:spacing w:before="0" w:after="0"/>
              <w:ind w:left="0"/>
              <w:jc w:val="left"/>
              <w:rPr>
                <w:rFonts w:cs="Calibri"/>
                <w:b/>
                <w:bCs/>
                <w:sz w:val="16"/>
                <w:szCs w:val="16"/>
              </w:rPr>
            </w:pPr>
            <w:r w:rsidRPr="00EF3CD0">
              <w:rPr>
                <w:rFonts w:cs="Calibri"/>
                <w:b/>
                <w:bCs/>
                <w:sz w:val="16"/>
                <w:szCs w:val="16"/>
              </w:rPr>
              <w:t> </w:t>
            </w:r>
          </w:p>
        </w:tc>
        <w:tc>
          <w:tcPr>
            <w:tcW w:w="640" w:type="dxa"/>
            <w:tcBorders>
              <w:top w:val="nil"/>
              <w:left w:val="nil"/>
              <w:bottom w:val="dashed" w:sz="4" w:space="0" w:color="auto"/>
              <w:right w:val="nil"/>
            </w:tcBorders>
            <w:vAlign w:val="center"/>
            <w:hideMark/>
          </w:tcPr>
          <w:p w14:paraId="34F69895" w14:textId="77777777" w:rsidR="00AE7FA9" w:rsidRPr="00EF3CD0" w:rsidRDefault="00AE7FA9" w:rsidP="00AE7FA9">
            <w:pPr>
              <w:spacing w:before="0" w:after="0"/>
              <w:ind w:left="0"/>
              <w:jc w:val="left"/>
              <w:rPr>
                <w:rFonts w:cs="Calibri"/>
                <w:b/>
                <w:bCs/>
                <w:sz w:val="16"/>
                <w:szCs w:val="16"/>
              </w:rPr>
            </w:pPr>
            <w:r w:rsidRPr="00EF3CD0">
              <w:rPr>
                <w:rFonts w:cs="Calibri"/>
                <w:b/>
                <w:bCs/>
                <w:sz w:val="16"/>
                <w:szCs w:val="16"/>
              </w:rPr>
              <w:t> </w:t>
            </w:r>
          </w:p>
        </w:tc>
        <w:tc>
          <w:tcPr>
            <w:tcW w:w="720" w:type="dxa"/>
            <w:tcBorders>
              <w:top w:val="nil"/>
              <w:left w:val="nil"/>
              <w:bottom w:val="dashed" w:sz="4" w:space="0" w:color="auto"/>
              <w:right w:val="nil"/>
            </w:tcBorders>
            <w:vAlign w:val="center"/>
            <w:hideMark/>
          </w:tcPr>
          <w:p w14:paraId="73484A64" w14:textId="77777777" w:rsidR="00AE7FA9" w:rsidRPr="00EF3CD0" w:rsidRDefault="00AE7FA9" w:rsidP="00AE7FA9">
            <w:pPr>
              <w:spacing w:before="0" w:after="0"/>
              <w:ind w:left="0"/>
              <w:jc w:val="left"/>
              <w:rPr>
                <w:rFonts w:cs="Calibri"/>
                <w:b/>
                <w:bCs/>
                <w:sz w:val="16"/>
                <w:szCs w:val="16"/>
              </w:rPr>
            </w:pPr>
            <w:r w:rsidRPr="00EF3CD0">
              <w:rPr>
                <w:rFonts w:cs="Calibri"/>
                <w:b/>
                <w:bCs/>
                <w:sz w:val="16"/>
                <w:szCs w:val="16"/>
              </w:rPr>
              <w:t> </w:t>
            </w:r>
          </w:p>
        </w:tc>
        <w:tc>
          <w:tcPr>
            <w:tcW w:w="860" w:type="dxa"/>
            <w:tcBorders>
              <w:top w:val="nil"/>
              <w:left w:val="nil"/>
              <w:bottom w:val="dashed" w:sz="4" w:space="0" w:color="auto"/>
              <w:right w:val="nil"/>
            </w:tcBorders>
            <w:vAlign w:val="center"/>
            <w:hideMark/>
          </w:tcPr>
          <w:p w14:paraId="375ADC5C" w14:textId="77777777" w:rsidR="00AE7FA9" w:rsidRPr="00EF3CD0" w:rsidRDefault="00AE7FA9" w:rsidP="00AE7FA9">
            <w:pPr>
              <w:spacing w:before="0" w:after="0"/>
              <w:ind w:left="0"/>
              <w:jc w:val="left"/>
              <w:rPr>
                <w:rFonts w:cs="Calibri"/>
                <w:b/>
                <w:bCs/>
                <w:sz w:val="16"/>
                <w:szCs w:val="16"/>
              </w:rPr>
            </w:pPr>
            <w:r w:rsidRPr="00EF3CD0">
              <w:rPr>
                <w:rFonts w:cs="Calibri"/>
                <w:b/>
                <w:bCs/>
                <w:sz w:val="16"/>
                <w:szCs w:val="16"/>
              </w:rPr>
              <w:t> </w:t>
            </w:r>
          </w:p>
        </w:tc>
        <w:tc>
          <w:tcPr>
            <w:tcW w:w="420" w:type="dxa"/>
            <w:tcBorders>
              <w:top w:val="nil"/>
              <w:left w:val="nil"/>
              <w:bottom w:val="dashed" w:sz="4" w:space="0" w:color="auto"/>
              <w:right w:val="nil"/>
            </w:tcBorders>
            <w:vAlign w:val="center"/>
            <w:hideMark/>
          </w:tcPr>
          <w:p w14:paraId="33C47CFB" w14:textId="77777777" w:rsidR="00AE7FA9" w:rsidRPr="00EF3CD0" w:rsidRDefault="00AE7FA9" w:rsidP="00AE7FA9">
            <w:pPr>
              <w:spacing w:before="0" w:after="0"/>
              <w:ind w:left="0"/>
              <w:jc w:val="left"/>
              <w:rPr>
                <w:rFonts w:cs="Calibri"/>
                <w:b/>
                <w:bCs/>
                <w:sz w:val="16"/>
                <w:szCs w:val="16"/>
              </w:rPr>
            </w:pPr>
            <w:r w:rsidRPr="00EF3CD0">
              <w:rPr>
                <w:rFonts w:cs="Calibri"/>
                <w:b/>
                <w:bCs/>
                <w:sz w:val="16"/>
                <w:szCs w:val="16"/>
              </w:rPr>
              <w:t> </w:t>
            </w:r>
          </w:p>
        </w:tc>
        <w:tc>
          <w:tcPr>
            <w:tcW w:w="380" w:type="dxa"/>
            <w:tcBorders>
              <w:top w:val="nil"/>
              <w:left w:val="nil"/>
              <w:bottom w:val="dashed" w:sz="4" w:space="0" w:color="auto"/>
              <w:right w:val="nil"/>
            </w:tcBorders>
            <w:vAlign w:val="center"/>
            <w:hideMark/>
          </w:tcPr>
          <w:p w14:paraId="13FB6E92" w14:textId="77777777" w:rsidR="00AE7FA9" w:rsidRPr="00EF3CD0" w:rsidRDefault="00AE7FA9" w:rsidP="00AE7FA9">
            <w:pPr>
              <w:spacing w:before="0" w:after="0"/>
              <w:ind w:left="0"/>
              <w:jc w:val="left"/>
              <w:rPr>
                <w:rFonts w:cs="Calibri"/>
                <w:b/>
                <w:bCs/>
                <w:sz w:val="16"/>
                <w:szCs w:val="16"/>
              </w:rPr>
            </w:pPr>
            <w:r w:rsidRPr="00EF3CD0">
              <w:rPr>
                <w:rFonts w:cs="Calibri"/>
                <w:b/>
                <w:bCs/>
                <w:sz w:val="16"/>
                <w:szCs w:val="16"/>
              </w:rPr>
              <w:t> </w:t>
            </w:r>
          </w:p>
        </w:tc>
        <w:tc>
          <w:tcPr>
            <w:tcW w:w="347" w:type="dxa"/>
            <w:tcBorders>
              <w:top w:val="nil"/>
              <w:left w:val="nil"/>
              <w:bottom w:val="dashed" w:sz="4" w:space="0" w:color="auto"/>
              <w:right w:val="nil"/>
            </w:tcBorders>
            <w:vAlign w:val="center"/>
            <w:hideMark/>
          </w:tcPr>
          <w:p w14:paraId="2FCD9229" w14:textId="77777777" w:rsidR="00AE7FA9" w:rsidRPr="00EF3CD0" w:rsidRDefault="00AE7FA9" w:rsidP="00AE7FA9">
            <w:pPr>
              <w:spacing w:before="0" w:after="0"/>
              <w:ind w:left="0"/>
              <w:jc w:val="left"/>
              <w:rPr>
                <w:rFonts w:cs="Calibri"/>
                <w:b/>
                <w:bCs/>
                <w:sz w:val="16"/>
                <w:szCs w:val="16"/>
              </w:rPr>
            </w:pPr>
            <w:r w:rsidRPr="00EF3CD0">
              <w:rPr>
                <w:rFonts w:cs="Calibri"/>
                <w:b/>
                <w:bCs/>
                <w:sz w:val="16"/>
                <w:szCs w:val="16"/>
              </w:rPr>
              <w:t> </w:t>
            </w:r>
          </w:p>
        </w:tc>
        <w:tc>
          <w:tcPr>
            <w:tcW w:w="800" w:type="dxa"/>
            <w:tcBorders>
              <w:top w:val="nil"/>
              <w:left w:val="nil"/>
              <w:bottom w:val="dashed" w:sz="4" w:space="0" w:color="auto"/>
              <w:right w:val="nil"/>
            </w:tcBorders>
            <w:vAlign w:val="center"/>
            <w:hideMark/>
          </w:tcPr>
          <w:p w14:paraId="7C6CEE6E" w14:textId="77777777" w:rsidR="00AE7FA9" w:rsidRPr="00EF3CD0" w:rsidRDefault="00AE7FA9" w:rsidP="00AE7FA9">
            <w:pPr>
              <w:spacing w:before="0" w:after="0"/>
              <w:ind w:left="0"/>
              <w:jc w:val="left"/>
              <w:rPr>
                <w:rFonts w:cs="Calibri"/>
                <w:b/>
                <w:bCs/>
                <w:sz w:val="16"/>
                <w:szCs w:val="16"/>
              </w:rPr>
            </w:pPr>
            <w:r w:rsidRPr="00EF3CD0">
              <w:rPr>
                <w:rFonts w:cs="Calibri"/>
                <w:b/>
                <w:bCs/>
                <w:sz w:val="16"/>
                <w:szCs w:val="16"/>
              </w:rPr>
              <w:t> </w:t>
            </w:r>
          </w:p>
        </w:tc>
      </w:tr>
      <w:tr w:rsidR="00AE7FA9" w:rsidRPr="00EF3CD0" w14:paraId="7076300B" w14:textId="77777777" w:rsidTr="00F937DD">
        <w:trPr>
          <w:trHeight w:val="210"/>
        </w:trPr>
        <w:tc>
          <w:tcPr>
            <w:tcW w:w="8936" w:type="dxa"/>
            <w:gridSpan w:val="13"/>
            <w:tcBorders>
              <w:top w:val="dashed" w:sz="4" w:space="0" w:color="auto"/>
              <w:left w:val="nil"/>
              <w:bottom w:val="dashed" w:sz="4" w:space="0" w:color="auto"/>
              <w:right w:val="nil"/>
            </w:tcBorders>
            <w:vAlign w:val="center"/>
            <w:hideMark/>
          </w:tcPr>
          <w:p w14:paraId="049C04F0" w14:textId="77777777" w:rsidR="00AE7FA9" w:rsidRPr="00EF3CD0" w:rsidRDefault="00AE7FA9" w:rsidP="00AE7FA9">
            <w:pPr>
              <w:spacing w:before="0" w:after="0"/>
              <w:ind w:left="0"/>
              <w:jc w:val="left"/>
              <w:rPr>
                <w:rFonts w:cs="Calibri"/>
                <w:b/>
                <w:bCs/>
                <w:i/>
                <w:iCs/>
                <w:sz w:val="16"/>
                <w:szCs w:val="16"/>
              </w:rPr>
            </w:pPr>
            <w:r w:rsidRPr="00EF3CD0">
              <w:rPr>
                <w:rFonts w:cs="Calibri"/>
                <w:b/>
                <w:bCs/>
                <w:i/>
                <w:iCs/>
                <w:sz w:val="16"/>
                <w:szCs w:val="16"/>
              </w:rPr>
              <w:t>Plochy veřejných prostranství</w:t>
            </w:r>
          </w:p>
        </w:tc>
      </w:tr>
      <w:tr w:rsidR="00AE7FA9" w:rsidRPr="00EF3CD0" w14:paraId="79DC1922" w14:textId="77777777" w:rsidTr="00F937DD">
        <w:trPr>
          <w:trHeight w:val="210"/>
        </w:trPr>
        <w:tc>
          <w:tcPr>
            <w:tcW w:w="8936" w:type="dxa"/>
            <w:gridSpan w:val="13"/>
            <w:tcBorders>
              <w:top w:val="dashed" w:sz="4" w:space="0" w:color="auto"/>
              <w:left w:val="nil"/>
              <w:bottom w:val="dashed" w:sz="4" w:space="0" w:color="auto"/>
              <w:right w:val="nil"/>
            </w:tcBorders>
            <w:vAlign w:val="center"/>
            <w:hideMark/>
          </w:tcPr>
          <w:p w14:paraId="011E136E" w14:textId="77777777" w:rsidR="00AE7FA9" w:rsidRPr="00EF3CD0" w:rsidRDefault="00AE7FA9" w:rsidP="00AE7FA9">
            <w:pPr>
              <w:spacing w:before="0" w:after="0"/>
              <w:ind w:left="0"/>
              <w:jc w:val="left"/>
              <w:rPr>
                <w:rFonts w:cs="Calibri"/>
                <w:b/>
                <w:bCs/>
                <w:i/>
                <w:iCs/>
                <w:sz w:val="16"/>
                <w:szCs w:val="16"/>
              </w:rPr>
            </w:pPr>
            <w:r w:rsidRPr="00EF3CD0">
              <w:rPr>
                <w:rFonts w:cs="Calibri"/>
                <w:b/>
                <w:bCs/>
                <w:i/>
                <w:iCs/>
                <w:sz w:val="16"/>
                <w:szCs w:val="16"/>
              </w:rPr>
              <w:t>plochy transformační</w:t>
            </w:r>
          </w:p>
        </w:tc>
      </w:tr>
      <w:tr w:rsidR="00AE7FA9" w:rsidRPr="00EF3CD0" w14:paraId="23D2ABDF" w14:textId="77777777" w:rsidTr="00F937DD">
        <w:trPr>
          <w:trHeight w:val="210"/>
        </w:trPr>
        <w:tc>
          <w:tcPr>
            <w:tcW w:w="1078" w:type="dxa"/>
            <w:tcBorders>
              <w:top w:val="nil"/>
              <w:left w:val="nil"/>
              <w:bottom w:val="dashed" w:sz="4" w:space="0" w:color="auto"/>
              <w:right w:val="nil"/>
            </w:tcBorders>
            <w:noWrap/>
            <w:vAlign w:val="bottom"/>
            <w:hideMark/>
          </w:tcPr>
          <w:p w14:paraId="0BBD13B5" w14:textId="77777777" w:rsidR="00AE7FA9" w:rsidRPr="00EF3CD0" w:rsidRDefault="00AE7FA9" w:rsidP="00AE7FA9">
            <w:pPr>
              <w:spacing w:before="0" w:after="0"/>
              <w:ind w:left="0"/>
              <w:jc w:val="left"/>
              <w:rPr>
                <w:rFonts w:cs="Calibri"/>
                <w:sz w:val="16"/>
                <w:szCs w:val="16"/>
              </w:rPr>
            </w:pPr>
            <w:r w:rsidRPr="00EF3CD0">
              <w:rPr>
                <w:rFonts w:cs="Calibri"/>
                <w:sz w:val="16"/>
                <w:szCs w:val="16"/>
              </w:rPr>
              <w:t>T.03-1</w:t>
            </w:r>
          </w:p>
        </w:tc>
        <w:tc>
          <w:tcPr>
            <w:tcW w:w="1184" w:type="dxa"/>
            <w:tcBorders>
              <w:top w:val="nil"/>
              <w:left w:val="nil"/>
              <w:bottom w:val="dashed" w:sz="4" w:space="0" w:color="auto"/>
              <w:right w:val="nil"/>
            </w:tcBorders>
            <w:noWrap/>
            <w:vAlign w:val="bottom"/>
            <w:hideMark/>
          </w:tcPr>
          <w:p w14:paraId="6FA9CA69" w14:textId="77777777" w:rsidR="00AE7FA9" w:rsidRPr="00EF3CD0" w:rsidRDefault="00AE7FA9" w:rsidP="00AE7FA9">
            <w:pPr>
              <w:spacing w:before="0" w:after="0"/>
              <w:ind w:left="0"/>
              <w:jc w:val="left"/>
              <w:rPr>
                <w:rFonts w:cs="Calibri"/>
                <w:sz w:val="16"/>
                <w:szCs w:val="16"/>
              </w:rPr>
            </w:pPr>
            <w:r w:rsidRPr="00EF3CD0">
              <w:rPr>
                <w:rFonts w:cs="Calibri"/>
                <w:sz w:val="16"/>
                <w:szCs w:val="16"/>
              </w:rPr>
              <w:t>PU</w:t>
            </w:r>
          </w:p>
        </w:tc>
        <w:tc>
          <w:tcPr>
            <w:tcW w:w="587" w:type="dxa"/>
            <w:tcBorders>
              <w:top w:val="nil"/>
              <w:left w:val="nil"/>
              <w:bottom w:val="dashed" w:sz="4" w:space="0" w:color="auto"/>
              <w:right w:val="nil"/>
            </w:tcBorders>
            <w:noWrap/>
            <w:vAlign w:val="bottom"/>
            <w:hideMark/>
          </w:tcPr>
          <w:p w14:paraId="5FC71F2B" w14:textId="77777777" w:rsidR="00AE7FA9" w:rsidRPr="00EF3CD0" w:rsidRDefault="00AE7FA9" w:rsidP="00AE7FA9">
            <w:pPr>
              <w:spacing w:before="0" w:after="0"/>
              <w:ind w:left="0"/>
              <w:jc w:val="right"/>
              <w:rPr>
                <w:rFonts w:cs="Calibri"/>
                <w:b/>
                <w:bCs/>
                <w:sz w:val="16"/>
                <w:szCs w:val="16"/>
              </w:rPr>
            </w:pPr>
            <w:r w:rsidRPr="00EF3CD0">
              <w:rPr>
                <w:rFonts w:cs="Calibri"/>
                <w:b/>
                <w:bCs/>
                <w:sz w:val="16"/>
                <w:szCs w:val="16"/>
              </w:rPr>
              <w:t>0,027</w:t>
            </w:r>
          </w:p>
        </w:tc>
        <w:tc>
          <w:tcPr>
            <w:tcW w:w="580" w:type="dxa"/>
            <w:tcBorders>
              <w:top w:val="nil"/>
              <w:left w:val="nil"/>
              <w:bottom w:val="dashed" w:sz="4" w:space="0" w:color="auto"/>
              <w:right w:val="nil"/>
            </w:tcBorders>
            <w:noWrap/>
            <w:vAlign w:val="bottom"/>
            <w:hideMark/>
          </w:tcPr>
          <w:p w14:paraId="7503ACBA" w14:textId="77777777" w:rsidR="00AE7FA9" w:rsidRPr="00EF3CD0" w:rsidRDefault="00AE7FA9" w:rsidP="00AE7FA9">
            <w:pPr>
              <w:spacing w:before="0" w:after="0"/>
              <w:ind w:left="0"/>
              <w:jc w:val="center"/>
              <w:rPr>
                <w:rFonts w:cs="Calibri"/>
                <w:sz w:val="16"/>
                <w:szCs w:val="16"/>
              </w:rPr>
            </w:pPr>
            <w:r w:rsidRPr="00EF3CD0">
              <w:rPr>
                <w:rFonts w:cs="Calibri"/>
                <w:sz w:val="16"/>
                <w:szCs w:val="16"/>
              </w:rPr>
              <w:t>-</w:t>
            </w:r>
          </w:p>
        </w:tc>
        <w:tc>
          <w:tcPr>
            <w:tcW w:w="760" w:type="dxa"/>
            <w:tcBorders>
              <w:top w:val="nil"/>
              <w:left w:val="nil"/>
              <w:bottom w:val="dashed" w:sz="4" w:space="0" w:color="auto"/>
              <w:right w:val="nil"/>
            </w:tcBorders>
            <w:noWrap/>
            <w:vAlign w:val="bottom"/>
            <w:hideMark/>
          </w:tcPr>
          <w:p w14:paraId="2906624B" w14:textId="77777777" w:rsidR="00AE7FA9" w:rsidRPr="00EF3CD0" w:rsidRDefault="00AE7FA9" w:rsidP="00AE7FA9">
            <w:pPr>
              <w:spacing w:before="0" w:after="0"/>
              <w:ind w:left="0"/>
              <w:jc w:val="center"/>
              <w:rPr>
                <w:rFonts w:cs="Calibri"/>
                <w:sz w:val="16"/>
                <w:szCs w:val="16"/>
              </w:rPr>
            </w:pPr>
            <w:r w:rsidRPr="00EF3CD0">
              <w:rPr>
                <w:rFonts w:cs="Calibri"/>
                <w:sz w:val="16"/>
                <w:szCs w:val="16"/>
              </w:rPr>
              <w:t>-</w:t>
            </w:r>
          </w:p>
        </w:tc>
        <w:tc>
          <w:tcPr>
            <w:tcW w:w="580" w:type="dxa"/>
            <w:tcBorders>
              <w:top w:val="nil"/>
              <w:left w:val="nil"/>
              <w:bottom w:val="dashed" w:sz="4" w:space="0" w:color="auto"/>
              <w:right w:val="nil"/>
            </w:tcBorders>
            <w:noWrap/>
            <w:vAlign w:val="bottom"/>
            <w:hideMark/>
          </w:tcPr>
          <w:p w14:paraId="74F5A17F" w14:textId="77777777" w:rsidR="00AE7FA9" w:rsidRPr="00EF3CD0" w:rsidRDefault="00AE7FA9" w:rsidP="00AE7FA9">
            <w:pPr>
              <w:spacing w:before="0" w:after="0"/>
              <w:ind w:left="0"/>
              <w:jc w:val="center"/>
              <w:rPr>
                <w:rFonts w:cs="Calibri"/>
                <w:sz w:val="16"/>
                <w:szCs w:val="16"/>
              </w:rPr>
            </w:pPr>
            <w:r w:rsidRPr="00EF3CD0">
              <w:rPr>
                <w:rFonts w:cs="Calibri"/>
                <w:sz w:val="16"/>
                <w:szCs w:val="16"/>
              </w:rPr>
              <w:t>-</w:t>
            </w:r>
          </w:p>
        </w:tc>
        <w:tc>
          <w:tcPr>
            <w:tcW w:w="640" w:type="dxa"/>
            <w:tcBorders>
              <w:top w:val="nil"/>
              <w:left w:val="nil"/>
              <w:bottom w:val="dashed" w:sz="4" w:space="0" w:color="auto"/>
              <w:right w:val="nil"/>
            </w:tcBorders>
            <w:noWrap/>
            <w:vAlign w:val="bottom"/>
            <w:hideMark/>
          </w:tcPr>
          <w:p w14:paraId="0E418591" w14:textId="77777777" w:rsidR="00AE7FA9" w:rsidRPr="00EF3CD0" w:rsidRDefault="00AE7FA9" w:rsidP="00AE7FA9">
            <w:pPr>
              <w:spacing w:before="0" w:after="0"/>
              <w:ind w:left="0"/>
              <w:jc w:val="center"/>
              <w:rPr>
                <w:rFonts w:cs="Calibri"/>
                <w:sz w:val="16"/>
                <w:szCs w:val="16"/>
              </w:rPr>
            </w:pPr>
            <w:r w:rsidRPr="00EF3CD0">
              <w:rPr>
                <w:rFonts w:cs="Calibri"/>
                <w:sz w:val="16"/>
                <w:szCs w:val="16"/>
              </w:rPr>
              <w:t>-</w:t>
            </w:r>
          </w:p>
        </w:tc>
        <w:tc>
          <w:tcPr>
            <w:tcW w:w="720" w:type="dxa"/>
            <w:tcBorders>
              <w:top w:val="nil"/>
              <w:left w:val="nil"/>
              <w:bottom w:val="dashed" w:sz="4" w:space="0" w:color="auto"/>
              <w:right w:val="nil"/>
            </w:tcBorders>
            <w:noWrap/>
            <w:vAlign w:val="bottom"/>
            <w:hideMark/>
          </w:tcPr>
          <w:p w14:paraId="02ADCC0B" w14:textId="77777777" w:rsidR="00AE7FA9" w:rsidRPr="00EF3CD0" w:rsidRDefault="00AE7FA9" w:rsidP="00AE7FA9">
            <w:pPr>
              <w:spacing w:before="0" w:after="0"/>
              <w:ind w:left="0"/>
              <w:jc w:val="right"/>
              <w:rPr>
                <w:rFonts w:cs="Calibri"/>
                <w:sz w:val="16"/>
                <w:szCs w:val="16"/>
              </w:rPr>
            </w:pPr>
            <w:r w:rsidRPr="00EF3CD0">
              <w:rPr>
                <w:rFonts w:cs="Calibri"/>
                <w:sz w:val="16"/>
                <w:szCs w:val="16"/>
              </w:rPr>
              <w:t>0,027</w:t>
            </w:r>
          </w:p>
        </w:tc>
        <w:tc>
          <w:tcPr>
            <w:tcW w:w="860" w:type="dxa"/>
            <w:tcBorders>
              <w:top w:val="nil"/>
              <w:left w:val="nil"/>
              <w:bottom w:val="dashed" w:sz="4" w:space="0" w:color="auto"/>
              <w:right w:val="nil"/>
            </w:tcBorders>
            <w:noWrap/>
            <w:vAlign w:val="bottom"/>
            <w:hideMark/>
          </w:tcPr>
          <w:p w14:paraId="60797698" w14:textId="77777777" w:rsidR="00AE7FA9" w:rsidRPr="00EF3CD0" w:rsidRDefault="00AE7FA9" w:rsidP="00AE7FA9">
            <w:pPr>
              <w:spacing w:before="0" w:after="0"/>
              <w:ind w:left="0"/>
              <w:jc w:val="center"/>
              <w:rPr>
                <w:rFonts w:cs="Calibri"/>
                <w:sz w:val="16"/>
                <w:szCs w:val="16"/>
              </w:rPr>
            </w:pPr>
            <w:r w:rsidRPr="00EF3CD0">
              <w:rPr>
                <w:rFonts w:cs="Calibri"/>
                <w:sz w:val="16"/>
                <w:szCs w:val="16"/>
              </w:rPr>
              <w:t>-</w:t>
            </w:r>
          </w:p>
        </w:tc>
        <w:tc>
          <w:tcPr>
            <w:tcW w:w="420" w:type="dxa"/>
            <w:tcBorders>
              <w:top w:val="nil"/>
              <w:left w:val="nil"/>
              <w:bottom w:val="dashed" w:sz="4" w:space="0" w:color="auto"/>
              <w:right w:val="nil"/>
            </w:tcBorders>
            <w:noWrap/>
            <w:vAlign w:val="bottom"/>
            <w:hideMark/>
          </w:tcPr>
          <w:p w14:paraId="2EC792B1" w14:textId="77777777" w:rsidR="00AE7FA9" w:rsidRPr="00EF3CD0" w:rsidRDefault="00AE7FA9" w:rsidP="00AE7FA9">
            <w:pPr>
              <w:spacing w:before="0" w:after="0"/>
              <w:ind w:left="0"/>
              <w:jc w:val="center"/>
              <w:rPr>
                <w:rFonts w:cs="Calibri"/>
                <w:sz w:val="16"/>
                <w:szCs w:val="16"/>
              </w:rPr>
            </w:pPr>
            <w:r w:rsidRPr="00EF3CD0">
              <w:rPr>
                <w:rFonts w:cs="Calibri"/>
                <w:sz w:val="16"/>
                <w:szCs w:val="16"/>
              </w:rPr>
              <w:t>-</w:t>
            </w:r>
          </w:p>
        </w:tc>
        <w:tc>
          <w:tcPr>
            <w:tcW w:w="380" w:type="dxa"/>
            <w:tcBorders>
              <w:top w:val="nil"/>
              <w:left w:val="nil"/>
              <w:bottom w:val="dashed" w:sz="4" w:space="0" w:color="auto"/>
              <w:right w:val="nil"/>
            </w:tcBorders>
            <w:noWrap/>
            <w:vAlign w:val="bottom"/>
            <w:hideMark/>
          </w:tcPr>
          <w:p w14:paraId="3953693E" w14:textId="77777777" w:rsidR="00AE7FA9" w:rsidRPr="00EF3CD0" w:rsidRDefault="00AE7FA9" w:rsidP="00AE7FA9">
            <w:pPr>
              <w:spacing w:before="0" w:after="0"/>
              <w:ind w:left="0"/>
              <w:jc w:val="center"/>
              <w:rPr>
                <w:rFonts w:cs="Calibri"/>
                <w:sz w:val="16"/>
                <w:szCs w:val="16"/>
              </w:rPr>
            </w:pPr>
            <w:r w:rsidRPr="00EF3CD0">
              <w:rPr>
                <w:rFonts w:cs="Calibri"/>
                <w:sz w:val="16"/>
                <w:szCs w:val="16"/>
              </w:rPr>
              <w:t>-</w:t>
            </w:r>
          </w:p>
        </w:tc>
        <w:tc>
          <w:tcPr>
            <w:tcW w:w="347" w:type="dxa"/>
            <w:tcBorders>
              <w:top w:val="nil"/>
              <w:left w:val="nil"/>
              <w:bottom w:val="dashed" w:sz="4" w:space="0" w:color="auto"/>
              <w:right w:val="nil"/>
            </w:tcBorders>
            <w:noWrap/>
            <w:vAlign w:val="bottom"/>
            <w:hideMark/>
          </w:tcPr>
          <w:p w14:paraId="4FF93A4D" w14:textId="77777777" w:rsidR="00AE7FA9" w:rsidRPr="00EF3CD0" w:rsidRDefault="00AE7FA9" w:rsidP="00AE7FA9">
            <w:pPr>
              <w:spacing w:before="0" w:after="0"/>
              <w:ind w:left="0"/>
              <w:jc w:val="center"/>
              <w:rPr>
                <w:rFonts w:cs="Calibri"/>
                <w:sz w:val="16"/>
                <w:szCs w:val="16"/>
              </w:rPr>
            </w:pPr>
            <w:r w:rsidRPr="00EF3CD0">
              <w:rPr>
                <w:rFonts w:cs="Calibri"/>
                <w:sz w:val="16"/>
                <w:szCs w:val="16"/>
              </w:rPr>
              <w:t>-</w:t>
            </w:r>
          </w:p>
        </w:tc>
        <w:tc>
          <w:tcPr>
            <w:tcW w:w="800" w:type="dxa"/>
            <w:tcBorders>
              <w:top w:val="nil"/>
              <w:left w:val="nil"/>
              <w:bottom w:val="dashed" w:sz="4" w:space="0" w:color="auto"/>
              <w:right w:val="nil"/>
            </w:tcBorders>
            <w:noWrap/>
            <w:vAlign w:val="bottom"/>
            <w:hideMark/>
          </w:tcPr>
          <w:p w14:paraId="273E8074" w14:textId="77777777" w:rsidR="00AE7FA9" w:rsidRPr="00EF3CD0" w:rsidRDefault="00AE7FA9" w:rsidP="00AE7FA9">
            <w:pPr>
              <w:spacing w:before="0" w:after="0"/>
              <w:ind w:left="0"/>
              <w:jc w:val="center"/>
              <w:rPr>
                <w:rFonts w:cs="Calibri"/>
                <w:sz w:val="16"/>
                <w:szCs w:val="16"/>
              </w:rPr>
            </w:pPr>
            <w:r w:rsidRPr="00EF3CD0">
              <w:rPr>
                <w:rFonts w:cs="Calibri"/>
                <w:sz w:val="16"/>
                <w:szCs w:val="16"/>
              </w:rPr>
              <w:t>-</w:t>
            </w:r>
          </w:p>
        </w:tc>
      </w:tr>
      <w:tr w:rsidR="00AE7FA9" w:rsidRPr="00EF3CD0" w14:paraId="6CC857C6" w14:textId="77777777" w:rsidTr="00F937DD">
        <w:trPr>
          <w:trHeight w:val="210"/>
        </w:trPr>
        <w:tc>
          <w:tcPr>
            <w:tcW w:w="1078" w:type="dxa"/>
            <w:tcBorders>
              <w:top w:val="nil"/>
              <w:left w:val="nil"/>
              <w:bottom w:val="dashed" w:sz="4" w:space="0" w:color="auto"/>
              <w:right w:val="nil"/>
            </w:tcBorders>
            <w:noWrap/>
            <w:vAlign w:val="bottom"/>
            <w:hideMark/>
          </w:tcPr>
          <w:p w14:paraId="641859A9" w14:textId="77777777" w:rsidR="00AE7FA9" w:rsidRPr="00EF3CD0" w:rsidRDefault="00AE7FA9" w:rsidP="00AE7FA9">
            <w:pPr>
              <w:spacing w:before="0" w:after="0"/>
              <w:ind w:left="0"/>
              <w:jc w:val="left"/>
              <w:rPr>
                <w:rFonts w:cs="Calibri"/>
                <w:sz w:val="16"/>
                <w:szCs w:val="16"/>
              </w:rPr>
            </w:pPr>
            <w:r w:rsidRPr="00EF3CD0">
              <w:rPr>
                <w:rFonts w:cs="Calibri"/>
                <w:sz w:val="16"/>
                <w:szCs w:val="16"/>
              </w:rPr>
              <w:t>T.09-1</w:t>
            </w:r>
          </w:p>
        </w:tc>
        <w:tc>
          <w:tcPr>
            <w:tcW w:w="1184" w:type="dxa"/>
            <w:tcBorders>
              <w:top w:val="nil"/>
              <w:left w:val="nil"/>
              <w:bottom w:val="dashed" w:sz="4" w:space="0" w:color="auto"/>
              <w:right w:val="nil"/>
            </w:tcBorders>
            <w:noWrap/>
            <w:vAlign w:val="bottom"/>
            <w:hideMark/>
          </w:tcPr>
          <w:p w14:paraId="15348575" w14:textId="77777777" w:rsidR="00AE7FA9" w:rsidRPr="00EF3CD0" w:rsidRDefault="00AE7FA9" w:rsidP="00AE7FA9">
            <w:pPr>
              <w:spacing w:before="0" w:after="0"/>
              <w:ind w:left="0"/>
              <w:jc w:val="left"/>
              <w:rPr>
                <w:rFonts w:cs="Calibri"/>
                <w:sz w:val="16"/>
                <w:szCs w:val="16"/>
              </w:rPr>
            </w:pPr>
            <w:r w:rsidRPr="00EF3CD0">
              <w:rPr>
                <w:rFonts w:cs="Calibri"/>
                <w:sz w:val="16"/>
                <w:szCs w:val="16"/>
              </w:rPr>
              <w:t>PU</w:t>
            </w:r>
          </w:p>
        </w:tc>
        <w:tc>
          <w:tcPr>
            <w:tcW w:w="587" w:type="dxa"/>
            <w:tcBorders>
              <w:top w:val="nil"/>
              <w:left w:val="nil"/>
              <w:bottom w:val="dashed" w:sz="4" w:space="0" w:color="auto"/>
              <w:right w:val="nil"/>
            </w:tcBorders>
            <w:noWrap/>
            <w:vAlign w:val="bottom"/>
            <w:hideMark/>
          </w:tcPr>
          <w:p w14:paraId="1AF0A3E9" w14:textId="77777777" w:rsidR="00AE7FA9" w:rsidRPr="00EF3CD0" w:rsidRDefault="00AE7FA9" w:rsidP="00AE7FA9">
            <w:pPr>
              <w:spacing w:before="0" w:after="0"/>
              <w:ind w:left="0"/>
              <w:jc w:val="right"/>
              <w:rPr>
                <w:rFonts w:cs="Calibri"/>
                <w:b/>
                <w:bCs/>
                <w:sz w:val="16"/>
                <w:szCs w:val="16"/>
              </w:rPr>
            </w:pPr>
            <w:r w:rsidRPr="00EF3CD0">
              <w:rPr>
                <w:rFonts w:cs="Calibri"/>
                <w:b/>
                <w:bCs/>
                <w:sz w:val="16"/>
                <w:szCs w:val="16"/>
              </w:rPr>
              <w:t>0,181</w:t>
            </w:r>
          </w:p>
        </w:tc>
        <w:tc>
          <w:tcPr>
            <w:tcW w:w="580" w:type="dxa"/>
            <w:tcBorders>
              <w:top w:val="nil"/>
              <w:left w:val="nil"/>
              <w:bottom w:val="dashed" w:sz="4" w:space="0" w:color="auto"/>
              <w:right w:val="nil"/>
            </w:tcBorders>
            <w:noWrap/>
            <w:vAlign w:val="bottom"/>
            <w:hideMark/>
          </w:tcPr>
          <w:p w14:paraId="1CCCE349" w14:textId="77777777" w:rsidR="00AE7FA9" w:rsidRPr="00EF3CD0" w:rsidRDefault="00AE7FA9" w:rsidP="00AE7FA9">
            <w:pPr>
              <w:spacing w:before="0" w:after="0"/>
              <w:ind w:left="0"/>
              <w:jc w:val="center"/>
              <w:rPr>
                <w:rFonts w:cs="Calibri"/>
                <w:sz w:val="16"/>
                <w:szCs w:val="16"/>
              </w:rPr>
            </w:pPr>
            <w:r w:rsidRPr="00EF3CD0">
              <w:rPr>
                <w:rFonts w:cs="Calibri"/>
                <w:sz w:val="16"/>
                <w:szCs w:val="16"/>
              </w:rPr>
              <w:t>-</w:t>
            </w:r>
          </w:p>
        </w:tc>
        <w:tc>
          <w:tcPr>
            <w:tcW w:w="760" w:type="dxa"/>
            <w:tcBorders>
              <w:top w:val="nil"/>
              <w:left w:val="nil"/>
              <w:bottom w:val="dashed" w:sz="4" w:space="0" w:color="auto"/>
              <w:right w:val="nil"/>
            </w:tcBorders>
            <w:noWrap/>
            <w:vAlign w:val="bottom"/>
            <w:hideMark/>
          </w:tcPr>
          <w:p w14:paraId="7B381F7D" w14:textId="77777777" w:rsidR="00AE7FA9" w:rsidRPr="00EF3CD0" w:rsidRDefault="00AE7FA9" w:rsidP="00AE7FA9">
            <w:pPr>
              <w:spacing w:before="0" w:after="0"/>
              <w:ind w:left="0"/>
              <w:jc w:val="right"/>
              <w:rPr>
                <w:rFonts w:cs="Calibri"/>
                <w:sz w:val="16"/>
                <w:szCs w:val="16"/>
              </w:rPr>
            </w:pPr>
            <w:r w:rsidRPr="00EF3CD0">
              <w:rPr>
                <w:rFonts w:cs="Calibri"/>
                <w:sz w:val="16"/>
                <w:szCs w:val="16"/>
              </w:rPr>
              <w:t>0,181</w:t>
            </w:r>
          </w:p>
        </w:tc>
        <w:tc>
          <w:tcPr>
            <w:tcW w:w="580" w:type="dxa"/>
            <w:tcBorders>
              <w:top w:val="nil"/>
              <w:left w:val="nil"/>
              <w:bottom w:val="dashed" w:sz="4" w:space="0" w:color="auto"/>
              <w:right w:val="nil"/>
            </w:tcBorders>
            <w:noWrap/>
            <w:vAlign w:val="bottom"/>
            <w:hideMark/>
          </w:tcPr>
          <w:p w14:paraId="331CF28D" w14:textId="77777777" w:rsidR="00AE7FA9" w:rsidRPr="00EF3CD0" w:rsidRDefault="00AE7FA9" w:rsidP="00AE7FA9">
            <w:pPr>
              <w:spacing w:before="0" w:after="0"/>
              <w:ind w:left="0"/>
              <w:jc w:val="center"/>
              <w:rPr>
                <w:rFonts w:cs="Calibri"/>
                <w:sz w:val="16"/>
                <w:szCs w:val="16"/>
              </w:rPr>
            </w:pPr>
            <w:r w:rsidRPr="00EF3CD0">
              <w:rPr>
                <w:rFonts w:cs="Calibri"/>
                <w:sz w:val="16"/>
                <w:szCs w:val="16"/>
              </w:rPr>
              <w:t>-</w:t>
            </w:r>
          </w:p>
        </w:tc>
        <w:tc>
          <w:tcPr>
            <w:tcW w:w="640" w:type="dxa"/>
            <w:tcBorders>
              <w:top w:val="nil"/>
              <w:left w:val="nil"/>
              <w:bottom w:val="dashed" w:sz="4" w:space="0" w:color="auto"/>
              <w:right w:val="nil"/>
            </w:tcBorders>
            <w:noWrap/>
            <w:vAlign w:val="bottom"/>
            <w:hideMark/>
          </w:tcPr>
          <w:p w14:paraId="7891D3AD" w14:textId="77777777" w:rsidR="00AE7FA9" w:rsidRPr="00EF3CD0" w:rsidRDefault="00AE7FA9" w:rsidP="00AE7FA9">
            <w:pPr>
              <w:spacing w:before="0" w:after="0"/>
              <w:ind w:left="0"/>
              <w:jc w:val="center"/>
              <w:rPr>
                <w:rFonts w:cs="Calibri"/>
                <w:sz w:val="16"/>
                <w:szCs w:val="16"/>
              </w:rPr>
            </w:pPr>
            <w:r w:rsidRPr="00EF3CD0">
              <w:rPr>
                <w:rFonts w:cs="Calibri"/>
                <w:sz w:val="16"/>
                <w:szCs w:val="16"/>
              </w:rPr>
              <w:t>-</w:t>
            </w:r>
          </w:p>
        </w:tc>
        <w:tc>
          <w:tcPr>
            <w:tcW w:w="720" w:type="dxa"/>
            <w:tcBorders>
              <w:top w:val="nil"/>
              <w:left w:val="nil"/>
              <w:bottom w:val="dashed" w:sz="4" w:space="0" w:color="auto"/>
              <w:right w:val="nil"/>
            </w:tcBorders>
            <w:noWrap/>
            <w:vAlign w:val="bottom"/>
            <w:hideMark/>
          </w:tcPr>
          <w:p w14:paraId="0D72867E" w14:textId="77777777" w:rsidR="00AE7FA9" w:rsidRPr="00EF3CD0" w:rsidRDefault="00AE7FA9" w:rsidP="00AE7FA9">
            <w:pPr>
              <w:spacing w:before="0" w:after="0"/>
              <w:ind w:left="0"/>
              <w:jc w:val="center"/>
              <w:rPr>
                <w:rFonts w:cs="Calibri"/>
                <w:sz w:val="16"/>
                <w:szCs w:val="16"/>
              </w:rPr>
            </w:pPr>
            <w:r w:rsidRPr="00EF3CD0">
              <w:rPr>
                <w:rFonts w:cs="Calibri"/>
                <w:sz w:val="16"/>
                <w:szCs w:val="16"/>
              </w:rPr>
              <w:t>-</w:t>
            </w:r>
          </w:p>
        </w:tc>
        <w:tc>
          <w:tcPr>
            <w:tcW w:w="860" w:type="dxa"/>
            <w:tcBorders>
              <w:top w:val="nil"/>
              <w:left w:val="nil"/>
              <w:bottom w:val="dashed" w:sz="4" w:space="0" w:color="auto"/>
              <w:right w:val="nil"/>
            </w:tcBorders>
            <w:noWrap/>
            <w:vAlign w:val="bottom"/>
            <w:hideMark/>
          </w:tcPr>
          <w:p w14:paraId="7D9E3FF3" w14:textId="77777777" w:rsidR="00AE7FA9" w:rsidRPr="00EF3CD0" w:rsidRDefault="00AE7FA9" w:rsidP="00AE7FA9">
            <w:pPr>
              <w:spacing w:before="0" w:after="0"/>
              <w:ind w:left="0"/>
              <w:jc w:val="center"/>
              <w:rPr>
                <w:rFonts w:cs="Calibri"/>
                <w:sz w:val="16"/>
                <w:szCs w:val="16"/>
              </w:rPr>
            </w:pPr>
            <w:r w:rsidRPr="00EF3CD0">
              <w:rPr>
                <w:rFonts w:cs="Calibri"/>
                <w:sz w:val="16"/>
                <w:szCs w:val="16"/>
              </w:rPr>
              <w:t>-</w:t>
            </w:r>
          </w:p>
        </w:tc>
        <w:tc>
          <w:tcPr>
            <w:tcW w:w="420" w:type="dxa"/>
            <w:tcBorders>
              <w:top w:val="nil"/>
              <w:left w:val="nil"/>
              <w:bottom w:val="dashed" w:sz="4" w:space="0" w:color="auto"/>
              <w:right w:val="nil"/>
            </w:tcBorders>
            <w:noWrap/>
            <w:vAlign w:val="bottom"/>
            <w:hideMark/>
          </w:tcPr>
          <w:p w14:paraId="3B08459D" w14:textId="77777777" w:rsidR="00AE7FA9" w:rsidRPr="00EF3CD0" w:rsidRDefault="00AE7FA9" w:rsidP="00AE7FA9">
            <w:pPr>
              <w:spacing w:before="0" w:after="0"/>
              <w:ind w:left="0"/>
              <w:jc w:val="center"/>
              <w:rPr>
                <w:rFonts w:cs="Calibri"/>
                <w:sz w:val="16"/>
                <w:szCs w:val="16"/>
              </w:rPr>
            </w:pPr>
            <w:r w:rsidRPr="00EF3CD0">
              <w:rPr>
                <w:rFonts w:cs="Calibri"/>
                <w:sz w:val="16"/>
                <w:szCs w:val="16"/>
              </w:rPr>
              <w:t>-</w:t>
            </w:r>
          </w:p>
        </w:tc>
        <w:tc>
          <w:tcPr>
            <w:tcW w:w="380" w:type="dxa"/>
            <w:tcBorders>
              <w:top w:val="nil"/>
              <w:left w:val="nil"/>
              <w:bottom w:val="dashed" w:sz="4" w:space="0" w:color="auto"/>
              <w:right w:val="nil"/>
            </w:tcBorders>
            <w:noWrap/>
            <w:vAlign w:val="bottom"/>
            <w:hideMark/>
          </w:tcPr>
          <w:p w14:paraId="47636716" w14:textId="77777777" w:rsidR="00AE7FA9" w:rsidRPr="00EF3CD0" w:rsidRDefault="00AE7FA9" w:rsidP="00AE7FA9">
            <w:pPr>
              <w:spacing w:before="0" w:after="0"/>
              <w:ind w:left="0"/>
              <w:jc w:val="center"/>
              <w:rPr>
                <w:rFonts w:cs="Calibri"/>
                <w:sz w:val="16"/>
                <w:szCs w:val="16"/>
              </w:rPr>
            </w:pPr>
            <w:r w:rsidRPr="00EF3CD0">
              <w:rPr>
                <w:rFonts w:cs="Calibri"/>
                <w:sz w:val="16"/>
                <w:szCs w:val="16"/>
              </w:rPr>
              <w:t>-</w:t>
            </w:r>
          </w:p>
        </w:tc>
        <w:tc>
          <w:tcPr>
            <w:tcW w:w="347" w:type="dxa"/>
            <w:tcBorders>
              <w:top w:val="nil"/>
              <w:left w:val="nil"/>
              <w:bottom w:val="dashed" w:sz="4" w:space="0" w:color="auto"/>
              <w:right w:val="nil"/>
            </w:tcBorders>
            <w:noWrap/>
            <w:vAlign w:val="bottom"/>
            <w:hideMark/>
          </w:tcPr>
          <w:p w14:paraId="4B7682AB" w14:textId="77777777" w:rsidR="00AE7FA9" w:rsidRPr="00EF3CD0" w:rsidRDefault="00AE7FA9" w:rsidP="00AE7FA9">
            <w:pPr>
              <w:spacing w:before="0" w:after="0"/>
              <w:ind w:left="0"/>
              <w:jc w:val="center"/>
              <w:rPr>
                <w:rFonts w:cs="Calibri"/>
                <w:sz w:val="16"/>
                <w:szCs w:val="16"/>
              </w:rPr>
            </w:pPr>
            <w:r w:rsidRPr="00EF3CD0">
              <w:rPr>
                <w:rFonts w:cs="Calibri"/>
                <w:sz w:val="16"/>
                <w:szCs w:val="16"/>
              </w:rPr>
              <w:t>-</w:t>
            </w:r>
          </w:p>
        </w:tc>
        <w:tc>
          <w:tcPr>
            <w:tcW w:w="800" w:type="dxa"/>
            <w:tcBorders>
              <w:top w:val="nil"/>
              <w:left w:val="nil"/>
              <w:bottom w:val="dashed" w:sz="4" w:space="0" w:color="auto"/>
              <w:right w:val="nil"/>
            </w:tcBorders>
            <w:noWrap/>
            <w:vAlign w:val="bottom"/>
            <w:hideMark/>
          </w:tcPr>
          <w:p w14:paraId="1C7FC57F" w14:textId="77777777" w:rsidR="00AE7FA9" w:rsidRPr="00EF3CD0" w:rsidRDefault="00AE7FA9" w:rsidP="00AE7FA9">
            <w:pPr>
              <w:spacing w:before="0" w:after="0"/>
              <w:ind w:left="0"/>
              <w:jc w:val="center"/>
              <w:rPr>
                <w:rFonts w:cs="Calibri"/>
                <w:sz w:val="16"/>
                <w:szCs w:val="16"/>
              </w:rPr>
            </w:pPr>
            <w:r w:rsidRPr="00EF3CD0">
              <w:rPr>
                <w:rFonts w:cs="Calibri"/>
                <w:sz w:val="16"/>
                <w:szCs w:val="16"/>
              </w:rPr>
              <w:t>-</w:t>
            </w:r>
          </w:p>
        </w:tc>
      </w:tr>
      <w:tr w:rsidR="003A4D1C" w:rsidRPr="00EF3CD0" w14:paraId="333EE380" w14:textId="77777777" w:rsidTr="00F937DD">
        <w:trPr>
          <w:trHeight w:val="210"/>
        </w:trPr>
        <w:tc>
          <w:tcPr>
            <w:tcW w:w="2262" w:type="dxa"/>
            <w:gridSpan w:val="2"/>
            <w:tcBorders>
              <w:top w:val="nil"/>
              <w:left w:val="nil"/>
              <w:bottom w:val="dashed" w:sz="4" w:space="0" w:color="auto"/>
              <w:right w:val="nil"/>
            </w:tcBorders>
            <w:noWrap/>
            <w:vAlign w:val="bottom"/>
          </w:tcPr>
          <w:p w14:paraId="1B64EC12" w14:textId="3372BB3D" w:rsidR="003A4D1C" w:rsidRPr="00EF3CD0" w:rsidRDefault="003A4D1C" w:rsidP="003A4D1C">
            <w:pPr>
              <w:spacing w:before="0" w:after="0"/>
              <w:ind w:left="0"/>
              <w:jc w:val="left"/>
              <w:rPr>
                <w:rFonts w:cs="Calibri"/>
                <w:sz w:val="16"/>
                <w:szCs w:val="16"/>
              </w:rPr>
            </w:pPr>
            <w:r>
              <w:rPr>
                <w:rFonts w:cs="Calibri"/>
                <w:b/>
                <w:bCs/>
                <w:i/>
                <w:iCs/>
                <w:sz w:val="16"/>
                <w:szCs w:val="16"/>
              </w:rPr>
              <w:t>p</w:t>
            </w:r>
            <w:r w:rsidRPr="00EF3CD0">
              <w:rPr>
                <w:rFonts w:cs="Calibri"/>
                <w:b/>
                <w:bCs/>
                <w:i/>
                <w:iCs/>
                <w:sz w:val="16"/>
                <w:szCs w:val="16"/>
              </w:rPr>
              <w:t>lochy veřejných prostranství celkem</w:t>
            </w:r>
          </w:p>
        </w:tc>
        <w:tc>
          <w:tcPr>
            <w:tcW w:w="587" w:type="dxa"/>
            <w:tcBorders>
              <w:top w:val="nil"/>
              <w:left w:val="nil"/>
              <w:bottom w:val="dashed" w:sz="4" w:space="0" w:color="auto"/>
              <w:right w:val="nil"/>
            </w:tcBorders>
            <w:noWrap/>
            <w:vAlign w:val="center"/>
          </w:tcPr>
          <w:p w14:paraId="09C122EB" w14:textId="2A4B5A98" w:rsidR="003A4D1C" w:rsidRPr="00EF3CD0" w:rsidRDefault="003A4D1C" w:rsidP="003A4D1C">
            <w:pPr>
              <w:spacing w:before="0" w:after="0"/>
              <w:ind w:left="0"/>
              <w:jc w:val="right"/>
              <w:rPr>
                <w:rFonts w:cs="Calibri"/>
                <w:b/>
                <w:bCs/>
                <w:sz w:val="16"/>
                <w:szCs w:val="16"/>
              </w:rPr>
            </w:pPr>
            <w:r w:rsidRPr="00EF3CD0">
              <w:rPr>
                <w:rFonts w:cs="Calibri"/>
                <w:b/>
                <w:bCs/>
                <w:i/>
                <w:iCs/>
                <w:sz w:val="16"/>
                <w:szCs w:val="16"/>
              </w:rPr>
              <w:t>0,208</w:t>
            </w:r>
          </w:p>
        </w:tc>
        <w:tc>
          <w:tcPr>
            <w:tcW w:w="580" w:type="dxa"/>
            <w:tcBorders>
              <w:top w:val="nil"/>
              <w:left w:val="nil"/>
              <w:bottom w:val="dashed" w:sz="4" w:space="0" w:color="auto"/>
              <w:right w:val="nil"/>
            </w:tcBorders>
            <w:noWrap/>
            <w:vAlign w:val="center"/>
          </w:tcPr>
          <w:p w14:paraId="51654393" w14:textId="27DF3FE1" w:rsidR="003A4D1C" w:rsidRPr="00EF3CD0" w:rsidRDefault="003A4D1C" w:rsidP="003A4D1C">
            <w:pPr>
              <w:spacing w:before="0" w:after="0"/>
              <w:ind w:left="0"/>
              <w:jc w:val="center"/>
              <w:rPr>
                <w:rFonts w:cs="Calibri"/>
                <w:sz w:val="16"/>
                <w:szCs w:val="16"/>
              </w:rPr>
            </w:pPr>
            <w:r w:rsidRPr="00EF3CD0">
              <w:rPr>
                <w:rFonts w:cs="Calibri"/>
                <w:b/>
                <w:bCs/>
                <w:i/>
                <w:iCs/>
                <w:sz w:val="16"/>
                <w:szCs w:val="16"/>
              </w:rPr>
              <w:t>0,000</w:t>
            </w:r>
          </w:p>
        </w:tc>
        <w:tc>
          <w:tcPr>
            <w:tcW w:w="760" w:type="dxa"/>
            <w:tcBorders>
              <w:top w:val="nil"/>
              <w:left w:val="nil"/>
              <w:bottom w:val="dashed" w:sz="4" w:space="0" w:color="auto"/>
              <w:right w:val="nil"/>
            </w:tcBorders>
            <w:noWrap/>
            <w:vAlign w:val="center"/>
          </w:tcPr>
          <w:p w14:paraId="34DE2CB4" w14:textId="3AA2593B" w:rsidR="003A4D1C" w:rsidRPr="00EF3CD0" w:rsidRDefault="003A4D1C" w:rsidP="003A4D1C">
            <w:pPr>
              <w:spacing w:before="0" w:after="0"/>
              <w:ind w:left="0"/>
              <w:jc w:val="right"/>
              <w:rPr>
                <w:rFonts w:cs="Calibri"/>
                <w:sz w:val="16"/>
                <w:szCs w:val="16"/>
              </w:rPr>
            </w:pPr>
            <w:r w:rsidRPr="00EF3CD0">
              <w:rPr>
                <w:rFonts w:cs="Calibri"/>
                <w:b/>
                <w:bCs/>
                <w:i/>
                <w:iCs/>
                <w:sz w:val="16"/>
                <w:szCs w:val="16"/>
              </w:rPr>
              <w:t>0,181</w:t>
            </w:r>
          </w:p>
        </w:tc>
        <w:tc>
          <w:tcPr>
            <w:tcW w:w="580" w:type="dxa"/>
            <w:tcBorders>
              <w:top w:val="nil"/>
              <w:left w:val="nil"/>
              <w:bottom w:val="dashed" w:sz="4" w:space="0" w:color="auto"/>
              <w:right w:val="nil"/>
            </w:tcBorders>
            <w:noWrap/>
            <w:vAlign w:val="center"/>
          </w:tcPr>
          <w:p w14:paraId="4A65C81C" w14:textId="0145F2A5" w:rsidR="003A4D1C" w:rsidRPr="00EF3CD0" w:rsidRDefault="003A4D1C" w:rsidP="003A4D1C">
            <w:pPr>
              <w:spacing w:before="0" w:after="0"/>
              <w:ind w:left="0"/>
              <w:jc w:val="center"/>
              <w:rPr>
                <w:rFonts w:cs="Calibri"/>
                <w:sz w:val="16"/>
                <w:szCs w:val="16"/>
              </w:rPr>
            </w:pPr>
            <w:r w:rsidRPr="00EF3CD0">
              <w:rPr>
                <w:rFonts w:cs="Calibri"/>
                <w:b/>
                <w:bCs/>
                <w:i/>
                <w:iCs/>
                <w:sz w:val="16"/>
                <w:szCs w:val="16"/>
              </w:rPr>
              <w:t>0,000</w:t>
            </w:r>
          </w:p>
        </w:tc>
        <w:tc>
          <w:tcPr>
            <w:tcW w:w="640" w:type="dxa"/>
            <w:tcBorders>
              <w:top w:val="nil"/>
              <w:left w:val="nil"/>
              <w:bottom w:val="dashed" w:sz="4" w:space="0" w:color="auto"/>
              <w:right w:val="nil"/>
            </w:tcBorders>
            <w:noWrap/>
            <w:vAlign w:val="center"/>
          </w:tcPr>
          <w:p w14:paraId="3DBAC864" w14:textId="737A5EFB" w:rsidR="003A4D1C" w:rsidRPr="00EF3CD0" w:rsidRDefault="003A4D1C" w:rsidP="003A4D1C">
            <w:pPr>
              <w:spacing w:before="0" w:after="0"/>
              <w:ind w:left="0"/>
              <w:jc w:val="center"/>
              <w:rPr>
                <w:rFonts w:cs="Calibri"/>
                <w:sz w:val="16"/>
                <w:szCs w:val="16"/>
              </w:rPr>
            </w:pPr>
            <w:r w:rsidRPr="00EF3CD0">
              <w:rPr>
                <w:rFonts w:cs="Calibri"/>
                <w:b/>
                <w:bCs/>
                <w:i/>
                <w:iCs/>
                <w:sz w:val="16"/>
                <w:szCs w:val="16"/>
              </w:rPr>
              <w:t>0,000</w:t>
            </w:r>
          </w:p>
        </w:tc>
        <w:tc>
          <w:tcPr>
            <w:tcW w:w="720" w:type="dxa"/>
            <w:tcBorders>
              <w:top w:val="nil"/>
              <w:left w:val="nil"/>
              <w:bottom w:val="dashed" w:sz="4" w:space="0" w:color="auto"/>
              <w:right w:val="nil"/>
            </w:tcBorders>
            <w:noWrap/>
            <w:vAlign w:val="center"/>
          </w:tcPr>
          <w:p w14:paraId="41A68596" w14:textId="389AC87C" w:rsidR="003A4D1C" w:rsidRPr="00EF3CD0" w:rsidRDefault="003A4D1C" w:rsidP="003A4D1C">
            <w:pPr>
              <w:spacing w:before="0" w:after="0"/>
              <w:ind w:left="0"/>
              <w:jc w:val="center"/>
              <w:rPr>
                <w:rFonts w:cs="Calibri"/>
                <w:sz w:val="16"/>
                <w:szCs w:val="16"/>
              </w:rPr>
            </w:pPr>
            <w:r w:rsidRPr="00EF3CD0">
              <w:rPr>
                <w:rFonts w:cs="Calibri"/>
                <w:b/>
                <w:bCs/>
                <w:i/>
                <w:iCs/>
                <w:sz w:val="16"/>
                <w:szCs w:val="16"/>
              </w:rPr>
              <w:t>0,027</w:t>
            </w:r>
          </w:p>
        </w:tc>
        <w:tc>
          <w:tcPr>
            <w:tcW w:w="860" w:type="dxa"/>
            <w:tcBorders>
              <w:top w:val="nil"/>
              <w:left w:val="nil"/>
              <w:bottom w:val="dashed" w:sz="4" w:space="0" w:color="auto"/>
              <w:right w:val="nil"/>
            </w:tcBorders>
            <w:noWrap/>
            <w:vAlign w:val="bottom"/>
          </w:tcPr>
          <w:p w14:paraId="2C5F9C7E" w14:textId="77777777" w:rsidR="003A4D1C" w:rsidRPr="00EF3CD0" w:rsidRDefault="003A4D1C" w:rsidP="003A4D1C">
            <w:pPr>
              <w:spacing w:before="0" w:after="0"/>
              <w:ind w:left="0"/>
              <w:jc w:val="center"/>
              <w:rPr>
                <w:rFonts w:cs="Calibri"/>
                <w:sz w:val="16"/>
                <w:szCs w:val="16"/>
              </w:rPr>
            </w:pPr>
          </w:p>
        </w:tc>
        <w:tc>
          <w:tcPr>
            <w:tcW w:w="420" w:type="dxa"/>
            <w:tcBorders>
              <w:top w:val="nil"/>
              <w:left w:val="nil"/>
              <w:bottom w:val="dashed" w:sz="4" w:space="0" w:color="auto"/>
              <w:right w:val="nil"/>
            </w:tcBorders>
            <w:noWrap/>
            <w:vAlign w:val="bottom"/>
          </w:tcPr>
          <w:p w14:paraId="6B034ECF" w14:textId="77777777" w:rsidR="003A4D1C" w:rsidRPr="00EF3CD0" w:rsidRDefault="003A4D1C" w:rsidP="003A4D1C">
            <w:pPr>
              <w:spacing w:before="0" w:after="0"/>
              <w:ind w:left="0"/>
              <w:jc w:val="center"/>
              <w:rPr>
                <w:rFonts w:cs="Calibri"/>
                <w:sz w:val="16"/>
                <w:szCs w:val="16"/>
              </w:rPr>
            </w:pPr>
          </w:p>
        </w:tc>
        <w:tc>
          <w:tcPr>
            <w:tcW w:w="380" w:type="dxa"/>
            <w:tcBorders>
              <w:top w:val="nil"/>
              <w:left w:val="nil"/>
              <w:bottom w:val="dashed" w:sz="4" w:space="0" w:color="auto"/>
              <w:right w:val="nil"/>
            </w:tcBorders>
            <w:noWrap/>
            <w:vAlign w:val="bottom"/>
          </w:tcPr>
          <w:p w14:paraId="78F34E83" w14:textId="77777777" w:rsidR="003A4D1C" w:rsidRPr="00EF3CD0" w:rsidRDefault="003A4D1C" w:rsidP="003A4D1C">
            <w:pPr>
              <w:spacing w:before="0" w:after="0"/>
              <w:ind w:left="0"/>
              <w:jc w:val="center"/>
              <w:rPr>
                <w:rFonts w:cs="Calibri"/>
                <w:sz w:val="16"/>
                <w:szCs w:val="16"/>
              </w:rPr>
            </w:pPr>
          </w:p>
        </w:tc>
        <w:tc>
          <w:tcPr>
            <w:tcW w:w="347" w:type="dxa"/>
            <w:tcBorders>
              <w:top w:val="nil"/>
              <w:left w:val="nil"/>
              <w:bottom w:val="dashed" w:sz="4" w:space="0" w:color="auto"/>
              <w:right w:val="nil"/>
            </w:tcBorders>
            <w:noWrap/>
            <w:vAlign w:val="bottom"/>
          </w:tcPr>
          <w:p w14:paraId="2917E669" w14:textId="77777777" w:rsidR="003A4D1C" w:rsidRPr="00EF3CD0" w:rsidRDefault="003A4D1C" w:rsidP="003A4D1C">
            <w:pPr>
              <w:spacing w:before="0" w:after="0"/>
              <w:ind w:left="0"/>
              <w:jc w:val="center"/>
              <w:rPr>
                <w:rFonts w:cs="Calibri"/>
                <w:sz w:val="16"/>
                <w:szCs w:val="16"/>
              </w:rPr>
            </w:pPr>
          </w:p>
        </w:tc>
        <w:tc>
          <w:tcPr>
            <w:tcW w:w="800" w:type="dxa"/>
            <w:tcBorders>
              <w:top w:val="nil"/>
              <w:left w:val="nil"/>
              <w:bottom w:val="dashed" w:sz="4" w:space="0" w:color="auto"/>
              <w:right w:val="nil"/>
            </w:tcBorders>
            <w:noWrap/>
            <w:vAlign w:val="bottom"/>
          </w:tcPr>
          <w:p w14:paraId="14EF1680" w14:textId="77777777" w:rsidR="003A4D1C" w:rsidRPr="00EF3CD0" w:rsidRDefault="003A4D1C" w:rsidP="003A4D1C">
            <w:pPr>
              <w:spacing w:before="0" w:after="0"/>
              <w:ind w:left="0"/>
              <w:jc w:val="center"/>
              <w:rPr>
                <w:rFonts w:cs="Calibri"/>
                <w:sz w:val="16"/>
                <w:szCs w:val="16"/>
              </w:rPr>
            </w:pPr>
          </w:p>
        </w:tc>
      </w:tr>
      <w:tr w:rsidR="003A4D1C" w:rsidRPr="00EF3CD0" w14:paraId="345DEE4E" w14:textId="77777777" w:rsidTr="00F937DD">
        <w:trPr>
          <w:trHeight w:val="225"/>
        </w:trPr>
        <w:tc>
          <w:tcPr>
            <w:tcW w:w="1078" w:type="dxa"/>
            <w:tcBorders>
              <w:top w:val="nil"/>
              <w:left w:val="nil"/>
              <w:bottom w:val="dashed" w:sz="4" w:space="0" w:color="auto"/>
              <w:right w:val="nil"/>
            </w:tcBorders>
            <w:vAlign w:val="center"/>
            <w:hideMark/>
          </w:tcPr>
          <w:p w14:paraId="1B82EC93" w14:textId="77777777" w:rsidR="003A4D1C" w:rsidRPr="00EF3CD0" w:rsidRDefault="003A4D1C" w:rsidP="003A4D1C">
            <w:pPr>
              <w:spacing w:before="0" w:after="0"/>
              <w:ind w:left="0"/>
              <w:jc w:val="left"/>
              <w:rPr>
                <w:rFonts w:cs="Calibri"/>
                <w:b/>
                <w:bCs/>
                <w:i/>
                <w:iCs/>
                <w:sz w:val="16"/>
                <w:szCs w:val="16"/>
              </w:rPr>
            </w:pPr>
            <w:r w:rsidRPr="00EF3CD0">
              <w:rPr>
                <w:rFonts w:cs="Calibri"/>
                <w:b/>
                <w:bCs/>
                <w:i/>
                <w:iCs/>
                <w:sz w:val="16"/>
                <w:szCs w:val="16"/>
              </w:rPr>
              <w:t> </w:t>
            </w:r>
          </w:p>
        </w:tc>
        <w:tc>
          <w:tcPr>
            <w:tcW w:w="1184" w:type="dxa"/>
            <w:tcBorders>
              <w:top w:val="nil"/>
              <w:left w:val="nil"/>
              <w:bottom w:val="dashed" w:sz="4" w:space="0" w:color="auto"/>
              <w:right w:val="nil"/>
            </w:tcBorders>
            <w:vAlign w:val="center"/>
            <w:hideMark/>
          </w:tcPr>
          <w:p w14:paraId="08BA8EB5" w14:textId="77777777" w:rsidR="003A4D1C" w:rsidRPr="00EF3CD0" w:rsidRDefault="003A4D1C" w:rsidP="003A4D1C">
            <w:pPr>
              <w:spacing w:before="0" w:after="0"/>
              <w:ind w:left="0"/>
              <w:jc w:val="left"/>
              <w:rPr>
                <w:rFonts w:cs="Calibri"/>
                <w:b/>
                <w:bCs/>
                <w:i/>
                <w:iCs/>
                <w:sz w:val="16"/>
                <w:szCs w:val="16"/>
              </w:rPr>
            </w:pPr>
            <w:r w:rsidRPr="00EF3CD0">
              <w:rPr>
                <w:rFonts w:cs="Calibri"/>
                <w:b/>
                <w:bCs/>
                <w:i/>
                <w:iCs/>
                <w:sz w:val="16"/>
                <w:szCs w:val="16"/>
              </w:rPr>
              <w:t> </w:t>
            </w:r>
          </w:p>
        </w:tc>
        <w:tc>
          <w:tcPr>
            <w:tcW w:w="587" w:type="dxa"/>
            <w:tcBorders>
              <w:top w:val="nil"/>
              <w:left w:val="nil"/>
              <w:bottom w:val="dashed" w:sz="4" w:space="0" w:color="auto"/>
              <w:right w:val="nil"/>
            </w:tcBorders>
            <w:vAlign w:val="center"/>
            <w:hideMark/>
          </w:tcPr>
          <w:p w14:paraId="78017E48" w14:textId="77777777" w:rsidR="003A4D1C" w:rsidRPr="00EF3CD0" w:rsidRDefault="003A4D1C" w:rsidP="003A4D1C">
            <w:pPr>
              <w:spacing w:before="0" w:after="0"/>
              <w:ind w:left="0"/>
              <w:jc w:val="left"/>
              <w:rPr>
                <w:rFonts w:cs="Calibri"/>
                <w:b/>
                <w:bCs/>
                <w:i/>
                <w:iCs/>
                <w:sz w:val="16"/>
                <w:szCs w:val="16"/>
              </w:rPr>
            </w:pPr>
            <w:r w:rsidRPr="00EF3CD0">
              <w:rPr>
                <w:rFonts w:cs="Calibri"/>
                <w:b/>
                <w:bCs/>
                <w:i/>
                <w:iCs/>
                <w:sz w:val="16"/>
                <w:szCs w:val="16"/>
              </w:rPr>
              <w:t> </w:t>
            </w:r>
          </w:p>
        </w:tc>
        <w:tc>
          <w:tcPr>
            <w:tcW w:w="580" w:type="dxa"/>
            <w:tcBorders>
              <w:top w:val="nil"/>
              <w:left w:val="nil"/>
              <w:bottom w:val="dashed" w:sz="4" w:space="0" w:color="auto"/>
              <w:right w:val="nil"/>
            </w:tcBorders>
            <w:vAlign w:val="center"/>
            <w:hideMark/>
          </w:tcPr>
          <w:p w14:paraId="6C5689C3" w14:textId="77777777" w:rsidR="003A4D1C" w:rsidRPr="00EF3CD0" w:rsidRDefault="003A4D1C" w:rsidP="003A4D1C">
            <w:pPr>
              <w:spacing w:before="0" w:after="0"/>
              <w:ind w:left="0"/>
              <w:jc w:val="left"/>
              <w:rPr>
                <w:rFonts w:cs="Calibri"/>
                <w:b/>
                <w:bCs/>
                <w:i/>
                <w:iCs/>
                <w:sz w:val="16"/>
                <w:szCs w:val="16"/>
              </w:rPr>
            </w:pPr>
            <w:r w:rsidRPr="00EF3CD0">
              <w:rPr>
                <w:rFonts w:cs="Calibri"/>
                <w:b/>
                <w:bCs/>
                <w:i/>
                <w:iCs/>
                <w:sz w:val="16"/>
                <w:szCs w:val="16"/>
              </w:rPr>
              <w:t> </w:t>
            </w:r>
          </w:p>
        </w:tc>
        <w:tc>
          <w:tcPr>
            <w:tcW w:w="760" w:type="dxa"/>
            <w:tcBorders>
              <w:top w:val="nil"/>
              <w:left w:val="nil"/>
              <w:bottom w:val="dashed" w:sz="4" w:space="0" w:color="auto"/>
              <w:right w:val="nil"/>
            </w:tcBorders>
            <w:vAlign w:val="center"/>
            <w:hideMark/>
          </w:tcPr>
          <w:p w14:paraId="4EEFF68C" w14:textId="77777777" w:rsidR="003A4D1C" w:rsidRPr="00EF3CD0" w:rsidRDefault="003A4D1C" w:rsidP="003A4D1C">
            <w:pPr>
              <w:spacing w:before="0" w:after="0"/>
              <w:ind w:left="0"/>
              <w:jc w:val="left"/>
              <w:rPr>
                <w:rFonts w:cs="Calibri"/>
                <w:b/>
                <w:bCs/>
                <w:i/>
                <w:iCs/>
                <w:sz w:val="16"/>
                <w:szCs w:val="16"/>
              </w:rPr>
            </w:pPr>
            <w:r w:rsidRPr="00EF3CD0">
              <w:rPr>
                <w:rFonts w:cs="Calibri"/>
                <w:b/>
                <w:bCs/>
                <w:i/>
                <w:iCs/>
                <w:sz w:val="16"/>
                <w:szCs w:val="16"/>
              </w:rPr>
              <w:t> </w:t>
            </w:r>
          </w:p>
        </w:tc>
        <w:tc>
          <w:tcPr>
            <w:tcW w:w="580" w:type="dxa"/>
            <w:tcBorders>
              <w:top w:val="nil"/>
              <w:left w:val="nil"/>
              <w:bottom w:val="dashed" w:sz="4" w:space="0" w:color="auto"/>
              <w:right w:val="nil"/>
            </w:tcBorders>
            <w:vAlign w:val="center"/>
            <w:hideMark/>
          </w:tcPr>
          <w:p w14:paraId="66D24AAC" w14:textId="77777777" w:rsidR="003A4D1C" w:rsidRPr="00EF3CD0" w:rsidRDefault="003A4D1C" w:rsidP="003A4D1C">
            <w:pPr>
              <w:spacing w:before="0" w:after="0"/>
              <w:ind w:left="0"/>
              <w:jc w:val="left"/>
              <w:rPr>
                <w:rFonts w:cs="Calibri"/>
                <w:b/>
                <w:bCs/>
                <w:i/>
                <w:iCs/>
                <w:sz w:val="16"/>
                <w:szCs w:val="16"/>
              </w:rPr>
            </w:pPr>
            <w:r w:rsidRPr="00EF3CD0">
              <w:rPr>
                <w:rFonts w:cs="Calibri"/>
                <w:b/>
                <w:bCs/>
                <w:i/>
                <w:iCs/>
                <w:sz w:val="16"/>
                <w:szCs w:val="16"/>
              </w:rPr>
              <w:t> </w:t>
            </w:r>
          </w:p>
        </w:tc>
        <w:tc>
          <w:tcPr>
            <w:tcW w:w="640" w:type="dxa"/>
            <w:tcBorders>
              <w:top w:val="nil"/>
              <w:left w:val="nil"/>
              <w:bottom w:val="dashed" w:sz="4" w:space="0" w:color="auto"/>
              <w:right w:val="nil"/>
            </w:tcBorders>
            <w:vAlign w:val="center"/>
            <w:hideMark/>
          </w:tcPr>
          <w:p w14:paraId="2C87A551" w14:textId="77777777" w:rsidR="003A4D1C" w:rsidRPr="00EF3CD0" w:rsidRDefault="003A4D1C" w:rsidP="003A4D1C">
            <w:pPr>
              <w:spacing w:before="0" w:after="0"/>
              <w:ind w:left="0"/>
              <w:jc w:val="left"/>
              <w:rPr>
                <w:rFonts w:cs="Calibri"/>
                <w:b/>
                <w:bCs/>
                <w:i/>
                <w:iCs/>
                <w:sz w:val="16"/>
                <w:szCs w:val="16"/>
              </w:rPr>
            </w:pPr>
            <w:r w:rsidRPr="00EF3CD0">
              <w:rPr>
                <w:rFonts w:cs="Calibri"/>
                <w:b/>
                <w:bCs/>
                <w:i/>
                <w:iCs/>
                <w:sz w:val="16"/>
                <w:szCs w:val="16"/>
              </w:rPr>
              <w:t> </w:t>
            </w:r>
          </w:p>
        </w:tc>
        <w:tc>
          <w:tcPr>
            <w:tcW w:w="720" w:type="dxa"/>
            <w:tcBorders>
              <w:top w:val="nil"/>
              <w:left w:val="nil"/>
              <w:bottom w:val="dashed" w:sz="4" w:space="0" w:color="auto"/>
              <w:right w:val="nil"/>
            </w:tcBorders>
            <w:vAlign w:val="center"/>
            <w:hideMark/>
          </w:tcPr>
          <w:p w14:paraId="6ADDDF6D" w14:textId="77777777" w:rsidR="003A4D1C" w:rsidRPr="00EF3CD0" w:rsidRDefault="003A4D1C" w:rsidP="003A4D1C">
            <w:pPr>
              <w:spacing w:before="0" w:after="0"/>
              <w:ind w:left="0"/>
              <w:jc w:val="left"/>
              <w:rPr>
                <w:rFonts w:cs="Calibri"/>
                <w:b/>
                <w:bCs/>
                <w:i/>
                <w:iCs/>
                <w:sz w:val="16"/>
                <w:szCs w:val="16"/>
              </w:rPr>
            </w:pPr>
            <w:r w:rsidRPr="00EF3CD0">
              <w:rPr>
                <w:rFonts w:cs="Calibri"/>
                <w:b/>
                <w:bCs/>
                <w:i/>
                <w:iCs/>
                <w:sz w:val="16"/>
                <w:szCs w:val="16"/>
              </w:rPr>
              <w:t> </w:t>
            </w:r>
          </w:p>
        </w:tc>
        <w:tc>
          <w:tcPr>
            <w:tcW w:w="860" w:type="dxa"/>
            <w:tcBorders>
              <w:top w:val="nil"/>
              <w:left w:val="nil"/>
              <w:bottom w:val="dashed" w:sz="4" w:space="0" w:color="auto"/>
              <w:right w:val="nil"/>
            </w:tcBorders>
            <w:vAlign w:val="center"/>
            <w:hideMark/>
          </w:tcPr>
          <w:p w14:paraId="5CD151FB" w14:textId="77777777" w:rsidR="003A4D1C" w:rsidRPr="00EF3CD0" w:rsidRDefault="003A4D1C" w:rsidP="003A4D1C">
            <w:pPr>
              <w:spacing w:before="0" w:after="0"/>
              <w:ind w:left="0"/>
              <w:jc w:val="center"/>
              <w:rPr>
                <w:rFonts w:cs="Calibri"/>
                <w:b/>
                <w:bCs/>
                <w:i/>
                <w:iCs/>
                <w:sz w:val="16"/>
                <w:szCs w:val="16"/>
              </w:rPr>
            </w:pPr>
            <w:r w:rsidRPr="00EF3CD0">
              <w:rPr>
                <w:rFonts w:cs="Calibri"/>
                <w:b/>
                <w:bCs/>
                <w:i/>
                <w:iCs/>
                <w:sz w:val="16"/>
                <w:szCs w:val="16"/>
              </w:rPr>
              <w:t> </w:t>
            </w:r>
          </w:p>
        </w:tc>
        <w:tc>
          <w:tcPr>
            <w:tcW w:w="420" w:type="dxa"/>
            <w:tcBorders>
              <w:top w:val="nil"/>
              <w:left w:val="nil"/>
              <w:bottom w:val="dashed" w:sz="4" w:space="0" w:color="auto"/>
              <w:right w:val="nil"/>
            </w:tcBorders>
            <w:vAlign w:val="center"/>
            <w:hideMark/>
          </w:tcPr>
          <w:p w14:paraId="6542EDE9" w14:textId="77777777" w:rsidR="003A4D1C" w:rsidRPr="00EF3CD0" w:rsidRDefault="003A4D1C" w:rsidP="003A4D1C">
            <w:pPr>
              <w:spacing w:before="0" w:after="0"/>
              <w:ind w:left="0"/>
              <w:jc w:val="center"/>
              <w:rPr>
                <w:rFonts w:cs="Calibri"/>
                <w:b/>
                <w:bCs/>
                <w:i/>
                <w:iCs/>
                <w:sz w:val="16"/>
                <w:szCs w:val="16"/>
              </w:rPr>
            </w:pPr>
            <w:r w:rsidRPr="00EF3CD0">
              <w:rPr>
                <w:rFonts w:cs="Calibri"/>
                <w:b/>
                <w:bCs/>
                <w:i/>
                <w:iCs/>
                <w:sz w:val="16"/>
                <w:szCs w:val="16"/>
              </w:rPr>
              <w:t> </w:t>
            </w:r>
          </w:p>
        </w:tc>
        <w:tc>
          <w:tcPr>
            <w:tcW w:w="380" w:type="dxa"/>
            <w:tcBorders>
              <w:top w:val="nil"/>
              <w:left w:val="nil"/>
              <w:bottom w:val="dashed" w:sz="4" w:space="0" w:color="auto"/>
              <w:right w:val="nil"/>
            </w:tcBorders>
            <w:vAlign w:val="center"/>
            <w:hideMark/>
          </w:tcPr>
          <w:p w14:paraId="53ADFAC8" w14:textId="77777777" w:rsidR="003A4D1C" w:rsidRPr="00EF3CD0" w:rsidRDefault="003A4D1C" w:rsidP="003A4D1C">
            <w:pPr>
              <w:spacing w:before="0" w:after="0"/>
              <w:ind w:left="0"/>
              <w:jc w:val="center"/>
              <w:rPr>
                <w:rFonts w:cs="Calibri"/>
                <w:b/>
                <w:bCs/>
                <w:i/>
                <w:iCs/>
                <w:sz w:val="16"/>
                <w:szCs w:val="16"/>
              </w:rPr>
            </w:pPr>
            <w:r w:rsidRPr="00EF3CD0">
              <w:rPr>
                <w:rFonts w:cs="Calibri"/>
                <w:b/>
                <w:bCs/>
                <w:i/>
                <w:iCs/>
                <w:sz w:val="16"/>
                <w:szCs w:val="16"/>
              </w:rPr>
              <w:t> </w:t>
            </w:r>
          </w:p>
        </w:tc>
        <w:tc>
          <w:tcPr>
            <w:tcW w:w="347" w:type="dxa"/>
            <w:tcBorders>
              <w:top w:val="nil"/>
              <w:left w:val="nil"/>
              <w:bottom w:val="dashed" w:sz="4" w:space="0" w:color="auto"/>
              <w:right w:val="nil"/>
            </w:tcBorders>
            <w:vAlign w:val="center"/>
            <w:hideMark/>
          </w:tcPr>
          <w:p w14:paraId="547A9D27" w14:textId="77777777" w:rsidR="003A4D1C" w:rsidRPr="00EF3CD0" w:rsidRDefault="003A4D1C" w:rsidP="003A4D1C">
            <w:pPr>
              <w:spacing w:before="0" w:after="0"/>
              <w:ind w:left="0"/>
              <w:jc w:val="center"/>
              <w:rPr>
                <w:rFonts w:cs="Calibri"/>
                <w:b/>
                <w:bCs/>
                <w:i/>
                <w:iCs/>
                <w:sz w:val="16"/>
                <w:szCs w:val="16"/>
              </w:rPr>
            </w:pPr>
            <w:r w:rsidRPr="00EF3CD0">
              <w:rPr>
                <w:rFonts w:cs="Calibri"/>
                <w:b/>
                <w:bCs/>
                <w:i/>
                <w:iCs/>
                <w:sz w:val="16"/>
                <w:szCs w:val="16"/>
              </w:rPr>
              <w:t> </w:t>
            </w:r>
          </w:p>
        </w:tc>
        <w:tc>
          <w:tcPr>
            <w:tcW w:w="800" w:type="dxa"/>
            <w:tcBorders>
              <w:top w:val="nil"/>
              <w:left w:val="nil"/>
              <w:bottom w:val="dashed" w:sz="4" w:space="0" w:color="auto"/>
              <w:right w:val="nil"/>
            </w:tcBorders>
            <w:vAlign w:val="center"/>
            <w:hideMark/>
          </w:tcPr>
          <w:p w14:paraId="7EEBBA7B" w14:textId="77777777" w:rsidR="003A4D1C" w:rsidRPr="00EF3CD0" w:rsidRDefault="003A4D1C" w:rsidP="003A4D1C">
            <w:pPr>
              <w:spacing w:before="0" w:after="0"/>
              <w:ind w:left="0"/>
              <w:jc w:val="center"/>
              <w:rPr>
                <w:rFonts w:cs="Calibri"/>
                <w:b/>
                <w:bCs/>
                <w:i/>
                <w:iCs/>
                <w:sz w:val="16"/>
                <w:szCs w:val="16"/>
              </w:rPr>
            </w:pPr>
            <w:r w:rsidRPr="00EF3CD0">
              <w:rPr>
                <w:rFonts w:cs="Calibri"/>
                <w:b/>
                <w:bCs/>
                <w:i/>
                <w:iCs/>
                <w:sz w:val="16"/>
                <w:szCs w:val="16"/>
              </w:rPr>
              <w:t> </w:t>
            </w:r>
          </w:p>
        </w:tc>
      </w:tr>
      <w:tr w:rsidR="003A4D1C" w:rsidRPr="00EF3CD0" w14:paraId="1E742118" w14:textId="77777777" w:rsidTr="00F937DD">
        <w:trPr>
          <w:trHeight w:val="210"/>
        </w:trPr>
        <w:tc>
          <w:tcPr>
            <w:tcW w:w="8936" w:type="dxa"/>
            <w:gridSpan w:val="13"/>
            <w:tcBorders>
              <w:top w:val="dashed" w:sz="4" w:space="0" w:color="auto"/>
              <w:left w:val="nil"/>
              <w:bottom w:val="dashed" w:sz="4" w:space="0" w:color="auto"/>
              <w:right w:val="nil"/>
            </w:tcBorders>
            <w:vAlign w:val="center"/>
            <w:hideMark/>
          </w:tcPr>
          <w:p w14:paraId="128BF64A" w14:textId="77777777" w:rsidR="003A4D1C" w:rsidRPr="00EF3CD0" w:rsidRDefault="003A4D1C" w:rsidP="003A4D1C">
            <w:pPr>
              <w:spacing w:before="0" w:after="0"/>
              <w:ind w:left="0"/>
              <w:jc w:val="left"/>
              <w:rPr>
                <w:rFonts w:cs="Calibri"/>
                <w:b/>
                <w:bCs/>
                <w:i/>
                <w:iCs/>
                <w:sz w:val="16"/>
                <w:szCs w:val="16"/>
              </w:rPr>
            </w:pPr>
            <w:r w:rsidRPr="00EF3CD0">
              <w:rPr>
                <w:rFonts w:cs="Calibri"/>
                <w:b/>
                <w:bCs/>
                <w:i/>
                <w:iCs/>
                <w:sz w:val="16"/>
                <w:szCs w:val="16"/>
              </w:rPr>
              <w:t>Plochy technické infrastruktury</w:t>
            </w:r>
          </w:p>
        </w:tc>
      </w:tr>
      <w:tr w:rsidR="003A4D1C" w:rsidRPr="00EF3CD0" w14:paraId="20CA09B7" w14:textId="77777777" w:rsidTr="00F937DD">
        <w:trPr>
          <w:trHeight w:val="210"/>
        </w:trPr>
        <w:tc>
          <w:tcPr>
            <w:tcW w:w="8936" w:type="dxa"/>
            <w:gridSpan w:val="13"/>
            <w:tcBorders>
              <w:top w:val="dashed" w:sz="4" w:space="0" w:color="auto"/>
              <w:left w:val="nil"/>
              <w:bottom w:val="dashed" w:sz="4" w:space="0" w:color="auto"/>
              <w:right w:val="nil"/>
            </w:tcBorders>
            <w:vAlign w:val="center"/>
            <w:hideMark/>
          </w:tcPr>
          <w:p w14:paraId="68264FA3" w14:textId="77777777" w:rsidR="003A4D1C" w:rsidRPr="00EF3CD0" w:rsidRDefault="003A4D1C" w:rsidP="003A4D1C">
            <w:pPr>
              <w:spacing w:before="0" w:after="0"/>
              <w:ind w:left="0"/>
              <w:jc w:val="left"/>
              <w:rPr>
                <w:rFonts w:cs="Calibri"/>
                <w:b/>
                <w:bCs/>
                <w:i/>
                <w:iCs/>
                <w:sz w:val="16"/>
                <w:szCs w:val="16"/>
              </w:rPr>
            </w:pPr>
            <w:r w:rsidRPr="00EF3CD0">
              <w:rPr>
                <w:rFonts w:cs="Calibri"/>
                <w:b/>
                <w:bCs/>
                <w:i/>
                <w:iCs/>
                <w:sz w:val="16"/>
                <w:szCs w:val="16"/>
              </w:rPr>
              <w:t>plochy transformační</w:t>
            </w:r>
          </w:p>
        </w:tc>
      </w:tr>
      <w:tr w:rsidR="003A4D1C" w:rsidRPr="00EF3CD0" w14:paraId="25FD344D" w14:textId="77777777" w:rsidTr="00F937DD">
        <w:trPr>
          <w:trHeight w:val="210"/>
        </w:trPr>
        <w:tc>
          <w:tcPr>
            <w:tcW w:w="1078" w:type="dxa"/>
            <w:tcBorders>
              <w:top w:val="nil"/>
              <w:left w:val="nil"/>
              <w:bottom w:val="dashed" w:sz="4" w:space="0" w:color="auto"/>
              <w:right w:val="nil"/>
            </w:tcBorders>
            <w:noWrap/>
            <w:vAlign w:val="bottom"/>
            <w:hideMark/>
          </w:tcPr>
          <w:p w14:paraId="01E381BC" w14:textId="77777777" w:rsidR="003A4D1C" w:rsidRPr="00EF3CD0" w:rsidRDefault="003A4D1C" w:rsidP="003A4D1C">
            <w:pPr>
              <w:spacing w:before="0" w:after="0"/>
              <w:ind w:left="0"/>
              <w:jc w:val="left"/>
              <w:rPr>
                <w:rFonts w:cs="Calibri"/>
                <w:sz w:val="16"/>
                <w:szCs w:val="16"/>
              </w:rPr>
            </w:pPr>
            <w:r w:rsidRPr="00EF3CD0">
              <w:rPr>
                <w:rFonts w:cs="Calibri"/>
                <w:sz w:val="16"/>
                <w:szCs w:val="16"/>
              </w:rPr>
              <w:t>T.01-10</w:t>
            </w:r>
          </w:p>
        </w:tc>
        <w:tc>
          <w:tcPr>
            <w:tcW w:w="1184" w:type="dxa"/>
            <w:tcBorders>
              <w:top w:val="nil"/>
              <w:left w:val="nil"/>
              <w:bottom w:val="dashed" w:sz="4" w:space="0" w:color="auto"/>
              <w:right w:val="nil"/>
            </w:tcBorders>
            <w:noWrap/>
            <w:vAlign w:val="bottom"/>
            <w:hideMark/>
          </w:tcPr>
          <w:p w14:paraId="0FF4AB05" w14:textId="77777777" w:rsidR="003A4D1C" w:rsidRPr="00EF3CD0" w:rsidRDefault="003A4D1C" w:rsidP="003A4D1C">
            <w:pPr>
              <w:spacing w:before="0" w:after="0"/>
              <w:ind w:left="0"/>
              <w:jc w:val="left"/>
              <w:rPr>
                <w:rFonts w:cs="Calibri"/>
                <w:sz w:val="16"/>
                <w:szCs w:val="16"/>
              </w:rPr>
            </w:pPr>
            <w:r w:rsidRPr="00EF3CD0">
              <w:rPr>
                <w:rFonts w:cs="Calibri"/>
                <w:sz w:val="16"/>
                <w:szCs w:val="16"/>
              </w:rPr>
              <w:t>TU</w:t>
            </w:r>
          </w:p>
        </w:tc>
        <w:tc>
          <w:tcPr>
            <w:tcW w:w="587" w:type="dxa"/>
            <w:tcBorders>
              <w:top w:val="nil"/>
              <w:left w:val="nil"/>
              <w:bottom w:val="dashed" w:sz="4" w:space="0" w:color="auto"/>
              <w:right w:val="nil"/>
            </w:tcBorders>
            <w:noWrap/>
            <w:vAlign w:val="bottom"/>
            <w:hideMark/>
          </w:tcPr>
          <w:p w14:paraId="38518841" w14:textId="77777777" w:rsidR="003A4D1C" w:rsidRPr="00EF3CD0" w:rsidRDefault="003A4D1C" w:rsidP="003A4D1C">
            <w:pPr>
              <w:spacing w:before="0" w:after="0"/>
              <w:ind w:left="0"/>
              <w:jc w:val="right"/>
              <w:rPr>
                <w:rFonts w:cs="Calibri"/>
                <w:b/>
                <w:bCs/>
                <w:sz w:val="16"/>
                <w:szCs w:val="16"/>
              </w:rPr>
            </w:pPr>
            <w:r w:rsidRPr="00EF3CD0">
              <w:rPr>
                <w:rFonts w:cs="Calibri"/>
                <w:b/>
                <w:bCs/>
                <w:sz w:val="16"/>
                <w:szCs w:val="16"/>
              </w:rPr>
              <w:t>0,156</w:t>
            </w:r>
          </w:p>
        </w:tc>
        <w:tc>
          <w:tcPr>
            <w:tcW w:w="580" w:type="dxa"/>
            <w:tcBorders>
              <w:top w:val="nil"/>
              <w:left w:val="nil"/>
              <w:bottom w:val="dashed" w:sz="4" w:space="0" w:color="auto"/>
              <w:right w:val="nil"/>
            </w:tcBorders>
            <w:noWrap/>
            <w:vAlign w:val="bottom"/>
            <w:hideMark/>
          </w:tcPr>
          <w:p w14:paraId="2AE50141" w14:textId="77777777" w:rsidR="003A4D1C" w:rsidRPr="00EF3CD0" w:rsidRDefault="003A4D1C" w:rsidP="003A4D1C">
            <w:pPr>
              <w:spacing w:before="0" w:after="0"/>
              <w:ind w:left="0"/>
              <w:jc w:val="right"/>
              <w:rPr>
                <w:rFonts w:cs="Calibri"/>
                <w:sz w:val="16"/>
                <w:szCs w:val="16"/>
              </w:rPr>
            </w:pPr>
            <w:r w:rsidRPr="00EF3CD0">
              <w:rPr>
                <w:rFonts w:cs="Calibri"/>
                <w:sz w:val="16"/>
                <w:szCs w:val="16"/>
              </w:rPr>
              <w:t>0,156</w:t>
            </w:r>
          </w:p>
        </w:tc>
        <w:tc>
          <w:tcPr>
            <w:tcW w:w="760" w:type="dxa"/>
            <w:tcBorders>
              <w:top w:val="nil"/>
              <w:left w:val="nil"/>
              <w:bottom w:val="dashed" w:sz="4" w:space="0" w:color="auto"/>
              <w:right w:val="nil"/>
            </w:tcBorders>
            <w:noWrap/>
            <w:vAlign w:val="bottom"/>
            <w:hideMark/>
          </w:tcPr>
          <w:p w14:paraId="2E6DD3B6" w14:textId="77777777" w:rsidR="003A4D1C" w:rsidRPr="00EF3CD0" w:rsidRDefault="003A4D1C" w:rsidP="003A4D1C">
            <w:pPr>
              <w:spacing w:before="0" w:after="0"/>
              <w:ind w:left="0"/>
              <w:jc w:val="center"/>
              <w:rPr>
                <w:rFonts w:cs="Calibri"/>
                <w:sz w:val="16"/>
                <w:szCs w:val="16"/>
              </w:rPr>
            </w:pPr>
            <w:r w:rsidRPr="00EF3CD0">
              <w:rPr>
                <w:rFonts w:cs="Calibri"/>
                <w:sz w:val="16"/>
                <w:szCs w:val="16"/>
              </w:rPr>
              <w:t>-</w:t>
            </w:r>
          </w:p>
        </w:tc>
        <w:tc>
          <w:tcPr>
            <w:tcW w:w="580" w:type="dxa"/>
            <w:tcBorders>
              <w:top w:val="nil"/>
              <w:left w:val="nil"/>
              <w:bottom w:val="dashed" w:sz="4" w:space="0" w:color="auto"/>
              <w:right w:val="nil"/>
            </w:tcBorders>
            <w:noWrap/>
            <w:vAlign w:val="bottom"/>
            <w:hideMark/>
          </w:tcPr>
          <w:p w14:paraId="465FB054" w14:textId="77777777" w:rsidR="003A4D1C" w:rsidRPr="00EF3CD0" w:rsidRDefault="003A4D1C" w:rsidP="003A4D1C">
            <w:pPr>
              <w:spacing w:before="0" w:after="0"/>
              <w:ind w:left="0"/>
              <w:jc w:val="center"/>
              <w:rPr>
                <w:rFonts w:cs="Calibri"/>
                <w:sz w:val="16"/>
                <w:szCs w:val="16"/>
              </w:rPr>
            </w:pPr>
            <w:r w:rsidRPr="00EF3CD0">
              <w:rPr>
                <w:rFonts w:cs="Calibri"/>
                <w:sz w:val="16"/>
                <w:szCs w:val="16"/>
              </w:rPr>
              <w:t>-</w:t>
            </w:r>
          </w:p>
        </w:tc>
        <w:tc>
          <w:tcPr>
            <w:tcW w:w="640" w:type="dxa"/>
            <w:tcBorders>
              <w:top w:val="nil"/>
              <w:left w:val="nil"/>
              <w:bottom w:val="dashed" w:sz="4" w:space="0" w:color="auto"/>
              <w:right w:val="nil"/>
            </w:tcBorders>
            <w:noWrap/>
            <w:vAlign w:val="bottom"/>
            <w:hideMark/>
          </w:tcPr>
          <w:p w14:paraId="5FFC5DBB" w14:textId="77777777" w:rsidR="003A4D1C" w:rsidRPr="00EF3CD0" w:rsidRDefault="003A4D1C" w:rsidP="003A4D1C">
            <w:pPr>
              <w:spacing w:before="0" w:after="0"/>
              <w:ind w:left="0"/>
              <w:jc w:val="center"/>
              <w:rPr>
                <w:rFonts w:cs="Calibri"/>
                <w:sz w:val="16"/>
                <w:szCs w:val="16"/>
              </w:rPr>
            </w:pPr>
            <w:r w:rsidRPr="00EF3CD0">
              <w:rPr>
                <w:rFonts w:cs="Calibri"/>
                <w:sz w:val="16"/>
                <w:szCs w:val="16"/>
              </w:rPr>
              <w:t>-</w:t>
            </w:r>
          </w:p>
        </w:tc>
        <w:tc>
          <w:tcPr>
            <w:tcW w:w="720" w:type="dxa"/>
            <w:tcBorders>
              <w:top w:val="nil"/>
              <w:left w:val="nil"/>
              <w:bottom w:val="dashed" w:sz="4" w:space="0" w:color="auto"/>
              <w:right w:val="nil"/>
            </w:tcBorders>
            <w:noWrap/>
            <w:vAlign w:val="bottom"/>
            <w:hideMark/>
          </w:tcPr>
          <w:p w14:paraId="6FA4B941" w14:textId="77777777" w:rsidR="003A4D1C" w:rsidRPr="00EF3CD0" w:rsidRDefault="003A4D1C" w:rsidP="003A4D1C">
            <w:pPr>
              <w:spacing w:before="0" w:after="0"/>
              <w:ind w:left="0"/>
              <w:jc w:val="center"/>
              <w:rPr>
                <w:rFonts w:cs="Calibri"/>
                <w:sz w:val="16"/>
                <w:szCs w:val="16"/>
              </w:rPr>
            </w:pPr>
            <w:r w:rsidRPr="00EF3CD0">
              <w:rPr>
                <w:rFonts w:cs="Calibri"/>
                <w:sz w:val="16"/>
                <w:szCs w:val="16"/>
              </w:rPr>
              <w:t>-</w:t>
            </w:r>
          </w:p>
        </w:tc>
        <w:tc>
          <w:tcPr>
            <w:tcW w:w="860" w:type="dxa"/>
            <w:tcBorders>
              <w:top w:val="nil"/>
              <w:left w:val="nil"/>
              <w:bottom w:val="dashed" w:sz="4" w:space="0" w:color="auto"/>
              <w:right w:val="nil"/>
            </w:tcBorders>
            <w:noWrap/>
            <w:vAlign w:val="bottom"/>
            <w:hideMark/>
          </w:tcPr>
          <w:p w14:paraId="1D63E927" w14:textId="77777777" w:rsidR="003A4D1C" w:rsidRPr="00EF3CD0" w:rsidRDefault="003A4D1C" w:rsidP="003A4D1C">
            <w:pPr>
              <w:spacing w:before="0" w:after="0"/>
              <w:ind w:left="0"/>
              <w:jc w:val="center"/>
              <w:rPr>
                <w:rFonts w:cs="Calibri"/>
                <w:sz w:val="16"/>
                <w:szCs w:val="16"/>
              </w:rPr>
            </w:pPr>
            <w:r w:rsidRPr="00EF3CD0">
              <w:rPr>
                <w:rFonts w:cs="Calibri"/>
                <w:sz w:val="16"/>
                <w:szCs w:val="16"/>
              </w:rPr>
              <w:t>-</w:t>
            </w:r>
          </w:p>
        </w:tc>
        <w:tc>
          <w:tcPr>
            <w:tcW w:w="420" w:type="dxa"/>
            <w:tcBorders>
              <w:top w:val="nil"/>
              <w:left w:val="nil"/>
              <w:bottom w:val="dashed" w:sz="4" w:space="0" w:color="auto"/>
              <w:right w:val="nil"/>
            </w:tcBorders>
            <w:noWrap/>
            <w:vAlign w:val="bottom"/>
            <w:hideMark/>
          </w:tcPr>
          <w:p w14:paraId="1CF43E6F" w14:textId="77777777" w:rsidR="003A4D1C" w:rsidRPr="00EF3CD0" w:rsidRDefault="003A4D1C" w:rsidP="003A4D1C">
            <w:pPr>
              <w:spacing w:before="0" w:after="0"/>
              <w:ind w:left="0"/>
              <w:jc w:val="center"/>
              <w:rPr>
                <w:rFonts w:cs="Calibri"/>
                <w:sz w:val="16"/>
                <w:szCs w:val="16"/>
              </w:rPr>
            </w:pPr>
            <w:r w:rsidRPr="00EF3CD0">
              <w:rPr>
                <w:rFonts w:cs="Calibri"/>
                <w:sz w:val="16"/>
                <w:szCs w:val="16"/>
              </w:rPr>
              <w:t>-</w:t>
            </w:r>
          </w:p>
        </w:tc>
        <w:tc>
          <w:tcPr>
            <w:tcW w:w="380" w:type="dxa"/>
            <w:tcBorders>
              <w:top w:val="nil"/>
              <w:left w:val="nil"/>
              <w:bottom w:val="dashed" w:sz="4" w:space="0" w:color="auto"/>
              <w:right w:val="nil"/>
            </w:tcBorders>
            <w:noWrap/>
            <w:vAlign w:val="bottom"/>
            <w:hideMark/>
          </w:tcPr>
          <w:p w14:paraId="610BE3D1" w14:textId="77777777" w:rsidR="003A4D1C" w:rsidRPr="00EF3CD0" w:rsidRDefault="003A4D1C" w:rsidP="003A4D1C">
            <w:pPr>
              <w:spacing w:before="0" w:after="0"/>
              <w:ind w:left="0"/>
              <w:jc w:val="center"/>
              <w:rPr>
                <w:rFonts w:cs="Calibri"/>
                <w:sz w:val="16"/>
                <w:szCs w:val="16"/>
              </w:rPr>
            </w:pPr>
            <w:r w:rsidRPr="00EF3CD0">
              <w:rPr>
                <w:rFonts w:cs="Calibri"/>
                <w:sz w:val="16"/>
                <w:szCs w:val="16"/>
              </w:rPr>
              <w:t>-</w:t>
            </w:r>
          </w:p>
        </w:tc>
        <w:tc>
          <w:tcPr>
            <w:tcW w:w="347" w:type="dxa"/>
            <w:tcBorders>
              <w:top w:val="nil"/>
              <w:left w:val="nil"/>
              <w:bottom w:val="dashed" w:sz="4" w:space="0" w:color="auto"/>
              <w:right w:val="nil"/>
            </w:tcBorders>
            <w:noWrap/>
            <w:vAlign w:val="bottom"/>
            <w:hideMark/>
          </w:tcPr>
          <w:p w14:paraId="202FAB4F" w14:textId="77777777" w:rsidR="003A4D1C" w:rsidRPr="00EF3CD0" w:rsidRDefault="003A4D1C" w:rsidP="003A4D1C">
            <w:pPr>
              <w:spacing w:before="0" w:after="0"/>
              <w:ind w:left="0"/>
              <w:jc w:val="center"/>
              <w:rPr>
                <w:rFonts w:cs="Calibri"/>
                <w:sz w:val="16"/>
                <w:szCs w:val="16"/>
              </w:rPr>
            </w:pPr>
            <w:r w:rsidRPr="00EF3CD0">
              <w:rPr>
                <w:rFonts w:cs="Calibri"/>
                <w:sz w:val="16"/>
                <w:szCs w:val="16"/>
              </w:rPr>
              <w:t>-</w:t>
            </w:r>
          </w:p>
        </w:tc>
        <w:tc>
          <w:tcPr>
            <w:tcW w:w="800" w:type="dxa"/>
            <w:tcBorders>
              <w:top w:val="nil"/>
              <w:left w:val="nil"/>
              <w:bottom w:val="dashed" w:sz="4" w:space="0" w:color="auto"/>
              <w:right w:val="nil"/>
            </w:tcBorders>
            <w:noWrap/>
            <w:vAlign w:val="bottom"/>
            <w:hideMark/>
          </w:tcPr>
          <w:p w14:paraId="5FCBBC21" w14:textId="77777777" w:rsidR="003A4D1C" w:rsidRPr="00EF3CD0" w:rsidRDefault="003A4D1C" w:rsidP="003A4D1C">
            <w:pPr>
              <w:spacing w:before="0" w:after="0"/>
              <w:ind w:left="0"/>
              <w:jc w:val="center"/>
              <w:rPr>
                <w:rFonts w:cs="Calibri"/>
                <w:sz w:val="16"/>
                <w:szCs w:val="16"/>
              </w:rPr>
            </w:pPr>
            <w:r w:rsidRPr="00EF3CD0">
              <w:rPr>
                <w:rFonts w:cs="Calibri"/>
                <w:sz w:val="16"/>
                <w:szCs w:val="16"/>
              </w:rPr>
              <w:t>-</w:t>
            </w:r>
          </w:p>
        </w:tc>
      </w:tr>
      <w:tr w:rsidR="00F937DD" w:rsidRPr="00EF3CD0" w14:paraId="49A39EB3" w14:textId="77777777" w:rsidTr="00F937DD">
        <w:trPr>
          <w:trHeight w:val="210"/>
        </w:trPr>
        <w:tc>
          <w:tcPr>
            <w:tcW w:w="2262" w:type="dxa"/>
            <w:gridSpan w:val="2"/>
            <w:tcBorders>
              <w:top w:val="nil"/>
              <w:left w:val="nil"/>
              <w:bottom w:val="dashed" w:sz="4" w:space="0" w:color="auto"/>
              <w:right w:val="nil"/>
            </w:tcBorders>
            <w:noWrap/>
            <w:vAlign w:val="bottom"/>
          </w:tcPr>
          <w:p w14:paraId="47B7EF98" w14:textId="7BA60949" w:rsidR="00F937DD" w:rsidRPr="00EF3CD0" w:rsidRDefault="00F937DD" w:rsidP="00F937DD">
            <w:pPr>
              <w:spacing w:before="0" w:after="0"/>
              <w:ind w:left="0"/>
              <w:jc w:val="left"/>
              <w:rPr>
                <w:rFonts w:cs="Calibri"/>
                <w:sz w:val="16"/>
                <w:szCs w:val="16"/>
              </w:rPr>
            </w:pPr>
            <w:r w:rsidRPr="00EF3CD0">
              <w:rPr>
                <w:rFonts w:cs="Calibri"/>
                <w:b/>
                <w:bCs/>
                <w:i/>
                <w:iCs/>
                <w:sz w:val="16"/>
                <w:szCs w:val="16"/>
              </w:rPr>
              <w:t>plochy transformační celkem</w:t>
            </w:r>
          </w:p>
        </w:tc>
        <w:tc>
          <w:tcPr>
            <w:tcW w:w="587" w:type="dxa"/>
            <w:tcBorders>
              <w:top w:val="nil"/>
              <w:left w:val="nil"/>
              <w:bottom w:val="dashed" w:sz="4" w:space="0" w:color="auto"/>
              <w:right w:val="nil"/>
            </w:tcBorders>
            <w:noWrap/>
            <w:vAlign w:val="center"/>
          </w:tcPr>
          <w:p w14:paraId="766F77A7" w14:textId="0B018836" w:rsidR="00F937DD" w:rsidRPr="00EF3CD0" w:rsidRDefault="00F937DD" w:rsidP="00F937DD">
            <w:pPr>
              <w:spacing w:before="0" w:after="0"/>
              <w:ind w:left="0"/>
              <w:jc w:val="right"/>
              <w:rPr>
                <w:rFonts w:cs="Calibri"/>
                <w:b/>
                <w:bCs/>
                <w:sz w:val="16"/>
                <w:szCs w:val="16"/>
              </w:rPr>
            </w:pPr>
            <w:r w:rsidRPr="00EF3CD0">
              <w:rPr>
                <w:rFonts w:cs="Calibri"/>
                <w:b/>
                <w:bCs/>
                <w:i/>
                <w:iCs/>
                <w:sz w:val="16"/>
                <w:szCs w:val="16"/>
              </w:rPr>
              <w:t>0,156</w:t>
            </w:r>
          </w:p>
        </w:tc>
        <w:tc>
          <w:tcPr>
            <w:tcW w:w="580" w:type="dxa"/>
            <w:tcBorders>
              <w:top w:val="nil"/>
              <w:left w:val="nil"/>
              <w:bottom w:val="dashed" w:sz="4" w:space="0" w:color="auto"/>
              <w:right w:val="nil"/>
            </w:tcBorders>
            <w:noWrap/>
            <w:vAlign w:val="center"/>
          </w:tcPr>
          <w:p w14:paraId="2D4E2EEA" w14:textId="54D3314B" w:rsidR="00F937DD" w:rsidRPr="00EF3CD0" w:rsidRDefault="00F937DD" w:rsidP="00F937DD">
            <w:pPr>
              <w:spacing w:before="0" w:after="0"/>
              <w:ind w:left="0"/>
              <w:jc w:val="right"/>
              <w:rPr>
                <w:rFonts w:cs="Calibri"/>
                <w:sz w:val="16"/>
                <w:szCs w:val="16"/>
              </w:rPr>
            </w:pPr>
            <w:r w:rsidRPr="00EF3CD0">
              <w:rPr>
                <w:rFonts w:cs="Calibri"/>
                <w:b/>
                <w:bCs/>
                <w:i/>
                <w:iCs/>
                <w:sz w:val="16"/>
                <w:szCs w:val="16"/>
              </w:rPr>
              <w:t>0,156</w:t>
            </w:r>
          </w:p>
        </w:tc>
        <w:tc>
          <w:tcPr>
            <w:tcW w:w="760" w:type="dxa"/>
            <w:tcBorders>
              <w:top w:val="nil"/>
              <w:left w:val="nil"/>
              <w:bottom w:val="dashed" w:sz="4" w:space="0" w:color="auto"/>
              <w:right w:val="nil"/>
            </w:tcBorders>
            <w:noWrap/>
            <w:vAlign w:val="center"/>
          </w:tcPr>
          <w:p w14:paraId="2B6A9A8E" w14:textId="4516F47F" w:rsidR="00F937DD" w:rsidRPr="00EF3CD0" w:rsidRDefault="00F937DD" w:rsidP="00F937DD">
            <w:pPr>
              <w:spacing w:before="0" w:after="0"/>
              <w:ind w:left="0"/>
              <w:jc w:val="center"/>
              <w:rPr>
                <w:rFonts w:cs="Calibri"/>
                <w:sz w:val="16"/>
                <w:szCs w:val="16"/>
              </w:rPr>
            </w:pPr>
            <w:r w:rsidRPr="00EF3CD0">
              <w:rPr>
                <w:rFonts w:cs="Calibri"/>
                <w:b/>
                <w:bCs/>
                <w:i/>
                <w:iCs/>
                <w:sz w:val="16"/>
                <w:szCs w:val="16"/>
              </w:rPr>
              <w:t>0,000</w:t>
            </w:r>
          </w:p>
        </w:tc>
        <w:tc>
          <w:tcPr>
            <w:tcW w:w="580" w:type="dxa"/>
            <w:tcBorders>
              <w:top w:val="nil"/>
              <w:left w:val="nil"/>
              <w:bottom w:val="dashed" w:sz="4" w:space="0" w:color="auto"/>
              <w:right w:val="nil"/>
            </w:tcBorders>
            <w:noWrap/>
            <w:vAlign w:val="center"/>
          </w:tcPr>
          <w:p w14:paraId="33B8015E" w14:textId="1CAE7558" w:rsidR="00F937DD" w:rsidRPr="00EF3CD0" w:rsidRDefault="00F937DD" w:rsidP="00F937DD">
            <w:pPr>
              <w:spacing w:before="0" w:after="0"/>
              <w:ind w:left="0"/>
              <w:jc w:val="center"/>
              <w:rPr>
                <w:rFonts w:cs="Calibri"/>
                <w:sz w:val="16"/>
                <w:szCs w:val="16"/>
              </w:rPr>
            </w:pPr>
            <w:r w:rsidRPr="00EF3CD0">
              <w:rPr>
                <w:rFonts w:cs="Calibri"/>
                <w:b/>
                <w:bCs/>
                <w:i/>
                <w:iCs/>
                <w:sz w:val="16"/>
                <w:szCs w:val="16"/>
              </w:rPr>
              <w:t>0,000</w:t>
            </w:r>
          </w:p>
        </w:tc>
        <w:tc>
          <w:tcPr>
            <w:tcW w:w="640" w:type="dxa"/>
            <w:tcBorders>
              <w:top w:val="nil"/>
              <w:left w:val="nil"/>
              <w:bottom w:val="dashed" w:sz="4" w:space="0" w:color="auto"/>
              <w:right w:val="nil"/>
            </w:tcBorders>
            <w:noWrap/>
            <w:vAlign w:val="center"/>
          </w:tcPr>
          <w:p w14:paraId="35194D70" w14:textId="6BD87633" w:rsidR="00F937DD" w:rsidRPr="00EF3CD0" w:rsidRDefault="00F937DD" w:rsidP="00F937DD">
            <w:pPr>
              <w:spacing w:before="0" w:after="0"/>
              <w:ind w:left="0"/>
              <w:jc w:val="center"/>
              <w:rPr>
                <w:rFonts w:cs="Calibri"/>
                <w:sz w:val="16"/>
                <w:szCs w:val="16"/>
              </w:rPr>
            </w:pPr>
            <w:r w:rsidRPr="00EF3CD0">
              <w:rPr>
                <w:rFonts w:cs="Calibri"/>
                <w:b/>
                <w:bCs/>
                <w:i/>
                <w:iCs/>
                <w:sz w:val="16"/>
                <w:szCs w:val="16"/>
              </w:rPr>
              <w:t>0,000</w:t>
            </w:r>
          </w:p>
        </w:tc>
        <w:tc>
          <w:tcPr>
            <w:tcW w:w="720" w:type="dxa"/>
            <w:tcBorders>
              <w:top w:val="nil"/>
              <w:left w:val="nil"/>
              <w:bottom w:val="dashed" w:sz="4" w:space="0" w:color="auto"/>
              <w:right w:val="nil"/>
            </w:tcBorders>
            <w:noWrap/>
            <w:vAlign w:val="center"/>
          </w:tcPr>
          <w:p w14:paraId="26BC96CF" w14:textId="6A3B7C6F" w:rsidR="00F937DD" w:rsidRPr="00EF3CD0" w:rsidRDefault="00F937DD" w:rsidP="00F937DD">
            <w:pPr>
              <w:spacing w:before="0" w:after="0"/>
              <w:ind w:left="0"/>
              <w:jc w:val="center"/>
              <w:rPr>
                <w:rFonts w:cs="Calibri"/>
                <w:sz w:val="16"/>
                <w:szCs w:val="16"/>
              </w:rPr>
            </w:pPr>
            <w:r w:rsidRPr="00EF3CD0">
              <w:rPr>
                <w:rFonts w:cs="Calibri"/>
                <w:b/>
                <w:bCs/>
                <w:i/>
                <w:iCs/>
                <w:sz w:val="16"/>
                <w:szCs w:val="16"/>
              </w:rPr>
              <w:t>0,000</w:t>
            </w:r>
          </w:p>
        </w:tc>
        <w:tc>
          <w:tcPr>
            <w:tcW w:w="860" w:type="dxa"/>
            <w:tcBorders>
              <w:top w:val="nil"/>
              <w:left w:val="nil"/>
              <w:bottom w:val="dashed" w:sz="4" w:space="0" w:color="auto"/>
              <w:right w:val="nil"/>
            </w:tcBorders>
            <w:noWrap/>
            <w:vAlign w:val="bottom"/>
          </w:tcPr>
          <w:p w14:paraId="2BF243DD" w14:textId="77777777" w:rsidR="00F937DD" w:rsidRPr="00EF3CD0" w:rsidRDefault="00F937DD" w:rsidP="00F937DD">
            <w:pPr>
              <w:spacing w:before="0" w:after="0"/>
              <w:ind w:left="0"/>
              <w:jc w:val="center"/>
              <w:rPr>
                <w:rFonts w:cs="Calibri"/>
                <w:sz w:val="16"/>
                <w:szCs w:val="16"/>
              </w:rPr>
            </w:pPr>
          </w:p>
        </w:tc>
        <w:tc>
          <w:tcPr>
            <w:tcW w:w="420" w:type="dxa"/>
            <w:tcBorders>
              <w:top w:val="nil"/>
              <w:left w:val="nil"/>
              <w:bottom w:val="dashed" w:sz="4" w:space="0" w:color="auto"/>
              <w:right w:val="nil"/>
            </w:tcBorders>
            <w:noWrap/>
            <w:vAlign w:val="bottom"/>
          </w:tcPr>
          <w:p w14:paraId="082245C3" w14:textId="77777777" w:rsidR="00F937DD" w:rsidRPr="00EF3CD0" w:rsidRDefault="00F937DD" w:rsidP="00F937DD">
            <w:pPr>
              <w:spacing w:before="0" w:after="0"/>
              <w:ind w:left="0"/>
              <w:jc w:val="center"/>
              <w:rPr>
                <w:rFonts w:cs="Calibri"/>
                <w:sz w:val="16"/>
                <w:szCs w:val="16"/>
              </w:rPr>
            </w:pPr>
          </w:p>
        </w:tc>
        <w:tc>
          <w:tcPr>
            <w:tcW w:w="380" w:type="dxa"/>
            <w:tcBorders>
              <w:top w:val="nil"/>
              <w:left w:val="nil"/>
              <w:bottom w:val="dashed" w:sz="4" w:space="0" w:color="auto"/>
              <w:right w:val="nil"/>
            </w:tcBorders>
            <w:noWrap/>
            <w:vAlign w:val="bottom"/>
          </w:tcPr>
          <w:p w14:paraId="25DB0077" w14:textId="77777777" w:rsidR="00F937DD" w:rsidRPr="00EF3CD0" w:rsidRDefault="00F937DD" w:rsidP="00F937DD">
            <w:pPr>
              <w:spacing w:before="0" w:after="0"/>
              <w:ind w:left="0"/>
              <w:jc w:val="center"/>
              <w:rPr>
                <w:rFonts w:cs="Calibri"/>
                <w:sz w:val="16"/>
                <w:szCs w:val="16"/>
              </w:rPr>
            </w:pPr>
          </w:p>
        </w:tc>
        <w:tc>
          <w:tcPr>
            <w:tcW w:w="347" w:type="dxa"/>
            <w:tcBorders>
              <w:top w:val="nil"/>
              <w:left w:val="nil"/>
              <w:bottom w:val="dashed" w:sz="4" w:space="0" w:color="auto"/>
              <w:right w:val="nil"/>
            </w:tcBorders>
            <w:noWrap/>
            <w:vAlign w:val="bottom"/>
          </w:tcPr>
          <w:p w14:paraId="5DAD98AA" w14:textId="77777777" w:rsidR="00F937DD" w:rsidRPr="00EF3CD0" w:rsidRDefault="00F937DD" w:rsidP="00F937DD">
            <w:pPr>
              <w:spacing w:before="0" w:after="0"/>
              <w:ind w:left="0"/>
              <w:jc w:val="center"/>
              <w:rPr>
                <w:rFonts w:cs="Calibri"/>
                <w:sz w:val="16"/>
                <w:szCs w:val="16"/>
              </w:rPr>
            </w:pPr>
          </w:p>
        </w:tc>
        <w:tc>
          <w:tcPr>
            <w:tcW w:w="800" w:type="dxa"/>
            <w:tcBorders>
              <w:top w:val="nil"/>
              <w:left w:val="nil"/>
              <w:bottom w:val="dashed" w:sz="4" w:space="0" w:color="auto"/>
              <w:right w:val="nil"/>
            </w:tcBorders>
            <w:noWrap/>
            <w:vAlign w:val="bottom"/>
          </w:tcPr>
          <w:p w14:paraId="67C69DE1" w14:textId="77777777" w:rsidR="00F937DD" w:rsidRPr="00EF3CD0" w:rsidRDefault="00F937DD" w:rsidP="00F937DD">
            <w:pPr>
              <w:spacing w:before="0" w:after="0"/>
              <w:ind w:left="0"/>
              <w:jc w:val="center"/>
              <w:rPr>
                <w:rFonts w:cs="Calibri"/>
                <w:sz w:val="16"/>
                <w:szCs w:val="16"/>
              </w:rPr>
            </w:pPr>
          </w:p>
        </w:tc>
      </w:tr>
      <w:tr w:rsidR="00F937DD" w:rsidRPr="00EF3CD0" w14:paraId="29B6C377" w14:textId="77777777" w:rsidTr="00F937DD">
        <w:trPr>
          <w:trHeight w:val="255"/>
        </w:trPr>
        <w:tc>
          <w:tcPr>
            <w:tcW w:w="8936" w:type="dxa"/>
            <w:gridSpan w:val="13"/>
            <w:tcBorders>
              <w:top w:val="dashed" w:sz="4" w:space="0" w:color="auto"/>
              <w:left w:val="nil"/>
              <w:bottom w:val="dashed" w:sz="4" w:space="0" w:color="auto"/>
              <w:right w:val="nil"/>
            </w:tcBorders>
            <w:vAlign w:val="center"/>
            <w:hideMark/>
          </w:tcPr>
          <w:p w14:paraId="0D7702E5" w14:textId="77777777" w:rsidR="00F937DD" w:rsidRPr="00EF3CD0" w:rsidRDefault="00F937DD" w:rsidP="00F937DD">
            <w:pPr>
              <w:spacing w:before="0" w:after="0"/>
              <w:ind w:left="0"/>
              <w:jc w:val="left"/>
              <w:rPr>
                <w:rFonts w:cs="Calibri"/>
                <w:b/>
                <w:bCs/>
                <w:i/>
                <w:iCs/>
                <w:sz w:val="16"/>
                <w:szCs w:val="16"/>
              </w:rPr>
            </w:pPr>
            <w:r w:rsidRPr="00EF3CD0">
              <w:rPr>
                <w:rFonts w:cs="Calibri"/>
                <w:b/>
                <w:bCs/>
                <w:i/>
                <w:iCs/>
                <w:sz w:val="16"/>
                <w:szCs w:val="16"/>
              </w:rPr>
              <w:t>zastavitelné plochy</w:t>
            </w:r>
          </w:p>
        </w:tc>
      </w:tr>
      <w:tr w:rsidR="00F937DD" w:rsidRPr="00EF3CD0" w14:paraId="5CC14AF6" w14:textId="77777777" w:rsidTr="00F937DD">
        <w:trPr>
          <w:trHeight w:val="210"/>
        </w:trPr>
        <w:tc>
          <w:tcPr>
            <w:tcW w:w="1078" w:type="dxa"/>
            <w:tcBorders>
              <w:top w:val="nil"/>
              <w:left w:val="nil"/>
              <w:bottom w:val="dashed" w:sz="4" w:space="0" w:color="auto"/>
              <w:right w:val="nil"/>
            </w:tcBorders>
            <w:noWrap/>
            <w:vAlign w:val="bottom"/>
            <w:hideMark/>
          </w:tcPr>
          <w:p w14:paraId="63756F84" w14:textId="77777777" w:rsidR="00F937DD" w:rsidRPr="00EF3CD0" w:rsidRDefault="00F937DD" w:rsidP="00F937DD">
            <w:pPr>
              <w:spacing w:before="0" w:after="0"/>
              <w:ind w:left="0"/>
              <w:jc w:val="left"/>
              <w:rPr>
                <w:rFonts w:cs="Calibri"/>
                <w:sz w:val="16"/>
                <w:szCs w:val="16"/>
              </w:rPr>
            </w:pPr>
            <w:r w:rsidRPr="00EF3CD0">
              <w:rPr>
                <w:rFonts w:cs="Calibri"/>
                <w:sz w:val="16"/>
                <w:szCs w:val="16"/>
              </w:rPr>
              <w:t>Z.04-10</w:t>
            </w:r>
          </w:p>
        </w:tc>
        <w:tc>
          <w:tcPr>
            <w:tcW w:w="1184" w:type="dxa"/>
            <w:tcBorders>
              <w:top w:val="nil"/>
              <w:left w:val="nil"/>
              <w:bottom w:val="dashed" w:sz="4" w:space="0" w:color="auto"/>
              <w:right w:val="nil"/>
            </w:tcBorders>
            <w:noWrap/>
            <w:vAlign w:val="bottom"/>
            <w:hideMark/>
          </w:tcPr>
          <w:p w14:paraId="2B43F924" w14:textId="77777777" w:rsidR="00F937DD" w:rsidRPr="00EF3CD0" w:rsidRDefault="00F937DD" w:rsidP="00F937DD">
            <w:pPr>
              <w:spacing w:before="0" w:after="0"/>
              <w:ind w:left="0"/>
              <w:jc w:val="left"/>
              <w:rPr>
                <w:rFonts w:cs="Calibri"/>
                <w:sz w:val="16"/>
                <w:szCs w:val="16"/>
              </w:rPr>
            </w:pPr>
            <w:r w:rsidRPr="00EF3CD0">
              <w:rPr>
                <w:rFonts w:cs="Calibri"/>
                <w:sz w:val="16"/>
                <w:szCs w:val="16"/>
              </w:rPr>
              <w:t>TU</w:t>
            </w:r>
          </w:p>
        </w:tc>
        <w:tc>
          <w:tcPr>
            <w:tcW w:w="587" w:type="dxa"/>
            <w:tcBorders>
              <w:top w:val="nil"/>
              <w:left w:val="nil"/>
              <w:bottom w:val="dashed" w:sz="4" w:space="0" w:color="auto"/>
              <w:right w:val="nil"/>
            </w:tcBorders>
            <w:noWrap/>
            <w:vAlign w:val="bottom"/>
            <w:hideMark/>
          </w:tcPr>
          <w:p w14:paraId="69B999EA" w14:textId="77777777" w:rsidR="00F937DD" w:rsidRPr="00EF3CD0" w:rsidRDefault="00F937DD" w:rsidP="00F937DD">
            <w:pPr>
              <w:spacing w:before="0" w:after="0"/>
              <w:ind w:left="0"/>
              <w:jc w:val="right"/>
              <w:rPr>
                <w:rFonts w:cs="Calibri"/>
                <w:b/>
                <w:bCs/>
                <w:sz w:val="16"/>
                <w:szCs w:val="16"/>
              </w:rPr>
            </w:pPr>
            <w:r w:rsidRPr="00EF3CD0">
              <w:rPr>
                <w:rFonts w:cs="Calibri"/>
                <w:b/>
                <w:bCs/>
                <w:sz w:val="16"/>
                <w:szCs w:val="16"/>
              </w:rPr>
              <w:t>0,048</w:t>
            </w:r>
          </w:p>
        </w:tc>
        <w:tc>
          <w:tcPr>
            <w:tcW w:w="580" w:type="dxa"/>
            <w:tcBorders>
              <w:top w:val="nil"/>
              <w:left w:val="nil"/>
              <w:bottom w:val="dashed" w:sz="4" w:space="0" w:color="auto"/>
              <w:right w:val="nil"/>
            </w:tcBorders>
            <w:noWrap/>
            <w:vAlign w:val="bottom"/>
            <w:hideMark/>
          </w:tcPr>
          <w:p w14:paraId="10529CEC" w14:textId="77777777" w:rsidR="00F937DD" w:rsidRPr="00EF3CD0" w:rsidRDefault="00F937DD" w:rsidP="00F937DD">
            <w:pPr>
              <w:spacing w:before="0" w:after="0"/>
              <w:ind w:left="0"/>
              <w:jc w:val="center"/>
              <w:rPr>
                <w:rFonts w:cs="Calibri"/>
                <w:sz w:val="16"/>
                <w:szCs w:val="16"/>
              </w:rPr>
            </w:pPr>
            <w:r w:rsidRPr="00EF3CD0">
              <w:rPr>
                <w:rFonts w:cs="Calibri"/>
                <w:sz w:val="16"/>
                <w:szCs w:val="16"/>
              </w:rPr>
              <w:t>-</w:t>
            </w:r>
          </w:p>
        </w:tc>
        <w:tc>
          <w:tcPr>
            <w:tcW w:w="760" w:type="dxa"/>
            <w:tcBorders>
              <w:top w:val="nil"/>
              <w:left w:val="nil"/>
              <w:bottom w:val="dashed" w:sz="4" w:space="0" w:color="auto"/>
              <w:right w:val="nil"/>
            </w:tcBorders>
            <w:noWrap/>
            <w:vAlign w:val="bottom"/>
            <w:hideMark/>
          </w:tcPr>
          <w:p w14:paraId="4C5AC753" w14:textId="77777777" w:rsidR="00F937DD" w:rsidRPr="00EF3CD0" w:rsidRDefault="00F937DD" w:rsidP="00F937DD">
            <w:pPr>
              <w:spacing w:before="0" w:after="0"/>
              <w:ind w:left="0"/>
              <w:jc w:val="center"/>
              <w:rPr>
                <w:rFonts w:cs="Calibri"/>
                <w:sz w:val="16"/>
                <w:szCs w:val="16"/>
              </w:rPr>
            </w:pPr>
            <w:r w:rsidRPr="00EF3CD0">
              <w:rPr>
                <w:rFonts w:cs="Calibri"/>
                <w:sz w:val="16"/>
                <w:szCs w:val="16"/>
              </w:rPr>
              <w:t>-</w:t>
            </w:r>
          </w:p>
        </w:tc>
        <w:tc>
          <w:tcPr>
            <w:tcW w:w="580" w:type="dxa"/>
            <w:tcBorders>
              <w:top w:val="nil"/>
              <w:left w:val="nil"/>
              <w:bottom w:val="dashed" w:sz="4" w:space="0" w:color="auto"/>
              <w:right w:val="nil"/>
            </w:tcBorders>
            <w:noWrap/>
            <w:vAlign w:val="bottom"/>
            <w:hideMark/>
          </w:tcPr>
          <w:p w14:paraId="519DA0D4" w14:textId="77777777" w:rsidR="00F937DD" w:rsidRPr="00EF3CD0" w:rsidRDefault="00F937DD" w:rsidP="00F937DD">
            <w:pPr>
              <w:spacing w:before="0" w:after="0"/>
              <w:ind w:left="0"/>
              <w:jc w:val="center"/>
              <w:rPr>
                <w:rFonts w:cs="Calibri"/>
                <w:sz w:val="16"/>
                <w:szCs w:val="16"/>
              </w:rPr>
            </w:pPr>
            <w:r w:rsidRPr="00EF3CD0">
              <w:rPr>
                <w:rFonts w:cs="Calibri"/>
                <w:sz w:val="16"/>
                <w:szCs w:val="16"/>
              </w:rPr>
              <w:t>-</w:t>
            </w:r>
          </w:p>
        </w:tc>
        <w:tc>
          <w:tcPr>
            <w:tcW w:w="640" w:type="dxa"/>
            <w:tcBorders>
              <w:top w:val="nil"/>
              <w:left w:val="nil"/>
              <w:bottom w:val="dashed" w:sz="4" w:space="0" w:color="auto"/>
              <w:right w:val="nil"/>
            </w:tcBorders>
            <w:noWrap/>
            <w:vAlign w:val="bottom"/>
            <w:hideMark/>
          </w:tcPr>
          <w:p w14:paraId="272FD183" w14:textId="77777777" w:rsidR="00F937DD" w:rsidRPr="00EF3CD0" w:rsidRDefault="00F937DD" w:rsidP="00F937DD">
            <w:pPr>
              <w:spacing w:before="0" w:after="0"/>
              <w:ind w:left="0"/>
              <w:jc w:val="center"/>
              <w:rPr>
                <w:rFonts w:cs="Calibri"/>
                <w:sz w:val="16"/>
                <w:szCs w:val="16"/>
              </w:rPr>
            </w:pPr>
            <w:r w:rsidRPr="00EF3CD0">
              <w:rPr>
                <w:rFonts w:cs="Calibri"/>
                <w:sz w:val="16"/>
                <w:szCs w:val="16"/>
              </w:rPr>
              <w:t>-</w:t>
            </w:r>
          </w:p>
        </w:tc>
        <w:tc>
          <w:tcPr>
            <w:tcW w:w="720" w:type="dxa"/>
            <w:tcBorders>
              <w:top w:val="nil"/>
              <w:left w:val="nil"/>
              <w:bottom w:val="dashed" w:sz="4" w:space="0" w:color="auto"/>
              <w:right w:val="nil"/>
            </w:tcBorders>
            <w:noWrap/>
            <w:vAlign w:val="bottom"/>
            <w:hideMark/>
          </w:tcPr>
          <w:p w14:paraId="70856907" w14:textId="77777777" w:rsidR="00F937DD" w:rsidRPr="00EF3CD0" w:rsidRDefault="00F937DD" w:rsidP="00F937DD">
            <w:pPr>
              <w:spacing w:before="0" w:after="0"/>
              <w:ind w:left="0"/>
              <w:jc w:val="right"/>
              <w:rPr>
                <w:rFonts w:cs="Calibri"/>
                <w:sz w:val="16"/>
                <w:szCs w:val="16"/>
              </w:rPr>
            </w:pPr>
            <w:r w:rsidRPr="00EF3CD0">
              <w:rPr>
                <w:rFonts w:cs="Calibri"/>
                <w:sz w:val="16"/>
                <w:szCs w:val="16"/>
              </w:rPr>
              <w:t>0,048</w:t>
            </w:r>
          </w:p>
        </w:tc>
        <w:tc>
          <w:tcPr>
            <w:tcW w:w="860" w:type="dxa"/>
            <w:tcBorders>
              <w:top w:val="nil"/>
              <w:left w:val="nil"/>
              <w:bottom w:val="dashed" w:sz="4" w:space="0" w:color="auto"/>
              <w:right w:val="nil"/>
            </w:tcBorders>
            <w:noWrap/>
            <w:vAlign w:val="bottom"/>
            <w:hideMark/>
          </w:tcPr>
          <w:p w14:paraId="491B1499" w14:textId="77777777" w:rsidR="00F937DD" w:rsidRPr="00EF3CD0" w:rsidRDefault="00F937DD" w:rsidP="00F937DD">
            <w:pPr>
              <w:spacing w:before="0" w:after="0"/>
              <w:ind w:left="0"/>
              <w:jc w:val="center"/>
              <w:rPr>
                <w:rFonts w:cs="Calibri"/>
                <w:sz w:val="16"/>
                <w:szCs w:val="16"/>
              </w:rPr>
            </w:pPr>
            <w:r w:rsidRPr="00EF3CD0">
              <w:rPr>
                <w:rFonts w:cs="Calibri"/>
                <w:sz w:val="16"/>
                <w:szCs w:val="16"/>
              </w:rPr>
              <w:t>-</w:t>
            </w:r>
          </w:p>
        </w:tc>
        <w:tc>
          <w:tcPr>
            <w:tcW w:w="420" w:type="dxa"/>
            <w:tcBorders>
              <w:top w:val="nil"/>
              <w:left w:val="nil"/>
              <w:bottom w:val="dashed" w:sz="4" w:space="0" w:color="auto"/>
              <w:right w:val="nil"/>
            </w:tcBorders>
            <w:noWrap/>
            <w:vAlign w:val="bottom"/>
            <w:hideMark/>
          </w:tcPr>
          <w:p w14:paraId="2EF21084" w14:textId="77777777" w:rsidR="00F937DD" w:rsidRPr="00EF3CD0" w:rsidRDefault="00F937DD" w:rsidP="00F937DD">
            <w:pPr>
              <w:spacing w:before="0" w:after="0"/>
              <w:ind w:left="0"/>
              <w:jc w:val="center"/>
              <w:rPr>
                <w:rFonts w:cs="Calibri"/>
                <w:sz w:val="16"/>
                <w:szCs w:val="16"/>
              </w:rPr>
            </w:pPr>
            <w:r w:rsidRPr="00EF3CD0">
              <w:rPr>
                <w:rFonts w:cs="Calibri"/>
                <w:sz w:val="16"/>
                <w:szCs w:val="16"/>
              </w:rPr>
              <w:t>-</w:t>
            </w:r>
          </w:p>
        </w:tc>
        <w:tc>
          <w:tcPr>
            <w:tcW w:w="380" w:type="dxa"/>
            <w:tcBorders>
              <w:top w:val="nil"/>
              <w:left w:val="nil"/>
              <w:bottom w:val="dashed" w:sz="4" w:space="0" w:color="auto"/>
              <w:right w:val="nil"/>
            </w:tcBorders>
            <w:noWrap/>
            <w:vAlign w:val="bottom"/>
            <w:hideMark/>
          </w:tcPr>
          <w:p w14:paraId="1770771D" w14:textId="77777777" w:rsidR="00F937DD" w:rsidRPr="00EF3CD0" w:rsidRDefault="00F937DD" w:rsidP="00F937DD">
            <w:pPr>
              <w:spacing w:before="0" w:after="0"/>
              <w:ind w:left="0"/>
              <w:jc w:val="center"/>
              <w:rPr>
                <w:rFonts w:cs="Calibri"/>
                <w:sz w:val="16"/>
                <w:szCs w:val="16"/>
              </w:rPr>
            </w:pPr>
            <w:r w:rsidRPr="00EF3CD0">
              <w:rPr>
                <w:rFonts w:cs="Calibri"/>
                <w:sz w:val="16"/>
                <w:szCs w:val="16"/>
              </w:rPr>
              <w:t>-</w:t>
            </w:r>
          </w:p>
        </w:tc>
        <w:tc>
          <w:tcPr>
            <w:tcW w:w="347" w:type="dxa"/>
            <w:tcBorders>
              <w:top w:val="nil"/>
              <w:left w:val="nil"/>
              <w:bottom w:val="dashed" w:sz="4" w:space="0" w:color="auto"/>
              <w:right w:val="nil"/>
            </w:tcBorders>
            <w:noWrap/>
            <w:vAlign w:val="bottom"/>
            <w:hideMark/>
          </w:tcPr>
          <w:p w14:paraId="5096613C" w14:textId="77777777" w:rsidR="00F937DD" w:rsidRPr="00EF3CD0" w:rsidRDefault="00F937DD" w:rsidP="00F937DD">
            <w:pPr>
              <w:spacing w:before="0" w:after="0"/>
              <w:ind w:left="0"/>
              <w:jc w:val="center"/>
              <w:rPr>
                <w:rFonts w:cs="Calibri"/>
                <w:sz w:val="16"/>
                <w:szCs w:val="16"/>
              </w:rPr>
            </w:pPr>
            <w:r w:rsidRPr="00EF3CD0">
              <w:rPr>
                <w:rFonts w:cs="Calibri"/>
                <w:sz w:val="16"/>
                <w:szCs w:val="16"/>
              </w:rPr>
              <w:t>-</w:t>
            </w:r>
          </w:p>
        </w:tc>
        <w:tc>
          <w:tcPr>
            <w:tcW w:w="800" w:type="dxa"/>
            <w:tcBorders>
              <w:top w:val="nil"/>
              <w:left w:val="nil"/>
              <w:bottom w:val="dashed" w:sz="4" w:space="0" w:color="auto"/>
              <w:right w:val="nil"/>
            </w:tcBorders>
            <w:noWrap/>
            <w:vAlign w:val="bottom"/>
            <w:hideMark/>
          </w:tcPr>
          <w:p w14:paraId="341D2280" w14:textId="77777777" w:rsidR="00F937DD" w:rsidRPr="00EF3CD0" w:rsidRDefault="00F937DD" w:rsidP="00F937DD">
            <w:pPr>
              <w:spacing w:before="0" w:after="0"/>
              <w:ind w:left="0"/>
              <w:jc w:val="center"/>
              <w:rPr>
                <w:rFonts w:cs="Calibri"/>
                <w:sz w:val="16"/>
                <w:szCs w:val="16"/>
              </w:rPr>
            </w:pPr>
            <w:r w:rsidRPr="00EF3CD0">
              <w:rPr>
                <w:rFonts w:cs="Calibri"/>
                <w:sz w:val="16"/>
                <w:szCs w:val="16"/>
              </w:rPr>
              <w:t>-</w:t>
            </w:r>
          </w:p>
        </w:tc>
      </w:tr>
      <w:tr w:rsidR="00F937DD" w:rsidRPr="00EF3CD0" w14:paraId="771993E7" w14:textId="77777777" w:rsidTr="00F937DD">
        <w:trPr>
          <w:trHeight w:val="210"/>
        </w:trPr>
        <w:tc>
          <w:tcPr>
            <w:tcW w:w="1078" w:type="dxa"/>
            <w:tcBorders>
              <w:top w:val="nil"/>
              <w:left w:val="nil"/>
              <w:bottom w:val="dashed" w:sz="4" w:space="0" w:color="auto"/>
              <w:right w:val="nil"/>
            </w:tcBorders>
            <w:noWrap/>
            <w:vAlign w:val="bottom"/>
            <w:hideMark/>
          </w:tcPr>
          <w:p w14:paraId="7E659DA0" w14:textId="77777777" w:rsidR="00F937DD" w:rsidRPr="00EF3CD0" w:rsidRDefault="00F937DD" w:rsidP="00F937DD">
            <w:pPr>
              <w:spacing w:before="0" w:after="0"/>
              <w:ind w:left="0"/>
              <w:jc w:val="left"/>
              <w:rPr>
                <w:rFonts w:cs="Calibri"/>
                <w:sz w:val="16"/>
                <w:szCs w:val="16"/>
              </w:rPr>
            </w:pPr>
            <w:r w:rsidRPr="00EF3CD0">
              <w:rPr>
                <w:rFonts w:cs="Calibri"/>
                <w:sz w:val="16"/>
                <w:szCs w:val="16"/>
              </w:rPr>
              <w:t>Z.09-10</w:t>
            </w:r>
          </w:p>
        </w:tc>
        <w:tc>
          <w:tcPr>
            <w:tcW w:w="1184" w:type="dxa"/>
            <w:tcBorders>
              <w:top w:val="nil"/>
              <w:left w:val="nil"/>
              <w:bottom w:val="dashed" w:sz="4" w:space="0" w:color="auto"/>
              <w:right w:val="nil"/>
            </w:tcBorders>
            <w:noWrap/>
            <w:vAlign w:val="bottom"/>
            <w:hideMark/>
          </w:tcPr>
          <w:p w14:paraId="1B5CF04C" w14:textId="77777777" w:rsidR="00F937DD" w:rsidRPr="00EF3CD0" w:rsidRDefault="00F937DD" w:rsidP="00F937DD">
            <w:pPr>
              <w:spacing w:before="0" w:after="0"/>
              <w:ind w:left="0"/>
              <w:jc w:val="left"/>
              <w:rPr>
                <w:rFonts w:cs="Calibri"/>
                <w:sz w:val="16"/>
                <w:szCs w:val="16"/>
              </w:rPr>
            </w:pPr>
            <w:r w:rsidRPr="00EF3CD0">
              <w:rPr>
                <w:rFonts w:cs="Calibri"/>
                <w:sz w:val="16"/>
                <w:szCs w:val="16"/>
              </w:rPr>
              <w:t>TU</w:t>
            </w:r>
          </w:p>
        </w:tc>
        <w:tc>
          <w:tcPr>
            <w:tcW w:w="587" w:type="dxa"/>
            <w:tcBorders>
              <w:top w:val="nil"/>
              <w:left w:val="nil"/>
              <w:bottom w:val="dashed" w:sz="4" w:space="0" w:color="auto"/>
              <w:right w:val="nil"/>
            </w:tcBorders>
            <w:noWrap/>
            <w:vAlign w:val="bottom"/>
            <w:hideMark/>
          </w:tcPr>
          <w:p w14:paraId="577B601C" w14:textId="77777777" w:rsidR="00F937DD" w:rsidRPr="00EF3CD0" w:rsidRDefault="00F937DD" w:rsidP="00F937DD">
            <w:pPr>
              <w:spacing w:before="0" w:after="0"/>
              <w:ind w:left="0"/>
              <w:jc w:val="right"/>
              <w:rPr>
                <w:rFonts w:cs="Calibri"/>
                <w:b/>
                <w:bCs/>
                <w:sz w:val="16"/>
                <w:szCs w:val="16"/>
              </w:rPr>
            </w:pPr>
            <w:r w:rsidRPr="00EF3CD0">
              <w:rPr>
                <w:rFonts w:cs="Calibri"/>
                <w:b/>
                <w:bCs/>
                <w:sz w:val="16"/>
                <w:szCs w:val="16"/>
              </w:rPr>
              <w:t>0,316</w:t>
            </w:r>
          </w:p>
        </w:tc>
        <w:tc>
          <w:tcPr>
            <w:tcW w:w="580" w:type="dxa"/>
            <w:tcBorders>
              <w:top w:val="nil"/>
              <w:left w:val="nil"/>
              <w:bottom w:val="dashed" w:sz="4" w:space="0" w:color="auto"/>
              <w:right w:val="nil"/>
            </w:tcBorders>
            <w:noWrap/>
            <w:vAlign w:val="bottom"/>
            <w:hideMark/>
          </w:tcPr>
          <w:p w14:paraId="3322FD78" w14:textId="77777777" w:rsidR="00F937DD" w:rsidRPr="00EF3CD0" w:rsidRDefault="00F937DD" w:rsidP="00F937DD">
            <w:pPr>
              <w:spacing w:before="0" w:after="0"/>
              <w:ind w:left="0"/>
              <w:jc w:val="right"/>
              <w:rPr>
                <w:rFonts w:cs="Calibri"/>
                <w:sz w:val="16"/>
                <w:szCs w:val="16"/>
              </w:rPr>
            </w:pPr>
            <w:r w:rsidRPr="00EF3CD0">
              <w:rPr>
                <w:rFonts w:cs="Calibri"/>
                <w:sz w:val="16"/>
                <w:szCs w:val="16"/>
              </w:rPr>
              <w:t>0,316</w:t>
            </w:r>
          </w:p>
        </w:tc>
        <w:tc>
          <w:tcPr>
            <w:tcW w:w="760" w:type="dxa"/>
            <w:tcBorders>
              <w:top w:val="nil"/>
              <w:left w:val="nil"/>
              <w:bottom w:val="dashed" w:sz="4" w:space="0" w:color="auto"/>
              <w:right w:val="nil"/>
            </w:tcBorders>
            <w:noWrap/>
            <w:vAlign w:val="bottom"/>
            <w:hideMark/>
          </w:tcPr>
          <w:p w14:paraId="6062C2A1" w14:textId="77777777" w:rsidR="00F937DD" w:rsidRPr="00EF3CD0" w:rsidRDefault="00F937DD" w:rsidP="00F937DD">
            <w:pPr>
              <w:spacing w:before="0" w:after="0"/>
              <w:ind w:left="0"/>
              <w:jc w:val="center"/>
              <w:rPr>
                <w:rFonts w:cs="Calibri"/>
                <w:sz w:val="16"/>
                <w:szCs w:val="16"/>
              </w:rPr>
            </w:pPr>
            <w:r w:rsidRPr="00EF3CD0">
              <w:rPr>
                <w:rFonts w:cs="Calibri"/>
                <w:sz w:val="16"/>
                <w:szCs w:val="16"/>
              </w:rPr>
              <w:t>-</w:t>
            </w:r>
          </w:p>
        </w:tc>
        <w:tc>
          <w:tcPr>
            <w:tcW w:w="580" w:type="dxa"/>
            <w:tcBorders>
              <w:top w:val="nil"/>
              <w:left w:val="nil"/>
              <w:bottom w:val="dashed" w:sz="4" w:space="0" w:color="auto"/>
              <w:right w:val="nil"/>
            </w:tcBorders>
            <w:noWrap/>
            <w:vAlign w:val="bottom"/>
            <w:hideMark/>
          </w:tcPr>
          <w:p w14:paraId="47D172C1" w14:textId="77777777" w:rsidR="00F937DD" w:rsidRPr="00EF3CD0" w:rsidRDefault="00F937DD" w:rsidP="00F937DD">
            <w:pPr>
              <w:spacing w:before="0" w:after="0"/>
              <w:ind w:left="0"/>
              <w:jc w:val="center"/>
              <w:rPr>
                <w:rFonts w:cs="Calibri"/>
                <w:sz w:val="16"/>
                <w:szCs w:val="16"/>
              </w:rPr>
            </w:pPr>
            <w:r w:rsidRPr="00EF3CD0">
              <w:rPr>
                <w:rFonts w:cs="Calibri"/>
                <w:sz w:val="16"/>
                <w:szCs w:val="16"/>
              </w:rPr>
              <w:t>-</w:t>
            </w:r>
          </w:p>
        </w:tc>
        <w:tc>
          <w:tcPr>
            <w:tcW w:w="640" w:type="dxa"/>
            <w:tcBorders>
              <w:top w:val="nil"/>
              <w:left w:val="nil"/>
              <w:bottom w:val="dashed" w:sz="4" w:space="0" w:color="auto"/>
              <w:right w:val="nil"/>
            </w:tcBorders>
            <w:noWrap/>
            <w:vAlign w:val="bottom"/>
            <w:hideMark/>
          </w:tcPr>
          <w:p w14:paraId="492C2EE7" w14:textId="77777777" w:rsidR="00F937DD" w:rsidRPr="00EF3CD0" w:rsidRDefault="00F937DD" w:rsidP="00F937DD">
            <w:pPr>
              <w:spacing w:before="0" w:after="0"/>
              <w:ind w:left="0"/>
              <w:jc w:val="center"/>
              <w:rPr>
                <w:rFonts w:cs="Calibri"/>
                <w:sz w:val="16"/>
                <w:szCs w:val="16"/>
              </w:rPr>
            </w:pPr>
            <w:r w:rsidRPr="00EF3CD0">
              <w:rPr>
                <w:rFonts w:cs="Calibri"/>
                <w:sz w:val="16"/>
                <w:szCs w:val="16"/>
              </w:rPr>
              <w:t>-</w:t>
            </w:r>
          </w:p>
        </w:tc>
        <w:tc>
          <w:tcPr>
            <w:tcW w:w="720" w:type="dxa"/>
            <w:tcBorders>
              <w:top w:val="nil"/>
              <w:left w:val="nil"/>
              <w:bottom w:val="dashed" w:sz="4" w:space="0" w:color="auto"/>
              <w:right w:val="nil"/>
            </w:tcBorders>
            <w:noWrap/>
            <w:vAlign w:val="bottom"/>
            <w:hideMark/>
          </w:tcPr>
          <w:p w14:paraId="3F103720" w14:textId="77777777" w:rsidR="00F937DD" w:rsidRPr="00EF3CD0" w:rsidRDefault="00F937DD" w:rsidP="00F937DD">
            <w:pPr>
              <w:spacing w:before="0" w:after="0"/>
              <w:ind w:left="0"/>
              <w:jc w:val="center"/>
              <w:rPr>
                <w:rFonts w:cs="Calibri"/>
                <w:sz w:val="16"/>
                <w:szCs w:val="16"/>
              </w:rPr>
            </w:pPr>
            <w:r w:rsidRPr="00EF3CD0">
              <w:rPr>
                <w:rFonts w:cs="Calibri"/>
                <w:sz w:val="16"/>
                <w:szCs w:val="16"/>
              </w:rPr>
              <w:t>-</w:t>
            </w:r>
          </w:p>
        </w:tc>
        <w:tc>
          <w:tcPr>
            <w:tcW w:w="860" w:type="dxa"/>
            <w:tcBorders>
              <w:top w:val="nil"/>
              <w:left w:val="nil"/>
              <w:bottom w:val="dashed" w:sz="4" w:space="0" w:color="auto"/>
              <w:right w:val="nil"/>
            </w:tcBorders>
            <w:noWrap/>
            <w:vAlign w:val="bottom"/>
            <w:hideMark/>
          </w:tcPr>
          <w:p w14:paraId="6C1F8CFB" w14:textId="77777777" w:rsidR="00F937DD" w:rsidRPr="00EF3CD0" w:rsidRDefault="00F937DD" w:rsidP="00F937DD">
            <w:pPr>
              <w:spacing w:before="0" w:after="0"/>
              <w:ind w:left="0"/>
              <w:jc w:val="center"/>
              <w:rPr>
                <w:rFonts w:cs="Calibri"/>
                <w:sz w:val="16"/>
                <w:szCs w:val="16"/>
              </w:rPr>
            </w:pPr>
            <w:r w:rsidRPr="00EF3CD0">
              <w:rPr>
                <w:rFonts w:cs="Calibri"/>
                <w:sz w:val="16"/>
                <w:szCs w:val="16"/>
              </w:rPr>
              <w:t>-</w:t>
            </w:r>
          </w:p>
        </w:tc>
        <w:tc>
          <w:tcPr>
            <w:tcW w:w="420" w:type="dxa"/>
            <w:tcBorders>
              <w:top w:val="nil"/>
              <w:left w:val="nil"/>
              <w:bottom w:val="dashed" w:sz="4" w:space="0" w:color="auto"/>
              <w:right w:val="nil"/>
            </w:tcBorders>
            <w:noWrap/>
            <w:vAlign w:val="bottom"/>
            <w:hideMark/>
          </w:tcPr>
          <w:p w14:paraId="11706888" w14:textId="77777777" w:rsidR="00F937DD" w:rsidRPr="00EF3CD0" w:rsidRDefault="00F937DD" w:rsidP="00F937DD">
            <w:pPr>
              <w:spacing w:before="0" w:after="0"/>
              <w:ind w:left="0"/>
              <w:jc w:val="center"/>
              <w:rPr>
                <w:rFonts w:cs="Calibri"/>
                <w:sz w:val="16"/>
                <w:szCs w:val="16"/>
              </w:rPr>
            </w:pPr>
            <w:r w:rsidRPr="00EF3CD0">
              <w:rPr>
                <w:rFonts w:cs="Calibri"/>
                <w:sz w:val="16"/>
                <w:szCs w:val="16"/>
              </w:rPr>
              <w:t>-</w:t>
            </w:r>
          </w:p>
        </w:tc>
        <w:tc>
          <w:tcPr>
            <w:tcW w:w="380" w:type="dxa"/>
            <w:tcBorders>
              <w:top w:val="nil"/>
              <w:left w:val="nil"/>
              <w:bottom w:val="dashed" w:sz="4" w:space="0" w:color="auto"/>
              <w:right w:val="nil"/>
            </w:tcBorders>
            <w:noWrap/>
            <w:vAlign w:val="bottom"/>
            <w:hideMark/>
          </w:tcPr>
          <w:p w14:paraId="2066D9E3" w14:textId="77777777" w:rsidR="00F937DD" w:rsidRPr="00EF3CD0" w:rsidRDefault="00F937DD" w:rsidP="00F937DD">
            <w:pPr>
              <w:spacing w:before="0" w:after="0"/>
              <w:ind w:left="0"/>
              <w:jc w:val="center"/>
              <w:rPr>
                <w:rFonts w:cs="Calibri"/>
                <w:sz w:val="16"/>
                <w:szCs w:val="16"/>
              </w:rPr>
            </w:pPr>
            <w:r w:rsidRPr="00EF3CD0">
              <w:rPr>
                <w:rFonts w:cs="Calibri"/>
                <w:sz w:val="16"/>
                <w:szCs w:val="16"/>
              </w:rPr>
              <w:t>-</w:t>
            </w:r>
          </w:p>
        </w:tc>
        <w:tc>
          <w:tcPr>
            <w:tcW w:w="347" w:type="dxa"/>
            <w:tcBorders>
              <w:top w:val="nil"/>
              <w:left w:val="nil"/>
              <w:bottom w:val="dashed" w:sz="4" w:space="0" w:color="auto"/>
              <w:right w:val="nil"/>
            </w:tcBorders>
            <w:noWrap/>
            <w:vAlign w:val="bottom"/>
            <w:hideMark/>
          </w:tcPr>
          <w:p w14:paraId="24C1A0F3" w14:textId="77777777" w:rsidR="00F937DD" w:rsidRPr="00EF3CD0" w:rsidRDefault="00F937DD" w:rsidP="00F937DD">
            <w:pPr>
              <w:spacing w:before="0" w:after="0"/>
              <w:ind w:left="0"/>
              <w:jc w:val="center"/>
              <w:rPr>
                <w:rFonts w:cs="Calibri"/>
                <w:sz w:val="16"/>
                <w:szCs w:val="16"/>
              </w:rPr>
            </w:pPr>
            <w:r w:rsidRPr="00EF3CD0">
              <w:rPr>
                <w:rFonts w:cs="Calibri"/>
                <w:sz w:val="16"/>
                <w:szCs w:val="16"/>
              </w:rPr>
              <w:t>-</w:t>
            </w:r>
          </w:p>
        </w:tc>
        <w:tc>
          <w:tcPr>
            <w:tcW w:w="800" w:type="dxa"/>
            <w:tcBorders>
              <w:top w:val="nil"/>
              <w:left w:val="nil"/>
              <w:bottom w:val="dashed" w:sz="4" w:space="0" w:color="auto"/>
              <w:right w:val="nil"/>
            </w:tcBorders>
            <w:noWrap/>
            <w:vAlign w:val="bottom"/>
            <w:hideMark/>
          </w:tcPr>
          <w:p w14:paraId="334848B2" w14:textId="77777777" w:rsidR="00F937DD" w:rsidRPr="00EF3CD0" w:rsidRDefault="00F937DD" w:rsidP="00F937DD">
            <w:pPr>
              <w:spacing w:before="0" w:after="0"/>
              <w:ind w:left="0"/>
              <w:jc w:val="center"/>
              <w:rPr>
                <w:rFonts w:cs="Calibri"/>
                <w:sz w:val="16"/>
                <w:szCs w:val="16"/>
              </w:rPr>
            </w:pPr>
            <w:r w:rsidRPr="00EF3CD0">
              <w:rPr>
                <w:rFonts w:cs="Calibri"/>
                <w:sz w:val="16"/>
                <w:szCs w:val="16"/>
              </w:rPr>
              <w:t>-</w:t>
            </w:r>
          </w:p>
        </w:tc>
      </w:tr>
      <w:tr w:rsidR="00F937DD" w:rsidRPr="00EF3CD0" w14:paraId="403BE97B" w14:textId="77777777" w:rsidTr="00F937DD">
        <w:trPr>
          <w:trHeight w:val="210"/>
        </w:trPr>
        <w:tc>
          <w:tcPr>
            <w:tcW w:w="1078" w:type="dxa"/>
            <w:tcBorders>
              <w:top w:val="nil"/>
              <w:left w:val="nil"/>
              <w:bottom w:val="dashed" w:sz="4" w:space="0" w:color="auto"/>
              <w:right w:val="nil"/>
            </w:tcBorders>
            <w:noWrap/>
            <w:vAlign w:val="bottom"/>
            <w:hideMark/>
          </w:tcPr>
          <w:p w14:paraId="2B4BEA73" w14:textId="77777777" w:rsidR="00F937DD" w:rsidRPr="00EF3CD0" w:rsidRDefault="00F937DD" w:rsidP="00F937DD">
            <w:pPr>
              <w:spacing w:before="0" w:after="0"/>
              <w:ind w:left="0"/>
              <w:jc w:val="left"/>
              <w:rPr>
                <w:rFonts w:cs="Calibri"/>
                <w:sz w:val="16"/>
                <w:szCs w:val="16"/>
              </w:rPr>
            </w:pPr>
            <w:r w:rsidRPr="00EF3CD0">
              <w:rPr>
                <w:rFonts w:cs="Calibri"/>
                <w:sz w:val="16"/>
                <w:szCs w:val="16"/>
              </w:rPr>
              <w:t>Z.10-10</w:t>
            </w:r>
          </w:p>
        </w:tc>
        <w:tc>
          <w:tcPr>
            <w:tcW w:w="1184" w:type="dxa"/>
            <w:tcBorders>
              <w:top w:val="nil"/>
              <w:left w:val="nil"/>
              <w:bottom w:val="dashed" w:sz="4" w:space="0" w:color="auto"/>
              <w:right w:val="nil"/>
            </w:tcBorders>
            <w:noWrap/>
            <w:vAlign w:val="bottom"/>
            <w:hideMark/>
          </w:tcPr>
          <w:p w14:paraId="1A6DF60D" w14:textId="77777777" w:rsidR="00F937DD" w:rsidRPr="00EF3CD0" w:rsidRDefault="00F937DD" w:rsidP="00F937DD">
            <w:pPr>
              <w:spacing w:before="0" w:after="0"/>
              <w:ind w:left="0"/>
              <w:jc w:val="left"/>
              <w:rPr>
                <w:rFonts w:cs="Calibri"/>
                <w:sz w:val="16"/>
                <w:szCs w:val="16"/>
              </w:rPr>
            </w:pPr>
            <w:r w:rsidRPr="00EF3CD0">
              <w:rPr>
                <w:rFonts w:cs="Calibri"/>
                <w:sz w:val="16"/>
                <w:szCs w:val="16"/>
              </w:rPr>
              <w:t>TU</w:t>
            </w:r>
          </w:p>
        </w:tc>
        <w:tc>
          <w:tcPr>
            <w:tcW w:w="587" w:type="dxa"/>
            <w:tcBorders>
              <w:top w:val="nil"/>
              <w:left w:val="nil"/>
              <w:bottom w:val="dashed" w:sz="4" w:space="0" w:color="auto"/>
              <w:right w:val="nil"/>
            </w:tcBorders>
            <w:noWrap/>
            <w:vAlign w:val="bottom"/>
            <w:hideMark/>
          </w:tcPr>
          <w:p w14:paraId="07851403" w14:textId="77777777" w:rsidR="00F937DD" w:rsidRPr="00EF3CD0" w:rsidRDefault="00F937DD" w:rsidP="00F937DD">
            <w:pPr>
              <w:spacing w:before="0" w:after="0"/>
              <w:ind w:left="0"/>
              <w:jc w:val="right"/>
              <w:rPr>
                <w:rFonts w:cs="Calibri"/>
                <w:b/>
                <w:bCs/>
                <w:sz w:val="16"/>
                <w:szCs w:val="16"/>
              </w:rPr>
            </w:pPr>
            <w:r w:rsidRPr="00EF3CD0">
              <w:rPr>
                <w:rFonts w:cs="Calibri"/>
                <w:b/>
                <w:bCs/>
                <w:sz w:val="16"/>
                <w:szCs w:val="16"/>
              </w:rPr>
              <w:t>0,188</w:t>
            </w:r>
          </w:p>
        </w:tc>
        <w:tc>
          <w:tcPr>
            <w:tcW w:w="580" w:type="dxa"/>
            <w:tcBorders>
              <w:top w:val="nil"/>
              <w:left w:val="nil"/>
              <w:bottom w:val="dashed" w:sz="4" w:space="0" w:color="auto"/>
              <w:right w:val="nil"/>
            </w:tcBorders>
            <w:noWrap/>
            <w:vAlign w:val="bottom"/>
            <w:hideMark/>
          </w:tcPr>
          <w:p w14:paraId="175D6EEA" w14:textId="77777777" w:rsidR="00F937DD" w:rsidRPr="00EF3CD0" w:rsidRDefault="00F937DD" w:rsidP="00F937DD">
            <w:pPr>
              <w:spacing w:before="0" w:after="0"/>
              <w:ind w:left="0"/>
              <w:jc w:val="center"/>
              <w:rPr>
                <w:rFonts w:cs="Calibri"/>
                <w:sz w:val="16"/>
                <w:szCs w:val="16"/>
              </w:rPr>
            </w:pPr>
            <w:r w:rsidRPr="00EF3CD0">
              <w:rPr>
                <w:rFonts w:cs="Calibri"/>
                <w:sz w:val="16"/>
                <w:szCs w:val="16"/>
              </w:rPr>
              <w:t>-</w:t>
            </w:r>
          </w:p>
        </w:tc>
        <w:tc>
          <w:tcPr>
            <w:tcW w:w="760" w:type="dxa"/>
            <w:tcBorders>
              <w:top w:val="nil"/>
              <w:left w:val="nil"/>
              <w:bottom w:val="dashed" w:sz="4" w:space="0" w:color="auto"/>
              <w:right w:val="nil"/>
            </w:tcBorders>
            <w:noWrap/>
            <w:vAlign w:val="bottom"/>
            <w:hideMark/>
          </w:tcPr>
          <w:p w14:paraId="7674C6D8" w14:textId="77777777" w:rsidR="00F937DD" w:rsidRPr="00EF3CD0" w:rsidRDefault="00F937DD" w:rsidP="00F937DD">
            <w:pPr>
              <w:spacing w:before="0" w:after="0"/>
              <w:ind w:left="0"/>
              <w:jc w:val="right"/>
              <w:rPr>
                <w:rFonts w:cs="Calibri"/>
                <w:sz w:val="16"/>
                <w:szCs w:val="16"/>
              </w:rPr>
            </w:pPr>
            <w:r w:rsidRPr="00EF3CD0">
              <w:rPr>
                <w:rFonts w:cs="Calibri"/>
                <w:sz w:val="16"/>
                <w:szCs w:val="16"/>
              </w:rPr>
              <w:t>0,184</w:t>
            </w:r>
          </w:p>
        </w:tc>
        <w:tc>
          <w:tcPr>
            <w:tcW w:w="580" w:type="dxa"/>
            <w:tcBorders>
              <w:top w:val="nil"/>
              <w:left w:val="nil"/>
              <w:bottom w:val="dashed" w:sz="4" w:space="0" w:color="auto"/>
              <w:right w:val="nil"/>
            </w:tcBorders>
            <w:noWrap/>
            <w:vAlign w:val="bottom"/>
            <w:hideMark/>
          </w:tcPr>
          <w:p w14:paraId="78FD4360" w14:textId="77777777" w:rsidR="00F937DD" w:rsidRPr="00EF3CD0" w:rsidRDefault="00F937DD" w:rsidP="00F937DD">
            <w:pPr>
              <w:spacing w:before="0" w:after="0"/>
              <w:ind w:left="0"/>
              <w:jc w:val="center"/>
              <w:rPr>
                <w:rFonts w:cs="Calibri"/>
                <w:sz w:val="16"/>
                <w:szCs w:val="16"/>
              </w:rPr>
            </w:pPr>
            <w:r w:rsidRPr="00EF3CD0">
              <w:rPr>
                <w:rFonts w:cs="Calibri"/>
                <w:sz w:val="16"/>
                <w:szCs w:val="16"/>
              </w:rPr>
              <w:t>-</w:t>
            </w:r>
          </w:p>
        </w:tc>
        <w:tc>
          <w:tcPr>
            <w:tcW w:w="640" w:type="dxa"/>
            <w:tcBorders>
              <w:top w:val="nil"/>
              <w:left w:val="nil"/>
              <w:bottom w:val="dashed" w:sz="4" w:space="0" w:color="auto"/>
              <w:right w:val="nil"/>
            </w:tcBorders>
            <w:noWrap/>
            <w:vAlign w:val="bottom"/>
            <w:hideMark/>
          </w:tcPr>
          <w:p w14:paraId="270EC445" w14:textId="77777777" w:rsidR="00F937DD" w:rsidRPr="00EF3CD0" w:rsidRDefault="00F937DD" w:rsidP="00F937DD">
            <w:pPr>
              <w:spacing w:before="0" w:after="0"/>
              <w:ind w:left="0"/>
              <w:jc w:val="center"/>
              <w:rPr>
                <w:rFonts w:cs="Calibri"/>
                <w:sz w:val="16"/>
                <w:szCs w:val="16"/>
              </w:rPr>
            </w:pPr>
            <w:r w:rsidRPr="00EF3CD0">
              <w:rPr>
                <w:rFonts w:cs="Calibri"/>
                <w:sz w:val="16"/>
                <w:szCs w:val="16"/>
              </w:rPr>
              <w:t>-</w:t>
            </w:r>
          </w:p>
        </w:tc>
        <w:tc>
          <w:tcPr>
            <w:tcW w:w="720" w:type="dxa"/>
            <w:tcBorders>
              <w:top w:val="nil"/>
              <w:left w:val="nil"/>
              <w:bottom w:val="dashed" w:sz="4" w:space="0" w:color="auto"/>
              <w:right w:val="nil"/>
            </w:tcBorders>
            <w:noWrap/>
            <w:vAlign w:val="bottom"/>
            <w:hideMark/>
          </w:tcPr>
          <w:p w14:paraId="7C8C516C" w14:textId="77777777" w:rsidR="00F937DD" w:rsidRPr="00EF3CD0" w:rsidRDefault="00F937DD" w:rsidP="00F937DD">
            <w:pPr>
              <w:spacing w:before="0" w:after="0"/>
              <w:ind w:left="0"/>
              <w:jc w:val="right"/>
              <w:rPr>
                <w:rFonts w:cs="Calibri"/>
                <w:sz w:val="16"/>
                <w:szCs w:val="16"/>
              </w:rPr>
            </w:pPr>
            <w:r w:rsidRPr="00EF3CD0">
              <w:rPr>
                <w:rFonts w:cs="Calibri"/>
                <w:sz w:val="16"/>
                <w:szCs w:val="16"/>
              </w:rPr>
              <w:t>0,004</w:t>
            </w:r>
          </w:p>
        </w:tc>
        <w:tc>
          <w:tcPr>
            <w:tcW w:w="860" w:type="dxa"/>
            <w:tcBorders>
              <w:top w:val="nil"/>
              <w:left w:val="nil"/>
              <w:bottom w:val="dashed" w:sz="4" w:space="0" w:color="auto"/>
              <w:right w:val="nil"/>
            </w:tcBorders>
            <w:noWrap/>
            <w:vAlign w:val="bottom"/>
            <w:hideMark/>
          </w:tcPr>
          <w:p w14:paraId="2E1C8B94" w14:textId="77777777" w:rsidR="00F937DD" w:rsidRPr="00EF3CD0" w:rsidRDefault="00F937DD" w:rsidP="00F937DD">
            <w:pPr>
              <w:spacing w:before="0" w:after="0"/>
              <w:ind w:left="0"/>
              <w:jc w:val="center"/>
              <w:rPr>
                <w:rFonts w:cs="Calibri"/>
                <w:sz w:val="16"/>
                <w:szCs w:val="16"/>
              </w:rPr>
            </w:pPr>
            <w:r w:rsidRPr="00EF3CD0">
              <w:rPr>
                <w:rFonts w:cs="Calibri"/>
                <w:sz w:val="16"/>
                <w:szCs w:val="16"/>
              </w:rPr>
              <w:t>-</w:t>
            </w:r>
          </w:p>
        </w:tc>
        <w:tc>
          <w:tcPr>
            <w:tcW w:w="420" w:type="dxa"/>
            <w:tcBorders>
              <w:top w:val="nil"/>
              <w:left w:val="nil"/>
              <w:bottom w:val="dashed" w:sz="4" w:space="0" w:color="auto"/>
              <w:right w:val="nil"/>
            </w:tcBorders>
            <w:noWrap/>
            <w:vAlign w:val="bottom"/>
            <w:hideMark/>
          </w:tcPr>
          <w:p w14:paraId="1823839C" w14:textId="77777777" w:rsidR="00F937DD" w:rsidRPr="00EF3CD0" w:rsidRDefault="00F937DD" w:rsidP="00F937DD">
            <w:pPr>
              <w:spacing w:before="0" w:after="0"/>
              <w:ind w:left="0"/>
              <w:jc w:val="center"/>
              <w:rPr>
                <w:rFonts w:cs="Calibri"/>
                <w:sz w:val="16"/>
                <w:szCs w:val="16"/>
              </w:rPr>
            </w:pPr>
            <w:r w:rsidRPr="00EF3CD0">
              <w:rPr>
                <w:rFonts w:cs="Calibri"/>
                <w:sz w:val="16"/>
                <w:szCs w:val="16"/>
              </w:rPr>
              <w:t>-</w:t>
            </w:r>
          </w:p>
        </w:tc>
        <w:tc>
          <w:tcPr>
            <w:tcW w:w="380" w:type="dxa"/>
            <w:tcBorders>
              <w:top w:val="nil"/>
              <w:left w:val="nil"/>
              <w:bottom w:val="dashed" w:sz="4" w:space="0" w:color="auto"/>
              <w:right w:val="nil"/>
            </w:tcBorders>
            <w:noWrap/>
            <w:vAlign w:val="bottom"/>
            <w:hideMark/>
          </w:tcPr>
          <w:p w14:paraId="257CBF28" w14:textId="77777777" w:rsidR="00F937DD" w:rsidRPr="00EF3CD0" w:rsidRDefault="00F937DD" w:rsidP="00F937DD">
            <w:pPr>
              <w:spacing w:before="0" w:after="0"/>
              <w:ind w:left="0"/>
              <w:jc w:val="center"/>
              <w:rPr>
                <w:rFonts w:cs="Calibri"/>
                <w:sz w:val="16"/>
                <w:szCs w:val="16"/>
              </w:rPr>
            </w:pPr>
            <w:r w:rsidRPr="00EF3CD0">
              <w:rPr>
                <w:rFonts w:cs="Calibri"/>
                <w:sz w:val="16"/>
                <w:szCs w:val="16"/>
              </w:rPr>
              <w:t>-</w:t>
            </w:r>
          </w:p>
        </w:tc>
        <w:tc>
          <w:tcPr>
            <w:tcW w:w="347" w:type="dxa"/>
            <w:tcBorders>
              <w:top w:val="nil"/>
              <w:left w:val="nil"/>
              <w:bottom w:val="dashed" w:sz="4" w:space="0" w:color="auto"/>
              <w:right w:val="nil"/>
            </w:tcBorders>
            <w:noWrap/>
            <w:vAlign w:val="bottom"/>
            <w:hideMark/>
          </w:tcPr>
          <w:p w14:paraId="3DBE1FF2" w14:textId="77777777" w:rsidR="00F937DD" w:rsidRPr="00EF3CD0" w:rsidRDefault="00F937DD" w:rsidP="00F937DD">
            <w:pPr>
              <w:spacing w:before="0" w:after="0"/>
              <w:ind w:left="0"/>
              <w:jc w:val="center"/>
              <w:rPr>
                <w:rFonts w:cs="Calibri"/>
                <w:sz w:val="16"/>
                <w:szCs w:val="16"/>
              </w:rPr>
            </w:pPr>
            <w:r w:rsidRPr="00EF3CD0">
              <w:rPr>
                <w:rFonts w:cs="Calibri"/>
                <w:sz w:val="16"/>
                <w:szCs w:val="16"/>
              </w:rPr>
              <w:t>-</w:t>
            </w:r>
          </w:p>
        </w:tc>
        <w:tc>
          <w:tcPr>
            <w:tcW w:w="800" w:type="dxa"/>
            <w:tcBorders>
              <w:top w:val="nil"/>
              <w:left w:val="nil"/>
              <w:bottom w:val="dashed" w:sz="4" w:space="0" w:color="auto"/>
              <w:right w:val="nil"/>
            </w:tcBorders>
            <w:noWrap/>
            <w:vAlign w:val="bottom"/>
            <w:hideMark/>
          </w:tcPr>
          <w:p w14:paraId="41DC6C84" w14:textId="77777777" w:rsidR="00F937DD" w:rsidRPr="00EF3CD0" w:rsidRDefault="00F937DD" w:rsidP="00F937DD">
            <w:pPr>
              <w:spacing w:before="0" w:after="0"/>
              <w:ind w:left="0"/>
              <w:jc w:val="center"/>
              <w:rPr>
                <w:rFonts w:cs="Calibri"/>
                <w:sz w:val="16"/>
                <w:szCs w:val="16"/>
              </w:rPr>
            </w:pPr>
            <w:r w:rsidRPr="00EF3CD0">
              <w:rPr>
                <w:rFonts w:cs="Calibri"/>
                <w:sz w:val="16"/>
                <w:szCs w:val="16"/>
              </w:rPr>
              <w:t>-</w:t>
            </w:r>
          </w:p>
        </w:tc>
      </w:tr>
      <w:tr w:rsidR="00F937DD" w:rsidRPr="00EF3CD0" w14:paraId="43CD142D" w14:textId="77777777" w:rsidTr="00F937DD">
        <w:trPr>
          <w:trHeight w:val="210"/>
        </w:trPr>
        <w:tc>
          <w:tcPr>
            <w:tcW w:w="2262" w:type="dxa"/>
            <w:gridSpan w:val="2"/>
            <w:tcBorders>
              <w:top w:val="nil"/>
              <w:left w:val="nil"/>
              <w:bottom w:val="dashed" w:sz="4" w:space="0" w:color="auto"/>
              <w:right w:val="nil"/>
            </w:tcBorders>
            <w:noWrap/>
            <w:vAlign w:val="bottom"/>
          </w:tcPr>
          <w:p w14:paraId="7624CB19" w14:textId="324430D9" w:rsidR="00F937DD" w:rsidRPr="00EF3CD0" w:rsidRDefault="00F937DD" w:rsidP="00F937DD">
            <w:pPr>
              <w:spacing w:before="0" w:after="0"/>
              <w:ind w:left="0"/>
              <w:jc w:val="left"/>
              <w:rPr>
                <w:rFonts w:cs="Calibri"/>
                <w:sz w:val="16"/>
                <w:szCs w:val="16"/>
              </w:rPr>
            </w:pPr>
            <w:r w:rsidRPr="00EF3CD0">
              <w:rPr>
                <w:rFonts w:cs="Calibri"/>
                <w:b/>
                <w:bCs/>
                <w:i/>
                <w:iCs/>
                <w:sz w:val="16"/>
                <w:szCs w:val="16"/>
              </w:rPr>
              <w:t>zastavitelné plochy celkem</w:t>
            </w:r>
          </w:p>
        </w:tc>
        <w:tc>
          <w:tcPr>
            <w:tcW w:w="587" w:type="dxa"/>
            <w:tcBorders>
              <w:top w:val="nil"/>
              <w:left w:val="nil"/>
              <w:bottom w:val="dashed" w:sz="4" w:space="0" w:color="auto"/>
              <w:right w:val="nil"/>
            </w:tcBorders>
            <w:noWrap/>
            <w:vAlign w:val="center"/>
          </w:tcPr>
          <w:p w14:paraId="7C906B2D" w14:textId="4B879E48" w:rsidR="00F937DD" w:rsidRPr="00EF3CD0" w:rsidRDefault="00F937DD" w:rsidP="00F937DD">
            <w:pPr>
              <w:spacing w:before="0" w:after="0"/>
              <w:ind w:left="0"/>
              <w:jc w:val="right"/>
              <w:rPr>
                <w:rFonts w:cs="Calibri"/>
                <w:b/>
                <w:bCs/>
                <w:sz w:val="16"/>
                <w:szCs w:val="16"/>
              </w:rPr>
            </w:pPr>
            <w:r w:rsidRPr="00EF3CD0">
              <w:rPr>
                <w:rFonts w:cs="Calibri"/>
                <w:b/>
                <w:bCs/>
                <w:i/>
                <w:iCs/>
                <w:sz w:val="16"/>
                <w:szCs w:val="16"/>
              </w:rPr>
              <w:t>0,552</w:t>
            </w:r>
          </w:p>
        </w:tc>
        <w:tc>
          <w:tcPr>
            <w:tcW w:w="580" w:type="dxa"/>
            <w:tcBorders>
              <w:top w:val="nil"/>
              <w:left w:val="nil"/>
              <w:bottom w:val="dashed" w:sz="4" w:space="0" w:color="auto"/>
              <w:right w:val="nil"/>
            </w:tcBorders>
            <w:noWrap/>
            <w:vAlign w:val="center"/>
          </w:tcPr>
          <w:p w14:paraId="4B6C892B" w14:textId="2CD00520" w:rsidR="00F937DD" w:rsidRPr="00EF3CD0" w:rsidRDefault="00F937DD" w:rsidP="00F937DD">
            <w:pPr>
              <w:spacing w:before="0" w:after="0"/>
              <w:ind w:left="0"/>
              <w:jc w:val="center"/>
              <w:rPr>
                <w:rFonts w:cs="Calibri"/>
                <w:sz w:val="16"/>
                <w:szCs w:val="16"/>
              </w:rPr>
            </w:pPr>
            <w:r w:rsidRPr="00EF3CD0">
              <w:rPr>
                <w:rFonts w:cs="Calibri"/>
                <w:b/>
                <w:bCs/>
                <w:i/>
                <w:iCs/>
                <w:sz w:val="16"/>
                <w:szCs w:val="16"/>
              </w:rPr>
              <w:t>0,316</w:t>
            </w:r>
          </w:p>
        </w:tc>
        <w:tc>
          <w:tcPr>
            <w:tcW w:w="760" w:type="dxa"/>
            <w:tcBorders>
              <w:top w:val="nil"/>
              <w:left w:val="nil"/>
              <w:bottom w:val="dashed" w:sz="4" w:space="0" w:color="auto"/>
              <w:right w:val="nil"/>
            </w:tcBorders>
            <w:noWrap/>
            <w:vAlign w:val="center"/>
          </w:tcPr>
          <w:p w14:paraId="1DD71F26" w14:textId="436175B7" w:rsidR="00F937DD" w:rsidRPr="00EF3CD0" w:rsidRDefault="00F937DD" w:rsidP="00F937DD">
            <w:pPr>
              <w:spacing w:before="0" w:after="0"/>
              <w:ind w:left="0"/>
              <w:jc w:val="right"/>
              <w:rPr>
                <w:rFonts w:cs="Calibri"/>
                <w:sz w:val="16"/>
                <w:szCs w:val="16"/>
              </w:rPr>
            </w:pPr>
            <w:r w:rsidRPr="00EF3CD0">
              <w:rPr>
                <w:rFonts w:cs="Calibri"/>
                <w:b/>
                <w:bCs/>
                <w:i/>
                <w:iCs/>
                <w:sz w:val="16"/>
                <w:szCs w:val="16"/>
              </w:rPr>
              <w:t>0,184</w:t>
            </w:r>
          </w:p>
        </w:tc>
        <w:tc>
          <w:tcPr>
            <w:tcW w:w="580" w:type="dxa"/>
            <w:tcBorders>
              <w:top w:val="nil"/>
              <w:left w:val="nil"/>
              <w:bottom w:val="dashed" w:sz="4" w:space="0" w:color="auto"/>
              <w:right w:val="nil"/>
            </w:tcBorders>
            <w:noWrap/>
            <w:vAlign w:val="center"/>
          </w:tcPr>
          <w:p w14:paraId="60D2B731" w14:textId="0CEDC633" w:rsidR="00F937DD" w:rsidRPr="00EF3CD0" w:rsidRDefault="00F937DD" w:rsidP="00F937DD">
            <w:pPr>
              <w:spacing w:before="0" w:after="0"/>
              <w:ind w:left="0"/>
              <w:jc w:val="center"/>
              <w:rPr>
                <w:rFonts w:cs="Calibri"/>
                <w:sz w:val="16"/>
                <w:szCs w:val="16"/>
              </w:rPr>
            </w:pPr>
            <w:r w:rsidRPr="00EF3CD0">
              <w:rPr>
                <w:rFonts w:cs="Calibri"/>
                <w:b/>
                <w:bCs/>
                <w:i/>
                <w:iCs/>
                <w:sz w:val="16"/>
                <w:szCs w:val="16"/>
              </w:rPr>
              <w:t>0,000</w:t>
            </w:r>
          </w:p>
        </w:tc>
        <w:tc>
          <w:tcPr>
            <w:tcW w:w="640" w:type="dxa"/>
            <w:tcBorders>
              <w:top w:val="nil"/>
              <w:left w:val="nil"/>
              <w:bottom w:val="dashed" w:sz="4" w:space="0" w:color="auto"/>
              <w:right w:val="nil"/>
            </w:tcBorders>
            <w:noWrap/>
            <w:vAlign w:val="center"/>
          </w:tcPr>
          <w:p w14:paraId="0ECAAA18" w14:textId="18D94867" w:rsidR="00F937DD" w:rsidRPr="00EF3CD0" w:rsidRDefault="00F937DD" w:rsidP="00F937DD">
            <w:pPr>
              <w:spacing w:before="0" w:after="0"/>
              <w:ind w:left="0"/>
              <w:jc w:val="center"/>
              <w:rPr>
                <w:rFonts w:cs="Calibri"/>
                <w:sz w:val="16"/>
                <w:szCs w:val="16"/>
              </w:rPr>
            </w:pPr>
            <w:r w:rsidRPr="00EF3CD0">
              <w:rPr>
                <w:rFonts w:cs="Calibri"/>
                <w:b/>
                <w:bCs/>
                <w:i/>
                <w:iCs/>
                <w:sz w:val="16"/>
                <w:szCs w:val="16"/>
              </w:rPr>
              <w:t>0,000</w:t>
            </w:r>
          </w:p>
        </w:tc>
        <w:tc>
          <w:tcPr>
            <w:tcW w:w="720" w:type="dxa"/>
            <w:tcBorders>
              <w:top w:val="nil"/>
              <w:left w:val="nil"/>
              <w:bottom w:val="dashed" w:sz="4" w:space="0" w:color="auto"/>
              <w:right w:val="nil"/>
            </w:tcBorders>
            <w:noWrap/>
            <w:vAlign w:val="center"/>
          </w:tcPr>
          <w:p w14:paraId="0FEC25A6" w14:textId="62BB61E5" w:rsidR="00F937DD" w:rsidRPr="00EF3CD0" w:rsidRDefault="00F937DD" w:rsidP="00F937DD">
            <w:pPr>
              <w:spacing w:before="0" w:after="0"/>
              <w:ind w:left="0"/>
              <w:jc w:val="right"/>
              <w:rPr>
                <w:rFonts w:cs="Calibri"/>
                <w:sz w:val="16"/>
                <w:szCs w:val="16"/>
              </w:rPr>
            </w:pPr>
            <w:r w:rsidRPr="00EF3CD0">
              <w:rPr>
                <w:rFonts w:cs="Calibri"/>
                <w:b/>
                <w:bCs/>
                <w:i/>
                <w:iCs/>
                <w:sz w:val="16"/>
                <w:szCs w:val="16"/>
              </w:rPr>
              <w:t>0,052</w:t>
            </w:r>
          </w:p>
        </w:tc>
        <w:tc>
          <w:tcPr>
            <w:tcW w:w="860" w:type="dxa"/>
            <w:tcBorders>
              <w:top w:val="nil"/>
              <w:left w:val="nil"/>
              <w:bottom w:val="dashed" w:sz="4" w:space="0" w:color="auto"/>
              <w:right w:val="nil"/>
            </w:tcBorders>
            <w:noWrap/>
            <w:vAlign w:val="bottom"/>
          </w:tcPr>
          <w:p w14:paraId="716D1D5B" w14:textId="77777777" w:rsidR="00F937DD" w:rsidRPr="00EF3CD0" w:rsidRDefault="00F937DD" w:rsidP="00F937DD">
            <w:pPr>
              <w:spacing w:before="0" w:after="0"/>
              <w:ind w:left="0"/>
              <w:jc w:val="center"/>
              <w:rPr>
                <w:rFonts w:cs="Calibri"/>
                <w:sz w:val="16"/>
                <w:szCs w:val="16"/>
              </w:rPr>
            </w:pPr>
          </w:p>
        </w:tc>
        <w:tc>
          <w:tcPr>
            <w:tcW w:w="420" w:type="dxa"/>
            <w:tcBorders>
              <w:top w:val="nil"/>
              <w:left w:val="nil"/>
              <w:bottom w:val="dashed" w:sz="4" w:space="0" w:color="auto"/>
              <w:right w:val="nil"/>
            </w:tcBorders>
            <w:noWrap/>
            <w:vAlign w:val="bottom"/>
          </w:tcPr>
          <w:p w14:paraId="020C13EA" w14:textId="77777777" w:rsidR="00F937DD" w:rsidRPr="00EF3CD0" w:rsidRDefault="00F937DD" w:rsidP="00F937DD">
            <w:pPr>
              <w:spacing w:before="0" w:after="0"/>
              <w:ind w:left="0"/>
              <w:jc w:val="center"/>
              <w:rPr>
                <w:rFonts w:cs="Calibri"/>
                <w:sz w:val="16"/>
                <w:szCs w:val="16"/>
              </w:rPr>
            </w:pPr>
          </w:p>
        </w:tc>
        <w:tc>
          <w:tcPr>
            <w:tcW w:w="380" w:type="dxa"/>
            <w:tcBorders>
              <w:top w:val="nil"/>
              <w:left w:val="nil"/>
              <w:bottom w:val="dashed" w:sz="4" w:space="0" w:color="auto"/>
              <w:right w:val="nil"/>
            </w:tcBorders>
            <w:noWrap/>
            <w:vAlign w:val="bottom"/>
          </w:tcPr>
          <w:p w14:paraId="2464A232" w14:textId="77777777" w:rsidR="00F937DD" w:rsidRPr="00EF3CD0" w:rsidRDefault="00F937DD" w:rsidP="00F937DD">
            <w:pPr>
              <w:spacing w:before="0" w:after="0"/>
              <w:ind w:left="0"/>
              <w:jc w:val="center"/>
              <w:rPr>
                <w:rFonts w:cs="Calibri"/>
                <w:sz w:val="16"/>
                <w:szCs w:val="16"/>
              </w:rPr>
            </w:pPr>
          </w:p>
        </w:tc>
        <w:tc>
          <w:tcPr>
            <w:tcW w:w="347" w:type="dxa"/>
            <w:tcBorders>
              <w:top w:val="nil"/>
              <w:left w:val="nil"/>
              <w:bottom w:val="dashed" w:sz="4" w:space="0" w:color="auto"/>
              <w:right w:val="nil"/>
            </w:tcBorders>
            <w:noWrap/>
            <w:vAlign w:val="bottom"/>
          </w:tcPr>
          <w:p w14:paraId="43AF15C2" w14:textId="77777777" w:rsidR="00F937DD" w:rsidRPr="00EF3CD0" w:rsidRDefault="00F937DD" w:rsidP="00F937DD">
            <w:pPr>
              <w:spacing w:before="0" w:after="0"/>
              <w:ind w:left="0"/>
              <w:jc w:val="center"/>
              <w:rPr>
                <w:rFonts w:cs="Calibri"/>
                <w:sz w:val="16"/>
                <w:szCs w:val="16"/>
              </w:rPr>
            </w:pPr>
          </w:p>
        </w:tc>
        <w:tc>
          <w:tcPr>
            <w:tcW w:w="800" w:type="dxa"/>
            <w:tcBorders>
              <w:top w:val="nil"/>
              <w:left w:val="nil"/>
              <w:bottom w:val="dashed" w:sz="4" w:space="0" w:color="auto"/>
              <w:right w:val="nil"/>
            </w:tcBorders>
            <w:noWrap/>
            <w:vAlign w:val="bottom"/>
          </w:tcPr>
          <w:p w14:paraId="2EE289CC" w14:textId="77777777" w:rsidR="00F937DD" w:rsidRPr="00EF3CD0" w:rsidRDefault="00F937DD" w:rsidP="00F937DD">
            <w:pPr>
              <w:spacing w:before="0" w:after="0"/>
              <w:ind w:left="0"/>
              <w:jc w:val="center"/>
              <w:rPr>
                <w:rFonts w:cs="Calibri"/>
                <w:sz w:val="16"/>
                <w:szCs w:val="16"/>
              </w:rPr>
            </w:pPr>
          </w:p>
        </w:tc>
      </w:tr>
      <w:tr w:rsidR="00F937DD" w:rsidRPr="00EF3CD0" w14:paraId="0178B488" w14:textId="77777777" w:rsidTr="00F937DD">
        <w:trPr>
          <w:trHeight w:val="210"/>
        </w:trPr>
        <w:tc>
          <w:tcPr>
            <w:tcW w:w="2262" w:type="dxa"/>
            <w:gridSpan w:val="2"/>
            <w:tcBorders>
              <w:top w:val="nil"/>
              <w:left w:val="nil"/>
              <w:bottom w:val="dashed" w:sz="4" w:space="0" w:color="auto"/>
              <w:right w:val="nil"/>
            </w:tcBorders>
            <w:noWrap/>
            <w:vAlign w:val="bottom"/>
          </w:tcPr>
          <w:p w14:paraId="1EB51BF4" w14:textId="07E57EFD" w:rsidR="00F937DD" w:rsidRPr="00EF3CD0" w:rsidRDefault="00F937DD" w:rsidP="00F937DD">
            <w:pPr>
              <w:spacing w:before="0" w:after="0"/>
              <w:ind w:left="0"/>
              <w:jc w:val="left"/>
              <w:rPr>
                <w:rFonts w:cs="Calibri"/>
                <w:b/>
                <w:bCs/>
                <w:i/>
                <w:iCs/>
                <w:sz w:val="16"/>
                <w:szCs w:val="16"/>
              </w:rPr>
            </w:pPr>
            <w:r>
              <w:rPr>
                <w:rFonts w:cs="Calibri"/>
                <w:b/>
                <w:bCs/>
                <w:i/>
                <w:iCs/>
                <w:sz w:val="16"/>
                <w:szCs w:val="16"/>
              </w:rPr>
              <w:t>p</w:t>
            </w:r>
            <w:r w:rsidRPr="00EF3CD0">
              <w:rPr>
                <w:rFonts w:cs="Calibri"/>
                <w:b/>
                <w:bCs/>
                <w:i/>
                <w:iCs/>
                <w:sz w:val="16"/>
                <w:szCs w:val="16"/>
              </w:rPr>
              <w:t>lochy technické infrastruktury celkem</w:t>
            </w:r>
          </w:p>
        </w:tc>
        <w:tc>
          <w:tcPr>
            <w:tcW w:w="587" w:type="dxa"/>
            <w:tcBorders>
              <w:top w:val="nil"/>
              <w:left w:val="nil"/>
              <w:bottom w:val="dashed" w:sz="4" w:space="0" w:color="auto"/>
              <w:right w:val="nil"/>
            </w:tcBorders>
            <w:noWrap/>
            <w:vAlign w:val="center"/>
          </w:tcPr>
          <w:p w14:paraId="24FE2CD2" w14:textId="7A02B516" w:rsidR="00F937DD" w:rsidRPr="00EF3CD0" w:rsidRDefault="00F937DD" w:rsidP="00F937DD">
            <w:pPr>
              <w:spacing w:before="0" w:after="0"/>
              <w:ind w:left="0"/>
              <w:jc w:val="right"/>
              <w:rPr>
                <w:rFonts w:cs="Calibri"/>
                <w:b/>
                <w:bCs/>
                <w:i/>
                <w:iCs/>
                <w:sz w:val="16"/>
                <w:szCs w:val="16"/>
              </w:rPr>
            </w:pPr>
            <w:r w:rsidRPr="00EF3CD0">
              <w:rPr>
                <w:rFonts w:cs="Calibri"/>
                <w:b/>
                <w:bCs/>
                <w:i/>
                <w:iCs/>
                <w:sz w:val="16"/>
                <w:szCs w:val="16"/>
              </w:rPr>
              <w:t>0,708</w:t>
            </w:r>
          </w:p>
        </w:tc>
        <w:tc>
          <w:tcPr>
            <w:tcW w:w="580" w:type="dxa"/>
            <w:tcBorders>
              <w:top w:val="nil"/>
              <w:left w:val="nil"/>
              <w:bottom w:val="dashed" w:sz="4" w:space="0" w:color="auto"/>
              <w:right w:val="nil"/>
            </w:tcBorders>
            <w:noWrap/>
            <w:vAlign w:val="center"/>
          </w:tcPr>
          <w:p w14:paraId="460A2B36" w14:textId="54EA0C72" w:rsidR="00F937DD" w:rsidRPr="00EF3CD0" w:rsidRDefault="00F937DD" w:rsidP="00F937DD">
            <w:pPr>
              <w:spacing w:before="0" w:after="0"/>
              <w:ind w:left="0"/>
              <w:jc w:val="center"/>
              <w:rPr>
                <w:rFonts w:cs="Calibri"/>
                <w:b/>
                <w:bCs/>
                <w:i/>
                <w:iCs/>
                <w:sz w:val="16"/>
                <w:szCs w:val="16"/>
              </w:rPr>
            </w:pPr>
            <w:r w:rsidRPr="00EF3CD0">
              <w:rPr>
                <w:rFonts w:cs="Calibri"/>
                <w:b/>
                <w:bCs/>
                <w:i/>
                <w:iCs/>
                <w:sz w:val="16"/>
                <w:szCs w:val="16"/>
              </w:rPr>
              <w:t>0,472</w:t>
            </w:r>
          </w:p>
        </w:tc>
        <w:tc>
          <w:tcPr>
            <w:tcW w:w="760" w:type="dxa"/>
            <w:tcBorders>
              <w:top w:val="nil"/>
              <w:left w:val="nil"/>
              <w:bottom w:val="dashed" w:sz="4" w:space="0" w:color="auto"/>
              <w:right w:val="nil"/>
            </w:tcBorders>
            <w:noWrap/>
            <w:vAlign w:val="center"/>
          </w:tcPr>
          <w:p w14:paraId="0F2895EE" w14:textId="31EC4A35" w:rsidR="00F937DD" w:rsidRPr="00EF3CD0" w:rsidRDefault="00F937DD" w:rsidP="00F937DD">
            <w:pPr>
              <w:spacing w:before="0" w:after="0"/>
              <w:ind w:left="0"/>
              <w:jc w:val="right"/>
              <w:rPr>
                <w:rFonts w:cs="Calibri"/>
                <w:b/>
                <w:bCs/>
                <w:i/>
                <w:iCs/>
                <w:sz w:val="16"/>
                <w:szCs w:val="16"/>
              </w:rPr>
            </w:pPr>
            <w:r w:rsidRPr="00EF3CD0">
              <w:rPr>
                <w:rFonts w:cs="Calibri"/>
                <w:b/>
                <w:bCs/>
                <w:i/>
                <w:iCs/>
                <w:sz w:val="16"/>
                <w:szCs w:val="16"/>
              </w:rPr>
              <w:t>0,184</w:t>
            </w:r>
          </w:p>
        </w:tc>
        <w:tc>
          <w:tcPr>
            <w:tcW w:w="580" w:type="dxa"/>
            <w:tcBorders>
              <w:top w:val="nil"/>
              <w:left w:val="nil"/>
              <w:bottom w:val="dashed" w:sz="4" w:space="0" w:color="auto"/>
              <w:right w:val="nil"/>
            </w:tcBorders>
            <w:noWrap/>
            <w:vAlign w:val="center"/>
          </w:tcPr>
          <w:p w14:paraId="230C80BD" w14:textId="50E79018" w:rsidR="00F937DD" w:rsidRPr="00EF3CD0" w:rsidRDefault="00F937DD" w:rsidP="00F937DD">
            <w:pPr>
              <w:spacing w:before="0" w:after="0"/>
              <w:ind w:left="0"/>
              <w:jc w:val="center"/>
              <w:rPr>
                <w:rFonts w:cs="Calibri"/>
                <w:b/>
                <w:bCs/>
                <w:i/>
                <w:iCs/>
                <w:sz w:val="16"/>
                <w:szCs w:val="16"/>
              </w:rPr>
            </w:pPr>
            <w:r w:rsidRPr="00EF3CD0">
              <w:rPr>
                <w:rFonts w:cs="Calibri"/>
                <w:b/>
                <w:bCs/>
                <w:i/>
                <w:iCs/>
                <w:sz w:val="16"/>
                <w:szCs w:val="16"/>
              </w:rPr>
              <w:t>0,000</w:t>
            </w:r>
          </w:p>
        </w:tc>
        <w:tc>
          <w:tcPr>
            <w:tcW w:w="640" w:type="dxa"/>
            <w:tcBorders>
              <w:top w:val="nil"/>
              <w:left w:val="nil"/>
              <w:bottom w:val="dashed" w:sz="4" w:space="0" w:color="auto"/>
              <w:right w:val="nil"/>
            </w:tcBorders>
            <w:noWrap/>
            <w:vAlign w:val="center"/>
          </w:tcPr>
          <w:p w14:paraId="31B38BC2" w14:textId="5E8FD570" w:rsidR="00F937DD" w:rsidRPr="00EF3CD0" w:rsidRDefault="00F937DD" w:rsidP="00F937DD">
            <w:pPr>
              <w:spacing w:before="0" w:after="0"/>
              <w:ind w:left="0"/>
              <w:jc w:val="center"/>
              <w:rPr>
                <w:rFonts w:cs="Calibri"/>
                <w:b/>
                <w:bCs/>
                <w:i/>
                <w:iCs/>
                <w:sz w:val="16"/>
                <w:szCs w:val="16"/>
              </w:rPr>
            </w:pPr>
            <w:r w:rsidRPr="00EF3CD0">
              <w:rPr>
                <w:rFonts w:cs="Calibri"/>
                <w:b/>
                <w:bCs/>
                <w:i/>
                <w:iCs/>
                <w:sz w:val="16"/>
                <w:szCs w:val="16"/>
              </w:rPr>
              <w:t>0,000</w:t>
            </w:r>
          </w:p>
        </w:tc>
        <w:tc>
          <w:tcPr>
            <w:tcW w:w="720" w:type="dxa"/>
            <w:tcBorders>
              <w:top w:val="nil"/>
              <w:left w:val="nil"/>
              <w:bottom w:val="dashed" w:sz="4" w:space="0" w:color="auto"/>
              <w:right w:val="nil"/>
            </w:tcBorders>
            <w:noWrap/>
            <w:vAlign w:val="center"/>
          </w:tcPr>
          <w:p w14:paraId="500554B0" w14:textId="4EFC1908" w:rsidR="00F937DD" w:rsidRPr="00EF3CD0" w:rsidRDefault="00F937DD" w:rsidP="00F937DD">
            <w:pPr>
              <w:spacing w:before="0" w:after="0"/>
              <w:ind w:left="0"/>
              <w:jc w:val="right"/>
              <w:rPr>
                <w:rFonts w:cs="Calibri"/>
                <w:b/>
                <w:bCs/>
                <w:i/>
                <w:iCs/>
                <w:sz w:val="16"/>
                <w:szCs w:val="16"/>
              </w:rPr>
            </w:pPr>
            <w:r w:rsidRPr="00EF3CD0">
              <w:rPr>
                <w:rFonts w:cs="Calibri"/>
                <w:b/>
                <w:bCs/>
                <w:i/>
                <w:iCs/>
                <w:sz w:val="16"/>
                <w:szCs w:val="16"/>
              </w:rPr>
              <w:t>0,052</w:t>
            </w:r>
          </w:p>
        </w:tc>
        <w:tc>
          <w:tcPr>
            <w:tcW w:w="860" w:type="dxa"/>
            <w:tcBorders>
              <w:top w:val="nil"/>
              <w:left w:val="nil"/>
              <w:bottom w:val="dashed" w:sz="4" w:space="0" w:color="auto"/>
              <w:right w:val="nil"/>
            </w:tcBorders>
            <w:noWrap/>
            <w:vAlign w:val="bottom"/>
          </w:tcPr>
          <w:p w14:paraId="778EBB27" w14:textId="77777777" w:rsidR="00F937DD" w:rsidRPr="00EF3CD0" w:rsidRDefault="00F937DD" w:rsidP="00F937DD">
            <w:pPr>
              <w:spacing w:before="0" w:after="0"/>
              <w:ind w:left="0"/>
              <w:jc w:val="center"/>
              <w:rPr>
                <w:rFonts w:cs="Calibri"/>
                <w:sz w:val="16"/>
                <w:szCs w:val="16"/>
              </w:rPr>
            </w:pPr>
          </w:p>
        </w:tc>
        <w:tc>
          <w:tcPr>
            <w:tcW w:w="420" w:type="dxa"/>
            <w:tcBorders>
              <w:top w:val="nil"/>
              <w:left w:val="nil"/>
              <w:bottom w:val="dashed" w:sz="4" w:space="0" w:color="auto"/>
              <w:right w:val="nil"/>
            </w:tcBorders>
            <w:noWrap/>
            <w:vAlign w:val="bottom"/>
          </w:tcPr>
          <w:p w14:paraId="39AEB17E" w14:textId="77777777" w:rsidR="00F937DD" w:rsidRPr="00EF3CD0" w:rsidRDefault="00F937DD" w:rsidP="00F937DD">
            <w:pPr>
              <w:spacing w:before="0" w:after="0"/>
              <w:ind w:left="0"/>
              <w:jc w:val="center"/>
              <w:rPr>
                <w:rFonts w:cs="Calibri"/>
                <w:sz w:val="16"/>
                <w:szCs w:val="16"/>
              </w:rPr>
            </w:pPr>
          </w:p>
        </w:tc>
        <w:tc>
          <w:tcPr>
            <w:tcW w:w="380" w:type="dxa"/>
            <w:tcBorders>
              <w:top w:val="nil"/>
              <w:left w:val="nil"/>
              <w:bottom w:val="dashed" w:sz="4" w:space="0" w:color="auto"/>
              <w:right w:val="nil"/>
            </w:tcBorders>
            <w:noWrap/>
            <w:vAlign w:val="bottom"/>
          </w:tcPr>
          <w:p w14:paraId="7DDBFF05" w14:textId="77777777" w:rsidR="00F937DD" w:rsidRPr="00EF3CD0" w:rsidRDefault="00F937DD" w:rsidP="00F937DD">
            <w:pPr>
              <w:spacing w:before="0" w:after="0"/>
              <w:ind w:left="0"/>
              <w:jc w:val="center"/>
              <w:rPr>
                <w:rFonts w:cs="Calibri"/>
                <w:sz w:val="16"/>
                <w:szCs w:val="16"/>
              </w:rPr>
            </w:pPr>
          </w:p>
        </w:tc>
        <w:tc>
          <w:tcPr>
            <w:tcW w:w="347" w:type="dxa"/>
            <w:tcBorders>
              <w:top w:val="nil"/>
              <w:left w:val="nil"/>
              <w:bottom w:val="dashed" w:sz="4" w:space="0" w:color="auto"/>
              <w:right w:val="nil"/>
            </w:tcBorders>
            <w:noWrap/>
            <w:vAlign w:val="bottom"/>
          </w:tcPr>
          <w:p w14:paraId="7BD35142" w14:textId="77777777" w:rsidR="00F937DD" w:rsidRPr="00EF3CD0" w:rsidRDefault="00F937DD" w:rsidP="00F937DD">
            <w:pPr>
              <w:spacing w:before="0" w:after="0"/>
              <w:ind w:left="0"/>
              <w:jc w:val="center"/>
              <w:rPr>
                <w:rFonts w:cs="Calibri"/>
                <w:sz w:val="16"/>
                <w:szCs w:val="16"/>
              </w:rPr>
            </w:pPr>
          </w:p>
        </w:tc>
        <w:tc>
          <w:tcPr>
            <w:tcW w:w="800" w:type="dxa"/>
            <w:tcBorders>
              <w:top w:val="nil"/>
              <w:left w:val="nil"/>
              <w:bottom w:val="dashed" w:sz="4" w:space="0" w:color="auto"/>
              <w:right w:val="nil"/>
            </w:tcBorders>
            <w:noWrap/>
            <w:vAlign w:val="bottom"/>
          </w:tcPr>
          <w:p w14:paraId="74E14749" w14:textId="77777777" w:rsidR="00F937DD" w:rsidRPr="00EF3CD0" w:rsidRDefault="00F937DD" w:rsidP="00F937DD">
            <w:pPr>
              <w:spacing w:before="0" w:after="0"/>
              <w:ind w:left="0"/>
              <w:jc w:val="center"/>
              <w:rPr>
                <w:rFonts w:cs="Calibri"/>
                <w:sz w:val="16"/>
                <w:szCs w:val="16"/>
              </w:rPr>
            </w:pPr>
          </w:p>
        </w:tc>
      </w:tr>
      <w:tr w:rsidR="007A37BB" w:rsidRPr="00EF3CD0" w14:paraId="5033C3CC" w14:textId="77777777" w:rsidTr="00F937DD">
        <w:trPr>
          <w:trHeight w:val="210"/>
        </w:trPr>
        <w:tc>
          <w:tcPr>
            <w:tcW w:w="2262" w:type="dxa"/>
            <w:gridSpan w:val="2"/>
            <w:tcBorders>
              <w:top w:val="nil"/>
              <w:left w:val="nil"/>
              <w:bottom w:val="dashed" w:sz="4" w:space="0" w:color="auto"/>
              <w:right w:val="nil"/>
            </w:tcBorders>
            <w:noWrap/>
            <w:vAlign w:val="bottom"/>
          </w:tcPr>
          <w:p w14:paraId="15422673" w14:textId="77777777" w:rsidR="007A37BB" w:rsidRDefault="007A37BB" w:rsidP="00F937DD">
            <w:pPr>
              <w:spacing w:before="0" w:after="0"/>
              <w:ind w:left="0"/>
              <w:jc w:val="left"/>
              <w:rPr>
                <w:rFonts w:cs="Calibri"/>
                <w:b/>
                <w:bCs/>
                <w:i/>
                <w:iCs/>
                <w:sz w:val="16"/>
                <w:szCs w:val="16"/>
              </w:rPr>
            </w:pPr>
          </w:p>
        </w:tc>
        <w:tc>
          <w:tcPr>
            <w:tcW w:w="587" w:type="dxa"/>
            <w:tcBorders>
              <w:top w:val="nil"/>
              <w:left w:val="nil"/>
              <w:bottom w:val="dashed" w:sz="4" w:space="0" w:color="auto"/>
              <w:right w:val="nil"/>
            </w:tcBorders>
            <w:noWrap/>
            <w:vAlign w:val="center"/>
          </w:tcPr>
          <w:p w14:paraId="25C9C114" w14:textId="77777777" w:rsidR="007A37BB" w:rsidRPr="00EF3CD0" w:rsidRDefault="007A37BB" w:rsidP="00F937DD">
            <w:pPr>
              <w:spacing w:before="0" w:after="0"/>
              <w:ind w:left="0"/>
              <w:jc w:val="right"/>
              <w:rPr>
                <w:rFonts w:cs="Calibri"/>
                <w:b/>
                <w:bCs/>
                <w:i/>
                <w:iCs/>
                <w:sz w:val="16"/>
                <w:szCs w:val="16"/>
              </w:rPr>
            </w:pPr>
          </w:p>
        </w:tc>
        <w:tc>
          <w:tcPr>
            <w:tcW w:w="580" w:type="dxa"/>
            <w:tcBorders>
              <w:top w:val="nil"/>
              <w:left w:val="nil"/>
              <w:bottom w:val="dashed" w:sz="4" w:space="0" w:color="auto"/>
              <w:right w:val="nil"/>
            </w:tcBorders>
            <w:noWrap/>
            <w:vAlign w:val="center"/>
          </w:tcPr>
          <w:p w14:paraId="4800D1B0" w14:textId="77777777" w:rsidR="007A37BB" w:rsidRPr="00EF3CD0" w:rsidRDefault="007A37BB" w:rsidP="00F937DD">
            <w:pPr>
              <w:spacing w:before="0" w:after="0"/>
              <w:ind w:left="0"/>
              <w:jc w:val="center"/>
              <w:rPr>
                <w:rFonts w:cs="Calibri"/>
                <w:b/>
                <w:bCs/>
                <w:i/>
                <w:iCs/>
                <w:sz w:val="16"/>
                <w:szCs w:val="16"/>
              </w:rPr>
            </w:pPr>
          </w:p>
        </w:tc>
        <w:tc>
          <w:tcPr>
            <w:tcW w:w="760" w:type="dxa"/>
            <w:tcBorders>
              <w:top w:val="nil"/>
              <w:left w:val="nil"/>
              <w:bottom w:val="dashed" w:sz="4" w:space="0" w:color="auto"/>
              <w:right w:val="nil"/>
            </w:tcBorders>
            <w:noWrap/>
            <w:vAlign w:val="center"/>
          </w:tcPr>
          <w:p w14:paraId="62793A55" w14:textId="77777777" w:rsidR="007A37BB" w:rsidRPr="00EF3CD0" w:rsidRDefault="007A37BB" w:rsidP="00F937DD">
            <w:pPr>
              <w:spacing w:before="0" w:after="0"/>
              <w:ind w:left="0"/>
              <w:jc w:val="right"/>
              <w:rPr>
                <w:rFonts w:cs="Calibri"/>
                <w:b/>
                <w:bCs/>
                <w:i/>
                <w:iCs/>
                <w:sz w:val="16"/>
                <w:szCs w:val="16"/>
              </w:rPr>
            </w:pPr>
          </w:p>
        </w:tc>
        <w:tc>
          <w:tcPr>
            <w:tcW w:w="580" w:type="dxa"/>
            <w:tcBorders>
              <w:top w:val="nil"/>
              <w:left w:val="nil"/>
              <w:bottom w:val="dashed" w:sz="4" w:space="0" w:color="auto"/>
              <w:right w:val="nil"/>
            </w:tcBorders>
            <w:noWrap/>
            <w:vAlign w:val="center"/>
          </w:tcPr>
          <w:p w14:paraId="5FBFB036" w14:textId="77777777" w:rsidR="007A37BB" w:rsidRPr="00EF3CD0" w:rsidRDefault="007A37BB" w:rsidP="00F937DD">
            <w:pPr>
              <w:spacing w:before="0" w:after="0"/>
              <w:ind w:left="0"/>
              <w:jc w:val="center"/>
              <w:rPr>
                <w:rFonts w:cs="Calibri"/>
                <w:b/>
                <w:bCs/>
                <w:i/>
                <w:iCs/>
                <w:sz w:val="16"/>
                <w:szCs w:val="16"/>
              </w:rPr>
            </w:pPr>
          </w:p>
        </w:tc>
        <w:tc>
          <w:tcPr>
            <w:tcW w:w="640" w:type="dxa"/>
            <w:tcBorders>
              <w:top w:val="nil"/>
              <w:left w:val="nil"/>
              <w:bottom w:val="dashed" w:sz="4" w:space="0" w:color="auto"/>
              <w:right w:val="nil"/>
            </w:tcBorders>
            <w:noWrap/>
            <w:vAlign w:val="center"/>
          </w:tcPr>
          <w:p w14:paraId="57D7DF95" w14:textId="77777777" w:rsidR="007A37BB" w:rsidRPr="00EF3CD0" w:rsidRDefault="007A37BB" w:rsidP="00F937DD">
            <w:pPr>
              <w:spacing w:before="0" w:after="0"/>
              <w:ind w:left="0"/>
              <w:jc w:val="center"/>
              <w:rPr>
                <w:rFonts w:cs="Calibri"/>
                <w:b/>
                <w:bCs/>
                <w:i/>
                <w:iCs/>
                <w:sz w:val="16"/>
                <w:szCs w:val="16"/>
              </w:rPr>
            </w:pPr>
          </w:p>
        </w:tc>
        <w:tc>
          <w:tcPr>
            <w:tcW w:w="720" w:type="dxa"/>
            <w:tcBorders>
              <w:top w:val="nil"/>
              <w:left w:val="nil"/>
              <w:bottom w:val="dashed" w:sz="4" w:space="0" w:color="auto"/>
              <w:right w:val="nil"/>
            </w:tcBorders>
            <w:noWrap/>
            <w:vAlign w:val="center"/>
          </w:tcPr>
          <w:p w14:paraId="0FA93A6A" w14:textId="77777777" w:rsidR="007A37BB" w:rsidRPr="00EF3CD0" w:rsidRDefault="007A37BB" w:rsidP="00F937DD">
            <w:pPr>
              <w:spacing w:before="0" w:after="0"/>
              <w:ind w:left="0"/>
              <w:jc w:val="right"/>
              <w:rPr>
                <w:rFonts w:cs="Calibri"/>
                <w:b/>
                <w:bCs/>
                <w:i/>
                <w:iCs/>
                <w:sz w:val="16"/>
                <w:szCs w:val="16"/>
              </w:rPr>
            </w:pPr>
          </w:p>
        </w:tc>
        <w:tc>
          <w:tcPr>
            <w:tcW w:w="860" w:type="dxa"/>
            <w:tcBorders>
              <w:top w:val="nil"/>
              <w:left w:val="nil"/>
              <w:bottom w:val="dashed" w:sz="4" w:space="0" w:color="auto"/>
              <w:right w:val="nil"/>
            </w:tcBorders>
            <w:noWrap/>
            <w:vAlign w:val="bottom"/>
          </w:tcPr>
          <w:p w14:paraId="6A329B78" w14:textId="77777777" w:rsidR="007A37BB" w:rsidRPr="00EF3CD0" w:rsidRDefault="007A37BB" w:rsidP="00F937DD">
            <w:pPr>
              <w:spacing w:before="0" w:after="0"/>
              <w:ind w:left="0"/>
              <w:jc w:val="center"/>
              <w:rPr>
                <w:rFonts w:cs="Calibri"/>
                <w:sz w:val="16"/>
                <w:szCs w:val="16"/>
              </w:rPr>
            </w:pPr>
          </w:p>
        </w:tc>
        <w:tc>
          <w:tcPr>
            <w:tcW w:w="420" w:type="dxa"/>
            <w:tcBorders>
              <w:top w:val="nil"/>
              <w:left w:val="nil"/>
              <w:bottom w:val="dashed" w:sz="4" w:space="0" w:color="auto"/>
              <w:right w:val="nil"/>
            </w:tcBorders>
            <w:noWrap/>
            <w:vAlign w:val="bottom"/>
          </w:tcPr>
          <w:p w14:paraId="328335D1" w14:textId="77777777" w:rsidR="007A37BB" w:rsidRPr="00EF3CD0" w:rsidRDefault="007A37BB" w:rsidP="00F937DD">
            <w:pPr>
              <w:spacing w:before="0" w:after="0"/>
              <w:ind w:left="0"/>
              <w:jc w:val="center"/>
              <w:rPr>
                <w:rFonts w:cs="Calibri"/>
                <w:sz w:val="16"/>
                <w:szCs w:val="16"/>
              </w:rPr>
            </w:pPr>
          </w:p>
        </w:tc>
        <w:tc>
          <w:tcPr>
            <w:tcW w:w="380" w:type="dxa"/>
            <w:tcBorders>
              <w:top w:val="nil"/>
              <w:left w:val="nil"/>
              <w:bottom w:val="dashed" w:sz="4" w:space="0" w:color="auto"/>
              <w:right w:val="nil"/>
            </w:tcBorders>
            <w:noWrap/>
            <w:vAlign w:val="bottom"/>
          </w:tcPr>
          <w:p w14:paraId="6EB469FD" w14:textId="77777777" w:rsidR="007A37BB" w:rsidRPr="00EF3CD0" w:rsidRDefault="007A37BB" w:rsidP="00F937DD">
            <w:pPr>
              <w:spacing w:before="0" w:after="0"/>
              <w:ind w:left="0"/>
              <w:jc w:val="center"/>
              <w:rPr>
                <w:rFonts w:cs="Calibri"/>
                <w:sz w:val="16"/>
                <w:szCs w:val="16"/>
              </w:rPr>
            </w:pPr>
          </w:p>
        </w:tc>
        <w:tc>
          <w:tcPr>
            <w:tcW w:w="347" w:type="dxa"/>
            <w:tcBorders>
              <w:top w:val="nil"/>
              <w:left w:val="nil"/>
              <w:bottom w:val="dashed" w:sz="4" w:space="0" w:color="auto"/>
              <w:right w:val="nil"/>
            </w:tcBorders>
            <w:noWrap/>
            <w:vAlign w:val="bottom"/>
          </w:tcPr>
          <w:p w14:paraId="1A5311AA" w14:textId="77777777" w:rsidR="007A37BB" w:rsidRPr="00EF3CD0" w:rsidRDefault="007A37BB" w:rsidP="00F937DD">
            <w:pPr>
              <w:spacing w:before="0" w:after="0"/>
              <w:ind w:left="0"/>
              <w:jc w:val="center"/>
              <w:rPr>
                <w:rFonts w:cs="Calibri"/>
                <w:sz w:val="16"/>
                <w:szCs w:val="16"/>
              </w:rPr>
            </w:pPr>
          </w:p>
        </w:tc>
        <w:tc>
          <w:tcPr>
            <w:tcW w:w="800" w:type="dxa"/>
            <w:tcBorders>
              <w:top w:val="nil"/>
              <w:left w:val="nil"/>
              <w:bottom w:val="dashed" w:sz="4" w:space="0" w:color="auto"/>
              <w:right w:val="nil"/>
            </w:tcBorders>
            <w:noWrap/>
            <w:vAlign w:val="bottom"/>
          </w:tcPr>
          <w:p w14:paraId="7FD958E2" w14:textId="77777777" w:rsidR="007A37BB" w:rsidRPr="00EF3CD0" w:rsidRDefault="007A37BB" w:rsidP="00F937DD">
            <w:pPr>
              <w:spacing w:before="0" w:after="0"/>
              <w:ind w:left="0"/>
              <w:jc w:val="center"/>
              <w:rPr>
                <w:rFonts w:cs="Calibri"/>
                <w:sz w:val="16"/>
                <w:szCs w:val="16"/>
              </w:rPr>
            </w:pPr>
          </w:p>
        </w:tc>
      </w:tr>
      <w:tr w:rsidR="00F937DD" w:rsidRPr="00EF3CD0" w14:paraId="39498AFA" w14:textId="77777777" w:rsidTr="00F937DD">
        <w:trPr>
          <w:trHeight w:val="225"/>
        </w:trPr>
        <w:tc>
          <w:tcPr>
            <w:tcW w:w="1078" w:type="dxa"/>
            <w:tcBorders>
              <w:top w:val="nil"/>
              <w:left w:val="nil"/>
              <w:bottom w:val="dashed" w:sz="4" w:space="0" w:color="auto"/>
              <w:right w:val="nil"/>
            </w:tcBorders>
            <w:vAlign w:val="center"/>
            <w:hideMark/>
          </w:tcPr>
          <w:p w14:paraId="70A648AB" w14:textId="77777777" w:rsidR="00F937DD" w:rsidRPr="00EF3CD0" w:rsidRDefault="00F937DD" w:rsidP="00F937DD">
            <w:pPr>
              <w:spacing w:before="0" w:after="0"/>
              <w:ind w:left="0"/>
              <w:jc w:val="left"/>
              <w:rPr>
                <w:rFonts w:cs="Calibri"/>
                <w:b/>
                <w:bCs/>
                <w:i/>
                <w:iCs/>
                <w:sz w:val="16"/>
                <w:szCs w:val="16"/>
              </w:rPr>
            </w:pPr>
            <w:r w:rsidRPr="00EF3CD0">
              <w:rPr>
                <w:rFonts w:cs="Calibri"/>
                <w:b/>
                <w:bCs/>
                <w:i/>
                <w:iCs/>
                <w:sz w:val="16"/>
                <w:szCs w:val="16"/>
              </w:rPr>
              <w:lastRenderedPageBreak/>
              <w:t> </w:t>
            </w:r>
          </w:p>
        </w:tc>
        <w:tc>
          <w:tcPr>
            <w:tcW w:w="1184" w:type="dxa"/>
            <w:tcBorders>
              <w:top w:val="nil"/>
              <w:left w:val="nil"/>
              <w:bottom w:val="dashed" w:sz="4" w:space="0" w:color="auto"/>
              <w:right w:val="nil"/>
            </w:tcBorders>
            <w:vAlign w:val="center"/>
            <w:hideMark/>
          </w:tcPr>
          <w:p w14:paraId="363EC94C" w14:textId="77777777" w:rsidR="00F937DD" w:rsidRPr="00EF3CD0" w:rsidRDefault="00F937DD" w:rsidP="00F937DD">
            <w:pPr>
              <w:spacing w:before="0" w:after="0"/>
              <w:ind w:left="0"/>
              <w:jc w:val="left"/>
              <w:rPr>
                <w:rFonts w:cs="Calibri"/>
                <w:b/>
                <w:bCs/>
                <w:i/>
                <w:iCs/>
                <w:sz w:val="16"/>
                <w:szCs w:val="16"/>
              </w:rPr>
            </w:pPr>
            <w:r w:rsidRPr="00EF3CD0">
              <w:rPr>
                <w:rFonts w:cs="Calibri"/>
                <w:b/>
                <w:bCs/>
                <w:i/>
                <w:iCs/>
                <w:sz w:val="16"/>
                <w:szCs w:val="16"/>
              </w:rPr>
              <w:t> </w:t>
            </w:r>
          </w:p>
        </w:tc>
        <w:tc>
          <w:tcPr>
            <w:tcW w:w="587" w:type="dxa"/>
            <w:tcBorders>
              <w:top w:val="nil"/>
              <w:left w:val="nil"/>
              <w:bottom w:val="dashed" w:sz="4" w:space="0" w:color="auto"/>
              <w:right w:val="nil"/>
            </w:tcBorders>
            <w:vAlign w:val="center"/>
            <w:hideMark/>
          </w:tcPr>
          <w:p w14:paraId="21BD4825" w14:textId="77777777" w:rsidR="00F937DD" w:rsidRPr="00EF3CD0" w:rsidRDefault="00F937DD" w:rsidP="00F937DD">
            <w:pPr>
              <w:spacing w:before="0" w:after="0"/>
              <w:ind w:left="0"/>
              <w:jc w:val="left"/>
              <w:rPr>
                <w:rFonts w:cs="Calibri"/>
                <w:b/>
                <w:bCs/>
                <w:i/>
                <w:iCs/>
                <w:sz w:val="16"/>
                <w:szCs w:val="16"/>
              </w:rPr>
            </w:pPr>
            <w:r w:rsidRPr="00EF3CD0">
              <w:rPr>
                <w:rFonts w:cs="Calibri"/>
                <w:b/>
                <w:bCs/>
                <w:i/>
                <w:iCs/>
                <w:sz w:val="16"/>
                <w:szCs w:val="16"/>
              </w:rPr>
              <w:t> </w:t>
            </w:r>
          </w:p>
        </w:tc>
        <w:tc>
          <w:tcPr>
            <w:tcW w:w="580" w:type="dxa"/>
            <w:tcBorders>
              <w:top w:val="nil"/>
              <w:left w:val="nil"/>
              <w:bottom w:val="dashed" w:sz="4" w:space="0" w:color="auto"/>
              <w:right w:val="nil"/>
            </w:tcBorders>
            <w:vAlign w:val="center"/>
            <w:hideMark/>
          </w:tcPr>
          <w:p w14:paraId="75857D9E" w14:textId="77777777" w:rsidR="00F937DD" w:rsidRPr="00EF3CD0" w:rsidRDefault="00F937DD" w:rsidP="00F937DD">
            <w:pPr>
              <w:spacing w:before="0" w:after="0"/>
              <w:ind w:left="0"/>
              <w:jc w:val="left"/>
              <w:rPr>
                <w:rFonts w:cs="Calibri"/>
                <w:b/>
                <w:bCs/>
                <w:i/>
                <w:iCs/>
                <w:sz w:val="16"/>
                <w:szCs w:val="16"/>
              </w:rPr>
            </w:pPr>
            <w:r w:rsidRPr="00EF3CD0">
              <w:rPr>
                <w:rFonts w:cs="Calibri"/>
                <w:b/>
                <w:bCs/>
                <w:i/>
                <w:iCs/>
                <w:sz w:val="16"/>
                <w:szCs w:val="16"/>
              </w:rPr>
              <w:t> </w:t>
            </w:r>
          </w:p>
        </w:tc>
        <w:tc>
          <w:tcPr>
            <w:tcW w:w="760" w:type="dxa"/>
            <w:tcBorders>
              <w:top w:val="nil"/>
              <w:left w:val="nil"/>
              <w:bottom w:val="dashed" w:sz="4" w:space="0" w:color="auto"/>
              <w:right w:val="nil"/>
            </w:tcBorders>
            <w:vAlign w:val="center"/>
            <w:hideMark/>
          </w:tcPr>
          <w:p w14:paraId="1D310FDC" w14:textId="77777777" w:rsidR="00F937DD" w:rsidRPr="00EF3CD0" w:rsidRDefault="00F937DD" w:rsidP="00F937DD">
            <w:pPr>
              <w:spacing w:before="0" w:after="0"/>
              <w:ind w:left="0"/>
              <w:jc w:val="left"/>
              <w:rPr>
                <w:rFonts w:cs="Calibri"/>
                <w:b/>
                <w:bCs/>
                <w:i/>
                <w:iCs/>
                <w:sz w:val="16"/>
                <w:szCs w:val="16"/>
              </w:rPr>
            </w:pPr>
            <w:r w:rsidRPr="00EF3CD0">
              <w:rPr>
                <w:rFonts w:cs="Calibri"/>
                <w:b/>
                <w:bCs/>
                <w:i/>
                <w:iCs/>
                <w:sz w:val="16"/>
                <w:szCs w:val="16"/>
              </w:rPr>
              <w:t> </w:t>
            </w:r>
          </w:p>
        </w:tc>
        <w:tc>
          <w:tcPr>
            <w:tcW w:w="580" w:type="dxa"/>
            <w:tcBorders>
              <w:top w:val="nil"/>
              <w:left w:val="nil"/>
              <w:bottom w:val="dashed" w:sz="4" w:space="0" w:color="auto"/>
              <w:right w:val="nil"/>
            </w:tcBorders>
            <w:vAlign w:val="center"/>
            <w:hideMark/>
          </w:tcPr>
          <w:p w14:paraId="7E3A2F54" w14:textId="77777777" w:rsidR="00F937DD" w:rsidRPr="00EF3CD0" w:rsidRDefault="00F937DD" w:rsidP="00F937DD">
            <w:pPr>
              <w:spacing w:before="0" w:after="0"/>
              <w:ind w:left="0"/>
              <w:jc w:val="left"/>
              <w:rPr>
                <w:rFonts w:cs="Calibri"/>
                <w:b/>
                <w:bCs/>
                <w:i/>
                <w:iCs/>
                <w:sz w:val="16"/>
                <w:szCs w:val="16"/>
              </w:rPr>
            </w:pPr>
            <w:r w:rsidRPr="00EF3CD0">
              <w:rPr>
                <w:rFonts w:cs="Calibri"/>
                <w:b/>
                <w:bCs/>
                <w:i/>
                <w:iCs/>
                <w:sz w:val="16"/>
                <w:szCs w:val="16"/>
              </w:rPr>
              <w:t> </w:t>
            </w:r>
          </w:p>
        </w:tc>
        <w:tc>
          <w:tcPr>
            <w:tcW w:w="640" w:type="dxa"/>
            <w:tcBorders>
              <w:top w:val="nil"/>
              <w:left w:val="nil"/>
              <w:bottom w:val="dashed" w:sz="4" w:space="0" w:color="auto"/>
              <w:right w:val="nil"/>
            </w:tcBorders>
            <w:vAlign w:val="center"/>
            <w:hideMark/>
          </w:tcPr>
          <w:p w14:paraId="1936A380" w14:textId="77777777" w:rsidR="00F937DD" w:rsidRPr="00EF3CD0" w:rsidRDefault="00F937DD" w:rsidP="00F937DD">
            <w:pPr>
              <w:spacing w:before="0" w:after="0"/>
              <w:ind w:left="0"/>
              <w:jc w:val="left"/>
              <w:rPr>
                <w:rFonts w:cs="Calibri"/>
                <w:b/>
                <w:bCs/>
                <w:i/>
                <w:iCs/>
                <w:sz w:val="16"/>
                <w:szCs w:val="16"/>
              </w:rPr>
            </w:pPr>
            <w:r w:rsidRPr="00EF3CD0">
              <w:rPr>
                <w:rFonts w:cs="Calibri"/>
                <w:b/>
                <w:bCs/>
                <w:i/>
                <w:iCs/>
                <w:sz w:val="16"/>
                <w:szCs w:val="16"/>
              </w:rPr>
              <w:t> </w:t>
            </w:r>
          </w:p>
        </w:tc>
        <w:tc>
          <w:tcPr>
            <w:tcW w:w="720" w:type="dxa"/>
            <w:tcBorders>
              <w:top w:val="nil"/>
              <w:left w:val="nil"/>
              <w:bottom w:val="dashed" w:sz="4" w:space="0" w:color="auto"/>
              <w:right w:val="nil"/>
            </w:tcBorders>
            <w:vAlign w:val="center"/>
            <w:hideMark/>
          </w:tcPr>
          <w:p w14:paraId="602B343F" w14:textId="77777777" w:rsidR="00F937DD" w:rsidRPr="00EF3CD0" w:rsidRDefault="00F937DD" w:rsidP="00F937DD">
            <w:pPr>
              <w:spacing w:before="0" w:after="0"/>
              <w:ind w:left="0"/>
              <w:jc w:val="left"/>
              <w:rPr>
                <w:rFonts w:cs="Calibri"/>
                <w:b/>
                <w:bCs/>
                <w:i/>
                <w:iCs/>
                <w:sz w:val="16"/>
                <w:szCs w:val="16"/>
              </w:rPr>
            </w:pPr>
            <w:r w:rsidRPr="00EF3CD0">
              <w:rPr>
                <w:rFonts w:cs="Calibri"/>
                <w:b/>
                <w:bCs/>
                <w:i/>
                <w:iCs/>
                <w:sz w:val="16"/>
                <w:szCs w:val="16"/>
              </w:rPr>
              <w:t> </w:t>
            </w:r>
          </w:p>
        </w:tc>
        <w:tc>
          <w:tcPr>
            <w:tcW w:w="860" w:type="dxa"/>
            <w:tcBorders>
              <w:top w:val="nil"/>
              <w:left w:val="nil"/>
              <w:bottom w:val="dashed" w:sz="4" w:space="0" w:color="auto"/>
              <w:right w:val="nil"/>
            </w:tcBorders>
            <w:noWrap/>
            <w:vAlign w:val="center"/>
            <w:hideMark/>
          </w:tcPr>
          <w:p w14:paraId="7480516A" w14:textId="77777777" w:rsidR="00F937DD" w:rsidRPr="00EF3CD0" w:rsidRDefault="00F937DD" w:rsidP="00F937DD">
            <w:pPr>
              <w:spacing w:before="0" w:after="0"/>
              <w:ind w:left="0"/>
              <w:jc w:val="center"/>
              <w:rPr>
                <w:rFonts w:cs="Calibri"/>
                <w:sz w:val="16"/>
                <w:szCs w:val="16"/>
              </w:rPr>
            </w:pPr>
            <w:r w:rsidRPr="00EF3CD0">
              <w:rPr>
                <w:rFonts w:cs="Calibri"/>
                <w:sz w:val="16"/>
                <w:szCs w:val="16"/>
              </w:rPr>
              <w:t> </w:t>
            </w:r>
          </w:p>
        </w:tc>
        <w:tc>
          <w:tcPr>
            <w:tcW w:w="420" w:type="dxa"/>
            <w:tcBorders>
              <w:top w:val="nil"/>
              <w:left w:val="nil"/>
              <w:bottom w:val="dashed" w:sz="4" w:space="0" w:color="auto"/>
              <w:right w:val="nil"/>
            </w:tcBorders>
            <w:noWrap/>
            <w:vAlign w:val="center"/>
            <w:hideMark/>
          </w:tcPr>
          <w:p w14:paraId="79C04B5C" w14:textId="77777777" w:rsidR="00F937DD" w:rsidRPr="00EF3CD0" w:rsidRDefault="00F937DD" w:rsidP="00F937DD">
            <w:pPr>
              <w:spacing w:before="0" w:after="0"/>
              <w:ind w:left="0"/>
              <w:jc w:val="center"/>
              <w:rPr>
                <w:rFonts w:cs="Calibri"/>
                <w:sz w:val="16"/>
                <w:szCs w:val="16"/>
              </w:rPr>
            </w:pPr>
            <w:r w:rsidRPr="00EF3CD0">
              <w:rPr>
                <w:rFonts w:cs="Calibri"/>
                <w:sz w:val="16"/>
                <w:szCs w:val="16"/>
              </w:rPr>
              <w:t> </w:t>
            </w:r>
          </w:p>
        </w:tc>
        <w:tc>
          <w:tcPr>
            <w:tcW w:w="380" w:type="dxa"/>
            <w:tcBorders>
              <w:top w:val="nil"/>
              <w:left w:val="nil"/>
              <w:bottom w:val="dashed" w:sz="4" w:space="0" w:color="auto"/>
              <w:right w:val="nil"/>
            </w:tcBorders>
            <w:noWrap/>
            <w:vAlign w:val="center"/>
            <w:hideMark/>
          </w:tcPr>
          <w:p w14:paraId="6118125D" w14:textId="77777777" w:rsidR="00F937DD" w:rsidRPr="00EF3CD0" w:rsidRDefault="00F937DD" w:rsidP="00F937DD">
            <w:pPr>
              <w:spacing w:before="0" w:after="0"/>
              <w:ind w:left="0"/>
              <w:jc w:val="center"/>
              <w:rPr>
                <w:rFonts w:cs="Calibri"/>
                <w:sz w:val="16"/>
                <w:szCs w:val="16"/>
              </w:rPr>
            </w:pPr>
            <w:r w:rsidRPr="00EF3CD0">
              <w:rPr>
                <w:rFonts w:cs="Calibri"/>
                <w:sz w:val="16"/>
                <w:szCs w:val="16"/>
              </w:rPr>
              <w:t> </w:t>
            </w:r>
          </w:p>
        </w:tc>
        <w:tc>
          <w:tcPr>
            <w:tcW w:w="347" w:type="dxa"/>
            <w:tcBorders>
              <w:top w:val="nil"/>
              <w:left w:val="nil"/>
              <w:bottom w:val="dashed" w:sz="4" w:space="0" w:color="auto"/>
              <w:right w:val="nil"/>
            </w:tcBorders>
            <w:noWrap/>
            <w:vAlign w:val="center"/>
            <w:hideMark/>
          </w:tcPr>
          <w:p w14:paraId="7385630E" w14:textId="77777777" w:rsidR="00F937DD" w:rsidRPr="00EF3CD0" w:rsidRDefault="00F937DD" w:rsidP="00F937DD">
            <w:pPr>
              <w:spacing w:before="0" w:after="0"/>
              <w:ind w:left="0"/>
              <w:jc w:val="center"/>
              <w:rPr>
                <w:rFonts w:cs="Calibri"/>
                <w:sz w:val="16"/>
                <w:szCs w:val="16"/>
              </w:rPr>
            </w:pPr>
            <w:r w:rsidRPr="00EF3CD0">
              <w:rPr>
                <w:rFonts w:cs="Calibri"/>
                <w:sz w:val="16"/>
                <w:szCs w:val="16"/>
              </w:rPr>
              <w:t> </w:t>
            </w:r>
          </w:p>
        </w:tc>
        <w:tc>
          <w:tcPr>
            <w:tcW w:w="800" w:type="dxa"/>
            <w:tcBorders>
              <w:top w:val="nil"/>
              <w:left w:val="nil"/>
              <w:bottom w:val="dashed" w:sz="4" w:space="0" w:color="auto"/>
              <w:right w:val="nil"/>
            </w:tcBorders>
            <w:noWrap/>
            <w:vAlign w:val="center"/>
            <w:hideMark/>
          </w:tcPr>
          <w:p w14:paraId="5F361827" w14:textId="77777777" w:rsidR="00F937DD" w:rsidRPr="00EF3CD0" w:rsidRDefault="00F937DD" w:rsidP="00F937DD">
            <w:pPr>
              <w:spacing w:before="0" w:after="0"/>
              <w:ind w:left="0"/>
              <w:jc w:val="center"/>
              <w:rPr>
                <w:rFonts w:cs="Calibri"/>
                <w:sz w:val="16"/>
                <w:szCs w:val="16"/>
              </w:rPr>
            </w:pPr>
            <w:r w:rsidRPr="00EF3CD0">
              <w:rPr>
                <w:rFonts w:cs="Calibri"/>
                <w:sz w:val="16"/>
                <w:szCs w:val="16"/>
              </w:rPr>
              <w:t> </w:t>
            </w:r>
          </w:p>
        </w:tc>
      </w:tr>
      <w:tr w:rsidR="00F937DD" w:rsidRPr="00EF3CD0" w14:paraId="2E404256" w14:textId="77777777" w:rsidTr="001A1BB8">
        <w:trPr>
          <w:trHeight w:val="210"/>
        </w:trPr>
        <w:tc>
          <w:tcPr>
            <w:tcW w:w="8936" w:type="dxa"/>
            <w:gridSpan w:val="13"/>
            <w:tcBorders>
              <w:top w:val="dashed" w:sz="4" w:space="0" w:color="auto"/>
              <w:left w:val="nil"/>
              <w:bottom w:val="dashed" w:sz="4" w:space="0" w:color="auto"/>
              <w:right w:val="nil"/>
            </w:tcBorders>
            <w:vAlign w:val="center"/>
            <w:hideMark/>
          </w:tcPr>
          <w:p w14:paraId="5565677E" w14:textId="77777777" w:rsidR="00F937DD" w:rsidRPr="00EF3CD0" w:rsidRDefault="00F937DD" w:rsidP="00F937DD">
            <w:pPr>
              <w:spacing w:before="0" w:after="0"/>
              <w:ind w:left="0"/>
              <w:jc w:val="left"/>
              <w:rPr>
                <w:rFonts w:cs="Calibri"/>
                <w:b/>
                <w:bCs/>
                <w:i/>
                <w:iCs/>
                <w:sz w:val="16"/>
                <w:szCs w:val="16"/>
              </w:rPr>
            </w:pPr>
            <w:r w:rsidRPr="00EF3CD0">
              <w:rPr>
                <w:rFonts w:cs="Calibri"/>
                <w:b/>
                <w:bCs/>
                <w:i/>
                <w:iCs/>
                <w:sz w:val="16"/>
                <w:szCs w:val="16"/>
              </w:rPr>
              <w:t>Plochy transformační a zastavitelné plochy celkem</w:t>
            </w:r>
          </w:p>
        </w:tc>
      </w:tr>
      <w:tr w:rsidR="001A1BB8" w:rsidRPr="00EF3CD0" w14:paraId="0DF34C28" w14:textId="77777777" w:rsidTr="00881DF7">
        <w:trPr>
          <w:trHeight w:val="210"/>
        </w:trPr>
        <w:tc>
          <w:tcPr>
            <w:tcW w:w="2262" w:type="dxa"/>
            <w:gridSpan w:val="2"/>
            <w:tcBorders>
              <w:top w:val="nil"/>
              <w:left w:val="nil"/>
              <w:bottom w:val="dashed" w:sz="4" w:space="0" w:color="auto"/>
              <w:right w:val="nil"/>
            </w:tcBorders>
            <w:noWrap/>
            <w:vAlign w:val="bottom"/>
          </w:tcPr>
          <w:p w14:paraId="5D7879D2" w14:textId="2BB98D1D" w:rsidR="001A1BB8" w:rsidRPr="00EF3CD0" w:rsidRDefault="001A1BB8" w:rsidP="001A1BB8">
            <w:pPr>
              <w:spacing w:before="0" w:after="0"/>
              <w:ind w:left="0"/>
              <w:jc w:val="left"/>
              <w:rPr>
                <w:rFonts w:cs="Calibri"/>
                <w:sz w:val="16"/>
                <w:szCs w:val="16"/>
              </w:rPr>
            </w:pPr>
            <w:r w:rsidRPr="00EF3CD0">
              <w:rPr>
                <w:rFonts w:cs="Calibri"/>
                <w:b/>
                <w:bCs/>
                <w:i/>
                <w:iCs/>
                <w:sz w:val="16"/>
                <w:szCs w:val="16"/>
              </w:rPr>
              <w:t>Celkem plochy transformační</w:t>
            </w:r>
          </w:p>
        </w:tc>
        <w:tc>
          <w:tcPr>
            <w:tcW w:w="587" w:type="dxa"/>
            <w:tcBorders>
              <w:top w:val="nil"/>
              <w:left w:val="nil"/>
              <w:bottom w:val="dashed" w:sz="4" w:space="0" w:color="auto"/>
              <w:right w:val="nil"/>
            </w:tcBorders>
            <w:noWrap/>
            <w:vAlign w:val="center"/>
          </w:tcPr>
          <w:p w14:paraId="71E6519E" w14:textId="6A58338F" w:rsidR="001A1BB8" w:rsidRPr="00EF3CD0" w:rsidRDefault="001A1BB8" w:rsidP="001A1BB8">
            <w:pPr>
              <w:spacing w:before="0" w:after="0"/>
              <w:ind w:left="0"/>
              <w:jc w:val="right"/>
              <w:rPr>
                <w:rFonts w:cs="Calibri"/>
                <w:b/>
                <w:bCs/>
                <w:sz w:val="16"/>
                <w:szCs w:val="16"/>
              </w:rPr>
            </w:pPr>
            <w:r w:rsidRPr="00EF3CD0">
              <w:rPr>
                <w:rFonts w:cs="Calibri"/>
                <w:b/>
                <w:bCs/>
                <w:sz w:val="16"/>
                <w:szCs w:val="16"/>
              </w:rPr>
              <w:t>5,971</w:t>
            </w:r>
          </w:p>
        </w:tc>
        <w:tc>
          <w:tcPr>
            <w:tcW w:w="580" w:type="dxa"/>
            <w:tcBorders>
              <w:top w:val="nil"/>
              <w:left w:val="nil"/>
              <w:bottom w:val="dashed" w:sz="4" w:space="0" w:color="auto"/>
              <w:right w:val="nil"/>
            </w:tcBorders>
            <w:noWrap/>
            <w:vAlign w:val="center"/>
          </w:tcPr>
          <w:p w14:paraId="2BD5FC8E" w14:textId="3AE14116" w:rsidR="001A1BB8" w:rsidRPr="00EF3CD0" w:rsidRDefault="001A1BB8" w:rsidP="001A1BB8">
            <w:pPr>
              <w:spacing w:before="0" w:after="0"/>
              <w:ind w:left="0"/>
              <w:jc w:val="center"/>
              <w:rPr>
                <w:rFonts w:cs="Calibri"/>
                <w:sz w:val="16"/>
                <w:szCs w:val="16"/>
              </w:rPr>
            </w:pPr>
            <w:r w:rsidRPr="00EF3CD0">
              <w:rPr>
                <w:rFonts w:cs="Calibri"/>
                <w:b/>
                <w:bCs/>
                <w:sz w:val="16"/>
                <w:szCs w:val="16"/>
              </w:rPr>
              <w:t>0,965</w:t>
            </w:r>
          </w:p>
        </w:tc>
        <w:tc>
          <w:tcPr>
            <w:tcW w:w="760" w:type="dxa"/>
            <w:tcBorders>
              <w:top w:val="nil"/>
              <w:left w:val="nil"/>
              <w:bottom w:val="dashed" w:sz="4" w:space="0" w:color="auto"/>
              <w:right w:val="nil"/>
            </w:tcBorders>
            <w:noWrap/>
            <w:vAlign w:val="center"/>
          </w:tcPr>
          <w:p w14:paraId="4B46ABA0" w14:textId="594D9A7C" w:rsidR="001A1BB8" w:rsidRPr="00EF3CD0" w:rsidRDefault="001A1BB8" w:rsidP="001A1BB8">
            <w:pPr>
              <w:spacing w:before="0" w:after="0"/>
              <w:ind w:left="0"/>
              <w:jc w:val="right"/>
              <w:rPr>
                <w:rFonts w:cs="Calibri"/>
                <w:sz w:val="16"/>
                <w:szCs w:val="16"/>
              </w:rPr>
            </w:pPr>
            <w:r w:rsidRPr="00EF3CD0">
              <w:rPr>
                <w:rFonts w:cs="Calibri"/>
                <w:b/>
                <w:bCs/>
                <w:sz w:val="16"/>
                <w:szCs w:val="16"/>
              </w:rPr>
              <w:t>1,382</w:t>
            </w:r>
          </w:p>
        </w:tc>
        <w:tc>
          <w:tcPr>
            <w:tcW w:w="580" w:type="dxa"/>
            <w:tcBorders>
              <w:top w:val="nil"/>
              <w:left w:val="nil"/>
              <w:bottom w:val="dashed" w:sz="4" w:space="0" w:color="auto"/>
              <w:right w:val="nil"/>
            </w:tcBorders>
            <w:noWrap/>
            <w:vAlign w:val="center"/>
          </w:tcPr>
          <w:p w14:paraId="7133035F" w14:textId="70FA9A33" w:rsidR="001A1BB8" w:rsidRPr="00EF3CD0" w:rsidRDefault="001A1BB8" w:rsidP="001A1BB8">
            <w:pPr>
              <w:spacing w:before="0" w:after="0"/>
              <w:ind w:left="0"/>
              <w:jc w:val="center"/>
              <w:rPr>
                <w:rFonts w:cs="Calibri"/>
                <w:sz w:val="16"/>
                <w:szCs w:val="16"/>
              </w:rPr>
            </w:pPr>
            <w:r w:rsidRPr="00EF3CD0">
              <w:rPr>
                <w:rFonts w:cs="Calibri"/>
                <w:b/>
                <w:bCs/>
                <w:sz w:val="16"/>
                <w:szCs w:val="16"/>
              </w:rPr>
              <w:t>0,000</w:t>
            </w:r>
          </w:p>
        </w:tc>
        <w:tc>
          <w:tcPr>
            <w:tcW w:w="640" w:type="dxa"/>
            <w:tcBorders>
              <w:top w:val="nil"/>
              <w:left w:val="nil"/>
              <w:bottom w:val="dashed" w:sz="4" w:space="0" w:color="auto"/>
              <w:right w:val="nil"/>
            </w:tcBorders>
            <w:noWrap/>
            <w:vAlign w:val="center"/>
          </w:tcPr>
          <w:p w14:paraId="4D154314" w14:textId="1F3923E9" w:rsidR="001A1BB8" w:rsidRPr="00EF3CD0" w:rsidRDefault="001A1BB8" w:rsidP="001A1BB8">
            <w:pPr>
              <w:spacing w:before="0" w:after="0"/>
              <w:ind w:left="0"/>
              <w:jc w:val="center"/>
              <w:rPr>
                <w:rFonts w:cs="Calibri"/>
                <w:sz w:val="16"/>
                <w:szCs w:val="16"/>
              </w:rPr>
            </w:pPr>
            <w:r w:rsidRPr="00EF3CD0">
              <w:rPr>
                <w:rFonts w:cs="Calibri"/>
                <w:b/>
                <w:bCs/>
                <w:sz w:val="16"/>
                <w:szCs w:val="16"/>
              </w:rPr>
              <w:t>0,579</w:t>
            </w:r>
          </w:p>
        </w:tc>
        <w:tc>
          <w:tcPr>
            <w:tcW w:w="720" w:type="dxa"/>
            <w:tcBorders>
              <w:top w:val="nil"/>
              <w:left w:val="nil"/>
              <w:bottom w:val="dashed" w:sz="4" w:space="0" w:color="auto"/>
              <w:right w:val="nil"/>
            </w:tcBorders>
            <w:noWrap/>
            <w:vAlign w:val="center"/>
          </w:tcPr>
          <w:p w14:paraId="43BB41F0" w14:textId="5C7138D6" w:rsidR="001A1BB8" w:rsidRPr="00EF3CD0" w:rsidRDefault="001A1BB8" w:rsidP="001A1BB8">
            <w:pPr>
              <w:spacing w:before="0" w:after="0"/>
              <w:ind w:left="0"/>
              <w:jc w:val="right"/>
              <w:rPr>
                <w:rFonts w:cs="Calibri"/>
                <w:sz w:val="16"/>
                <w:szCs w:val="16"/>
              </w:rPr>
            </w:pPr>
            <w:r w:rsidRPr="00EF3CD0">
              <w:rPr>
                <w:rFonts w:cs="Calibri"/>
                <w:b/>
                <w:bCs/>
                <w:sz w:val="16"/>
                <w:szCs w:val="16"/>
              </w:rPr>
              <w:t>3,045</w:t>
            </w:r>
          </w:p>
        </w:tc>
        <w:tc>
          <w:tcPr>
            <w:tcW w:w="860" w:type="dxa"/>
            <w:tcBorders>
              <w:top w:val="nil"/>
              <w:left w:val="nil"/>
              <w:bottom w:val="dashed" w:sz="4" w:space="0" w:color="auto"/>
              <w:right w:val="nil"/>
            </w:tcBorders>
            <w:noWrap/>
            <w:vAlign w:val="bottom"/>
          </w:tcPr>
          <w:p w14:paraId="01DD6EB4" w14:textId="77777777" w:rsidR="001A1BB8" w:rsidRPr="00EF3CD0" w:rsidRDefault="001A1BB8" w:rsidP="001A1BB8">
            <w:pPr>
              <w:spacing w:before="0" w:after="0"/>
              <w:ind w:left="0"/>
              <w:jc w:val="center"/>
              <w:rPr>
                <w:rFonts w:cs="Calibri"/>
                <w:sz w:val="16"/>
                <w:szCs w:val="16"/>
              </w:rPr>
            </w:pPr>
          </w:p>
        </w:tc>
        <w:tc>
          <w:tcPr>
            <w:tcW w:w="420" w:type="dxa"/>
            <w:tcBorders>
              <w:top w:val="nil"/>
              <w:left w:val="nil"/>
              <w:bottom w:val="dashed" w:sz="4" w:space="0" w:color="auto"/>
              <w:right w:val="nil"/>
            </w:tcBorders>
            <w:noWrap/>
            <w:vAlign w:val="bottom"/>
          </w:tcPr>
          <w:p w14:paraId="26ECB30D" w14:textId="77777777" w:rsidR="001A1BB8" w:rsidRPr="00EF3CD0" w:rsidRDefault="001A1BB8" w:rsidP="001A1BB8">
            <w:pPr>
              <w:spacing w:before="0" w:after="0"/>
              <w:ind w:left="0"/>
              <w:jc w:val="center"/>
              <w:rPr>
                <w:rFonts w:cs="Calibri"/>
                <w:sz w:val="16"/>
                <w:szCs w:val="16"/>
              </w:rPr>
            </w:pPr>
          </w:p>
        </w:tc>
        <w:tc>
          <w:tcPr>
            <w:tcW w:w="380" w:type="dxa"/>
            <w:tcBorders>
              <w:top w:val="nil"/>
              <w:left w:val="nil"/>
              <w:bottom w:val="dashed" w:sz="4" w:space="0" w:color="auto"/>
              <w:right w:val="nil"/>
            </w:tcBorders>
            <w:noWrap/>
            <w:vAlign w:val="bottom"/>
          </w:tcPr>
          <w:p w14:paraId="619DD463" w14:textId="77777777" w:rsidR="001A1BB8" w:rsidRPr="00EF3CD0" w:rsidRDefault="001A1BB8" w:rsidP="001A1BB8">
            <w:pPr>
              <w:spacing w:before="0" w:after="0"/>
              <w:ind w:left="0"/>
              <w:jc w:val="center"/>
              <w:rPr>
                <w:rFonts w:cs="Calibri"/>
                <w:sz w:val="16"/>
                <w:szCs w:val="16"/>
              </w:rPr>
            </w:pPr>
          </w:p>
        </w:tc>
        <w:tc>
          <w:tcPr>
            <w:tcW w:w="347" w:type="dxa"/>
            <w:tcBorders>
              <w:top w:val="nil"/>
              <w:left w:val="nil"/>
              <w:bottom w:val="dashed" w:sz="4" w:space="0" w:color="auto"/>
              <w:right w:val="nil"/>
            </w:tcBorders>
            <w:noWrap/>
            <w:vAlign w:val="bottom"/>
          </w:tcPr>
          <w:p w14:paraId="7EE9C290" w14:textId="77777777" w:rsidR="001A1BB8" w:rsidRPr="00EF3CD0" w:rsidRDefault="001A1BB8" w:rsidP="001A1BB8">
            <w:pPr>
              <w:spacing w:before="0" w:after="0"/>
              <w:ind w:left="0"/>
              <w:jc w:val="center"/>
              <w:rPr>
                <w:rFonts w:cs="Calibri"/>
                <w:sz w:val="16"/>
                <w:szCs w:val="16"/>
              </w:rPr>
            </w:pPr>
          </w:p>
        </w:tc>
        <w:tc>
          <w:tcPr>
            <w:tcW w:w="800" w:type="dxa"/>
            <w:tcBorders>
              <w:top w:val="nil"/>
              <w:left w:val="nil"/>
              <w:bottom w:val="dashed" w:sz="4" w:space="0" w:color="auto"/>
              <w:right w:val="nil"/>
            </w:tcBorders>
            <w:noWrap/>
            <w:vAlign w:val="bottom"/>
          </w:tcPr>
          <w:p w14:paraId="68D9FE07" w14:textId="77777777" w:rsidR="001A1BB8" w:rsidRPr="00EF3CD0" w:rsidRDefault="001A1BB8" w:rsidP="001A1BB8">
            <w:pPr>
              <w:spacing w:before="0" w:after="0"/>
              <w:ind w:left="0"/>
              <w:jc w:val="center"/>
              <w:rPr>
                <w:rFonts w:cs="Calibri"/>
                <w:sz w:val="16"/>
                <w:szCs w:val="16"/>
              </w:rPr>
            </w:pPr>
          </w:p>
        </w:tc>
      </w:tr>
      <w:tr w:rsidR="001A1BB8" w:rsidRPr="00EF3CD0" w14:paraId="5B4A41FB" w14:textId="77777777" w:rsidTr="00881DF7">
        <w:trPr>
          <w:trHeight w:val="210"/>
        </w:trPr>
        <w:tc>
          <w:tcPr>
            <w:tcW w:w="2262" w:type="dxa"/>
            <w:gridSpan w:val="2"/>
            <w:tcBorders>
              <w:top w:val="nil"/>
              <w:left w:val="nil"/>
              <w:bottom w:val="dashed" w:sz="4" w:space="0" w:color="auto"/>
              <w:right w:val="nil"/>
            </w:tcBorders>
            <w:noWrap/>
            <w:vAlign w:val="bottom"/>
          </w:tcPr>
          <w:p w14:paraId="5FC81E42" w14:textId="2B656B1D" w:rsidR="001A1BB8" w:rsidRPr="00EF3CD0" w:rsidRDefault="001A1BB8" w:rsidP="001A1BB8">
            <w:pPr>
              <w:spacing w:before="0" w:after="0"/>
              <w:ind w:left="0"/>
              <w:jc w:val="left"/>
              <w:rPr>
                <w:rFonts w:cs="Calibri"/>
                <w:sz w:val="16"/>
                <w:szCs w:val="16"/>
              </w:rPr>
            </w:pPr>
            <w:r w:rsidRPr="00EF3CD0">
              <w:rPr>
                <w:rFonts w:cs="Calibri"/>
                <w:b/>
                <w:bCs/>
                <w:i/>
                <w:iCs/>
                <w:sz w:val="16"/>
                <w:szCs w:val="16"/>
              </w:rPr>
              <w:t>Celkem zastavitelné plochy</w:t>
            </w:r>
          </w:p>
        </w:tc>
        <w:tc>
          <w:tcPr>
            <w:tcW w:w="587" w:type="dxa"/>
            <w:tcBorders>
              <w:top w:val="nil"/>
              <w:left w:val="nil"/>
              <w:bottom w:val="dashed" w:sz="4" w:space="0" w:color="auto"/>
              <w:right w:val="nil"/>
            </w:tcBorders>
            <w:noWrap/>
            <w:vAlign w:val="center"/>
          </w:tcPr>
          <w:p w14:paraId="1B3DB547" w14:textId="3EEEE17D" w:rsidR="001A1BB8" w:rsidRPr="00EF3CD0" w:rsidRDefault="001A1BB8" w:rsidP="001A1BB8">
            <w:pPr>
              <w:spacing w:before="0" w:after="0"/>
              <w:ind w:left="0"/>
              <w:jc w:val="right"/>
              <w:rPr>
                <w:rFonts w:cs="Calibri"/>
                <w:b/>
                <w:bCs/>
                <w:sz w:val="16"/>
                <w:szCs w:val="16"/>
              </w:rPr>
            </w:pPr>
            <w:r w:rsidRPr="00EF3CD0">
              <w:rPr>
                <w:rFonts w:cs="Calibri"/>
                <w:b/>
                <w:bCs/>
                <w:sz w:val="16"/>
                <w:szCs w:val="16"/>
              </w:rPr>
              <w:t>13,992</w:t>
            </w:r>
          </w:p>
        </w:tc>
        <w:tc>
          <w:tcPr>
            <w:tcW w:w="580" w:type="dxa"/>
            <w:tcBorders>
              <w:top w:val="nil"/>
              <w:left w:val="nil"/>
              <w:bottom w:val="dashed" w:sz="4" w:space="0" w:color="auto"/>
              <w:right w:val="nil"/>
            </w:tcBorders>
            <w:noWrap/>
            <w:vAlign w:val="center"/>
          </w:tcPr>
          <w:p w14:paraId="29601C77" w14:textId="4ADA8D1A" w:rsidR="001A1BB8" w:rsidRPr="00EF3CD0" w:rsidRDefault="001A1BB8" w:rsidP="001A1BB8">
            <w:pPr>
              <w:spacing w:before="0" w:after="0"/>
              <w:ind w:left="0"/>
              <w:jc w:val="center"/>
              <w:rPr>
                <w:rFonts w:cs="Calibri"/>
                <w:sz w:val="16"/>
                <w:szCs w:val="16"/>
              </w:rPr>
            </w:pPr>
            <w:r w:rsidRPr="00EF3CD0">
              <w:rPr>
                <w:rFonts w:cs="Calibri"/>
                <w:b/>
                <w:bCs/>
                <w:sz w:val="16"/>
                <w:szCs w:val="16"/>
              </w:rPr>
              <w:t>0,316</w:t>
            </w:r>
          </w:p>
        </w:tc>
        <w:tc>
          <w:tcPr>
            <w:tcW w:w="760" w:type="dxa"/>
            <w:tcBorders>
              <w:top w:val="nil"/>
              <w:left w:val="nil"/>
              <w:bottom w:val="dashed" w:sz="4" w:space="0" w:color="auto"/>
              <w:right w:val="nil"/>
            </w:tcBorders>
            <w:noWrap/>
            <w:vAlign w:val="center"/>
          </w:tcPr>
          <w:p w14:paraId="6730D97E" w14:textId="401ECFD8" w:rsidR="001A1BB8" w:rsidRPr="00EF3CD0" w:rsidRDefault="001A1BB8" w:rsidP="001A1BB8">
            <w:pPr>
              <w:spacing w:before="0" w:after="0"/>
              <w:ind w:left="0"/>
              <w:jc w:val="right"/>
              <w:rPr>
                <w:rFonts w:cs="Calibri"/>
                <w:sz w:val="16"/>
                <w:szCs w:val="16"/>
              </w:rPr>
            </w:pPr>
            <w:r w:rsidRPr="00EF3CD0">
              <w:rPr>
                <w:rFonts w:cs="Calibri"/>
                <w:b/>
                <w:bCs/>
                <w:sz w:val="16"/>
                <w:szCs w:val="16"/>
              </w:rPr>
              <w:t>1,908</w:t>
            </w:r>
          </w:p>
        </w:tc>
        <w:tc>
          <w:tcPr>
            <w:tcW w:w="580" w:type="dxa"/>
            <w:tcBorders>
              <w:top w:val="nil"/>
              <w:left w:val="nil"/>
              <w:bottom w:val="dashed" w:sz="4" w:space="0" w:color="auto"/>
              <w:right w:val="nil"/>
            </w:tcBorders>
            <w:noWrap/>
            <w:vAlign w:val="center"/>
          </w:tcPr>
          <w:p w14:paraId="5814B5ED" w14:textId="3B1E2D3F" w:rsidR="001A1BB8" w:rsidRPr="00EF3CD0" w:rsidRDefault="001A1BB8" w:rsidP="001A1BB8">
            <w:pPr>
              <w:spacing w:before="0" w:after="0"/>
              <w:ind w:left="0"/>
              <w:jc w:val="center"/>
              <w:rPr>
                <w:rFonts w:cs="Calibri"/>
                <w:sz w:val="16"/>
                <w:szCs w:val="16"/>
              </w:rPr>
            </w:pPr>
            <w:r w:rsidRPr="00EF3CD0">
              <w:rPr>
                <w:rFonts w:cs="Calibri"/>
                <w:b/>
                <w:bCs/>
                <w:sz w:val="16"/>
                <w:szCs w:val="16"/>
              </w:rPr>
              <w:t>0,000</w:t>
            </w:r>
          </w:p>
        </w:tc>
        <w:tc>
          <w:tcPr>
            <w:tcW w:w="640" w:type="dxa"/>
            <w:tcBorders>
              <w:top w:val="nil"/>
              <w:left w:val="nil"/>
              <w:bottom w:val="dashed" w:sz="4" w:space="0" w:color="auto"/>
              <w:right w:val="nil"/>
            </w:tcBorders>
            <w:noWrap/>
            <w:vAlign w:val="center"/>
          </w:tcPr>
          <w:p w14:paraId="2D94284E" w14:textId="07D1551B" w:rsidR="001A1BB8" w:rsidRPr="00EF3CD0" w:rsidRDefault="001A1BB8" w:rsidP="001A1BB8">
            <w:pPr>
              <w:spacing w:before="0" w:after="0"/>
              <w:ind w:left="0"/>
              <w:jc w:val="center"/>
              <w:rPr>
                <w:rFonts w:cs="Calibri"/>
                <w:sz w:val="16"/>
                <w:szCs w:val="16"/>
              </w:rPr>
            </w:pPr>
            <w:r w:rsidRPr="00EF3CD0">
              <w:rPr>
                <w:rFonts w:cs="Calibri"/>
                <w:b/>
                <w:bCs/>
                <w:sz w:val="16"/>
                <w:szCs w:val="16"/>
              </w:rPr>
              <w:t>0,000</w:t>
            </w:r>
          </w:p>
        </w:tc>
        <w:tc>
          <w:tcPr>
            <w:tcW w:w="720" w:type="dxa"/>
            <w:tcBorders>
              <w:top w:val="nil"/>
              <w:left w:val="nil"/>
              <w:bottom w:val="dashed" w:sz="4" w:space="0" w:color="auto"/>
              <w:right w:val="nil"/>
            </w:tcBorders>
            <w:noWrap/>
            <w:vAlign w:val="center"/>
          </w:tcPr>
          <w:p w14:paraId="27DAFEB2" w14:textId="07281C3F" w:rsidR="001A1BB8" w:rsidRPr="00EF3CD0" w:rsidRDefault="001A1BB8" w:rsidP="001A1BB8">
            <w:pPr>
              <w:spacing w:before="0" w:after="0"/>
              <w:ind w:left="0"/>
              <w:jc w:val="right"/>
              <w:rPr>
                <w:rFonts w:cs="Calibri"/>
                <w:sz w:val="16"/>
                <w:szCs w:val="16"/>
              </w:rPr>
            </w:pPr>
            <w:r w:rsidRPr="00EF3CD0">
              <w:rPr>
                <w:rFonts w:cs="Calibri"/>
                <w:b/>
                <w:bCs/>
                <w:sz w:val="16"/>
                <w:szCs w:val="16"/>
              </w:rPr>
              <w:t>11,768</w:t>
            </w:r>
          </w:p>
        </w:tc>
        <w:tc>
          <w:tcPr>
            <w:tcW w:w="860" w:type="dxa"/>
            <w:tcBorders>
              <w:top w:val="nil"/>
              <w:left w:val="nil"/>
              <w:bottom w:val="dashed" w:sz="4" w:space="0" w:color="auto"/>
              <w:right w:val="nil"/>
            </w:tcBorders>
            <w:noWrap/>
            <w:vAlign w:val="bottom"/>
          </w:tcPr>
          <w:p w14:paraId="1769BBA6" w14:textId="77777777" w:rsidR="001A1BB8" w:rsidRPr="00EF3CD0" w:rsidRDefault="001A1BB8" w:rsidP="001A1BB8">
            <w:pPr>
              <w:spacing w:before="0" w:after="0"/>
              <w:ind w:left="0"/>
              <w:jc w:val="center"/>
              <w:rPr>
                <w:rFonts w:cs="Calibri"/>
                <w:sz w:val="16"/>
                <w:szCs w:val="16"/>
              </w:rPr>
            </w:pPr>
          </w:p>
        </w:tc>
        <w:tc>
          <w:tcPr>
            <w:tcW w:w="420" w:type="dxa"/>
            <w:tcBorders>
              <w:top w:val="nil"/>
              <w:left w:val="nil"/>
              <w:bottom w:val="dashed" w:sz="4" w:space="0" w:color="auto"/>
              <w:right w:val="nil"/>
            </w:tcBorders>
            <w:noWrap/>
            <w:vAlign w:val="bottom"/>
          </w:tcPr>
          <w:p w14:paraId="4E507FA2" w14:textId="77777777" w:rsidR="001A1BB8" w:rsidRPr="00EF3CD0" w:rsidRDefault="001A1BB8" w:rsidP="001A1BB8">
            <w:pPr>
              <w:spacing w:before="0" w:after="0"/>
              <w:ind w:left="0"/>
              <w:jc w:val="center"/>
              <w:rPr>
                <w:rFonts w:cs="Calibri"/>
                <w:sz w:val="16"/>
                <w:szCs w:val="16"/>
              </w:rPr>
            </w:pPr>
          </w:p>
        </w:tc>
        <w:tc>
          <w:tcPr>
            <w:tcW w:w="380" w:type="dxa"/>
            <w:tcBorders>
              <w:top w:val="nil"/>
              <w:left w:val="nil"/>
              <w:bottom w:val="dashed" w:sz="4" w:space="0" w:color="auto"/>
              <w:right w:val="nil"/>
            </w:tcBorders>
            <w:noWrap/>
            <w:vAlign w:val="bottom"/>
          </w:tcPr>
          <w:p w14:paraId="013D49C4" w14:textId="77777777" w:rsidR="001A1BB8" w:rsidRPr="00EF3CD0" w:rsidRDefault="001A1BB8" w:rsidP="001A1BB8">
            <w:pPr>
              <w:spacing w:before="0" w:after="0"/>
              <w:ind w:left="0"/>
              <w:jc w:val="center"/>
              <w:rPr>
                <w:rFonts w:cs="Calibri"/>
                <w:sz w:val="16"/>
                <w:szCs w:val="16"/>
              </w:rPr>
            </w:pPr>
          </w:p>
        </w:tc>
        <w:tc>
          <w:tcPr>
            <w:tcW w:w="347" w:type="dxa"/>
            <w:tcBorders>
              <w:top w:val="nil"/>
              <w:left w:val="nil"/>
              <w:bottom w:val="dashed" w:sz="4" w:space="0" w:color="auto"/>
              <w:right w:val="nil"/>
            </w:tcBorders>
            <w:noWrap/>
            <w:vAlign w:val="bottom"/>
          </w:tcPr>
          <w:p w14:paraId="27438480" w14:textId="77777777" w:rsidR="001A1BB8" w:rsidRPr="00EF3CD0" w:rsidRDefault="001A1BB8" w:rsidP="001A1BB8">
            <w:pPr>
              <w:spacing w:before="0" w:after="0"/>
              <w:ind w:left="0"/>
              <w:jc w:val="center"/>
              <w:rPr>
                <w:rFonts w:cs="Calibri"/>
                <w:sz w:val="16"/>
                <w:szCs w:val="16"/>
              </w:rPr>
            </w:pPr>
          </w:p>
        </w:tc>
        <w:tc>
          <w:tcPr>
            <w:tcW w:w="800" w:type="dxa"/>
            <w:tcBorders>
              <w:top w:val="nil"/>
              <w:left w:val="nil"/>
              <w:bottom w:val="dashed" w:sz="4" w:space="0" w:color="auto"/>
              <w:right w:val="nil"/>
            </w:tcBorders>
            <w:noWrap/>
            <w:vAlign w:val="bottom"/>
          </w:tcPr>
          <w:p w14:paraId="643EE0FD" w14:textId="77777777" w:rsidR="001A1BB8" w:rsidRPr="00EF3CD0" w:rsidRDefault="001A1BB8" w:rsidP="001A1BB8">
            <w:pPr>
              <w:spacing w:before="0" w:after="0"/>
              <w:ind w:left="0"/>
              <w:jc w:val="center"/>
              <w:rPr>
                <w:rFonts w:cs="Calibri"/>
                <w:sz w:val="16"/>
                <w:szCs w:val="16"/>
              </w:rPr>
            </w:pPr>
          </w:p>
        </w:tc>
      </w:tr>
      <w:tr w:rsidR="001A1BB8" w:rsidRPr="00EF3CD0" w14:paraId="29FB1591" w14:textId="77777777" w:rsidTr="00881DF7">
        <w:trPr>
          <w:trHeight w:val="210"/>
        </w:trPr>
        <w:tc>
          <w:tcPr>
            <w:tcW w:w="2262" w:type="dxa"/>
            <w:gridSpan w:val="2"/>
            <w:tcBorders>
              <w:top w:val="nil"/>
              <w:left w:val="nil"/>
              <w:bottom w:val="dashed" w:sz="4" w:space="0" w:color="auto"/>
              <w:right w:val="nil"/>
            </w:tcBorders>
            <w:noWrap/>
            <w:vAlign w:val="bottom"/>
          </w:tcPr>
          <w:p w14:paraId="49BD4670" w14:textId="75A85FBF" w:rsidR="001A1BB8" w:rsidRPr="00EF3CD0" w:rsidRDefault="001A1BB8" w:rsidP="001A1BB8">
            <w:pPr>
              <w:spacing w:before="0" w:after="0"/>
              <w:ind w:left="0"/>
              <w:jc w:val="left"/>
              <w:rPr>
                <w:rFonts w:cs="Calibri"/>
                <w:sz w:val="16"/>
                <w:szCs w:val="16"/>
              </w:rPr>
            </w:pPr>
            <w:r w:rsidRPr="00EF3CD0">
              <w:rPr>
                <w:rFonts w:cs="Calibri"/>
                <w:b/>
                <w:bCs/>
                <w:i/>
                <w:iCs/>
                <w:sz w:val="16"/>
                <w:szCs w:val="16"/>
              </w:rPr>
              <w:t>Celkem plochy transformační a</w:t>
            </w:r>
            <w:r>
              <w:rPr>
                <w:rFonts w:cs="Calibri"/>
                <w:b/>
                <w:bCs/>
                <w:i/>
                <w:iCs/>
                <w:sz w:val="16"/>
                <w:szCs w:val="16"/>
              </w:rPr>
              <w:t> </w:t>
            </w:r>
            <w:r w:rsidRPr="00EF3CD0">
              <w:rPr>
                <w:rFonts w:cs="Calibri"/>
                <w:b/>
                <w:bCs/>
                <w:i/>
                <w:iCs/>
                <w:sz w:val="16"/>
                <w:szCs w:val="16"/>
              </w:rPr>
              <w:t>zastavitelné plochy</w:t>
            </w:r>
          </w:p>
        </w:tc>
        <w:tc>
          <w:tcPr>
            <w:tcW w:w="587" w:type="dxa"/>
            <w:tcBorders>
              <w:top w:val="nil"/>
              <w:left w:val="nil"/>
              <w:bottom w:val="dashed" w:sz="4" w:space="0" w:color="auto"/>
              <w:right w:val="nil"/>
            </w:tcBorders>
            <w:noWrap/>
            <w:vAlign w:val="center"/>
          </w:tcPr>
          <w:p w14:paraId="7D442175" w14:textId="78F6E103" w:rsidR="001A1BB8" w:rsidRPr="00EF3CD0" w:rsidRDefault="001A1BB8" w:rsidP="001A1BB8">
            <w:pPr>
              <w:spacing w:before="0" w:after="0"/>
              <w:ind w:left="0"/>
              <w:jc w:val="right"/>
              <w:rPr>
                <w:rFonts w:cs="Calibri"/>
                <w:b/>
                <w:bCs/>
                <w:sz w:val="16"/>
                <w:szCs w:val="16"/>
              </w:rPr>
            </w:pPr>
            <w:r w:rsidRPr="00EF3CD0">
              <w:rPr>
                <w:rFonts w:cs="Calibri"/>
                <w:b/>
                <w:bCs/>
                <w:sz w:val="16"/>
                <w:szCs w:val="16"/>
              </w:rPr>
              <w:t>19,963</w:t>
            </w:r>
          </w:p>
        </w:tc>
        <w:tc>
          <w:tcPr>
            <w:tcW w:w="580" w:type="dxa"/>
            <w:tcBorders>
              <w:top w:val="nil"/>
              <w:left w:val="nil"/>
              <w:bottom w:val="dashed" w:sz="4" w:space="0" w:color="auto"/>
              <w:right w:val="nil"/>
            </w:tcBorders>
            <w:noWrap/>
            <w:vAlign w:val="center"/>
          </w:tcPr>
          <w:p w14:paraId="39C47F7D" w14:textId="090695C2" w:rsidR="001A1BB8" w:rsidRPr="00EF3CD0" w:rsidRDefault="001A1BB8" w:rsidP="001A1BB8">
            <w:pPr>
              <w:spacing w:before="0" w:after="0"/>
              <w:ind w:left="0"/>
              <w:jc w:val="center"/>
              <w:rPr>
                <w:rFonts w:cs="Calibri"/>
                <w:sz w:val="16"/>
                <w:szCs w:val="16"/>
              </w:rPr>
            </w:pPr>
            <w:r w:rsidRPr="00EF3CD0">
              <w:rPr>
                <w:rFonts w:cs="Calibri"/>
                <w:b/>
                <w:bCs/>
                <w:sz w:val="16"/>
                <w:szCs w:val="16"/>
              </w:rPr>
              <w:t>1,281</w:t>
            </w:r>
          </w:p>
        </w:tc>
        <w:tc>
          <w:tcPr>
            <w:tcW w:w="760" w:type="dxa"/>
            <w:tcBorders>
              <w:top w:val="nil"/>
              <w:left w:val="nil"/>
              <w:bottom w:val="dashed" w:sz="4" w:space="0" w:color="auto"/>
              <w:right w:val="nil"/>
            </w:tcBorders>
            <w:noWrap/>
            <w:vAlign w:val="center"/>
          </w:tcPr>
          <w:p w14:paraId="425BAD29" w14:textId="4A380B45" w:rsidR="001A1BB8" w:rsidRPr="00EF3CD0" w:rsidRDefault="001A1BB8" w:rsidP="001A1BB8">
            <w:pPr>
              <w:spacing w:before="0" w:after="0"/>
              <w:ind w:left="0"/>
              <w:jc w:val="right"/>
              <w:rPr>
                <w:rFonts w:cs="Calibri"/>
                <w:sz w:val="16"/>
                <w:szCs w:val="16"/>
              </w:rPr>
            </w:pPr>
            <w:r w:rsidRPr="00EF3CD0">
              <w:rPr>
                <w:rFonts w:cs="Calibri"/>
                <w:b/>
                <w:bCs/>
                <w:sz w:val="16"/>
                <w:szCs w:val="16"/>
              </w:rPr>
              <w:t>3,290</w:t>
            </w:r>
          </w:p>
        </w:tc>
        <w:tc>
          <w:tcPr>
            <w:tcW w:w="580" w:type="dxa"/>
            <w:tcBorders>
              <w:top w:val="nil"/>
              <w:left w:val="nil"/>
              <w:bottom w:val="dashed" w:sz="4" w:space="0" w:color="auto"/>
              <w:right w:val="nil"/>
            </w:tcBorders>
            <w:noWrap/>
            <w:vAlign w:val="center"/>
          </w:tcPr>
          <w:p w14:paraId="520ED410" w14:textId="3DB39646" w:rsidR="001A1BB8" w:rsidRPr="00EF3CD0" w:rsidRDefault="001A1BB8" w:rsidP="001A1BB8">
            <w:pPr>
              <w:spacing w:before="0" w:after="0"/>
              <w:ind w:left="0"/>
              <w:jc w:val="center"/>
              <w:rPr>
                <w:rFonts w:cs="Calibri"/>
                <w:sz w:val="16"/>
                <w:szCs w:val="16"/>
              </w:rPr>
            </w:pPr>
            <w:r w:rsidRPr="00EF3CD0">
              <w:rPr>
                <w:rFonts w:cs="Calibri"/>
                <w:b/>
                <w:bCs/>
                <w:sz w:val="16"/>
                <w:szCs w:val="16"/>
              </w:rPr>
              <w:t>0,000</w:t>
            </w:r>
          </w:p>
        </w:tc>
        <w:tc>
          <w:tcPr>
            <w:tcW w:w="640" w:type="dxa"/>
            <w:tcBorders>
              <w:top w:val="nil"/>
              <w:left w:val="nil"/>
              <w:bottom w:val="dashed" w:sz="4" w:space="0" w:color="auto"/>
              <w:right w:val="nil"/>
            </w:tcBorders>
            <w:noWrap/>
            <w:vAlign w:val="center"/>
          </w:tcPr>
          <w:p w14:paraId="1DEA3F4F" w14:textId="5B88263F" w:rsidR="001A1BB8" w:rsidRPr="00EF3CD0" w:rsidRDefault="001A1BB8" w:rsidP="001A1BB8">
            <w:pPr>
              <w:spacing w:before="0" w:after="0"/>
              <w:ind w:left="0"/>
              <w:jc w:val="center"/>
              <w:rPr>
                <w:rFonts w:cs="Calibri"/>
                <w:sz w:val="16"/>
                <w:szCs w:val="16"/>
              </w:rPr>
            </w:pPr>
            <w:r w:rsidRPr="00EF3CD0">
              <w:rPr>
                <w:rFonts w:cs="Calibri"/>
                <w:b/>
                <w:bCs/>
                <w:sz w:val="16"/>
                <w:szCs w:val="16"/>
              </w:rPr>
              <w:t>0,579</w:t>
            </w:r>
          </w:p>
        </w:tc>
        <w:tc>
          <w:tcPr>
            <w:tcW w:w="720" w:type="dxa"/>
            <w:tcBorders>
              <w:top w:val="nil"/>
              <w:left w:val="nil"/>
              <w:bottom w:val="dashed" w:sz="4" w:space="0" w:color="auto"/>
              <w:right w:val="nil"/>
            </w:tcBorders>
            <w:noWrap/>
            <w:vAlign w:val="center"/>
          </w:tcPr>
          <w:p w14:paraId="3E8B76D7" w14:textId="7DB2C36B" w:rsidR="001A1BB8" w:rsidRPr="00EF3CD0" w:rsidRDefault="001A1BB8" w:rsidP="001A1BB8">
            <w:pPr>
              <w:spacing w:before="0" w:after="0"/>
              <w:ind w:left="0"/>
              <w:jc w:val="right"/>
              <w:rPr>
                <w:rFonts w:cs="Calibri"/>
                <w:sz w:val="16"/>
                <w:szCs w:val="16"/>
              </w:rPr>
            </w:pPr>
            <w:r w:rsidRPr="00EF3CD0">
              <w:rPr>
                <w:rFonts w:cs="Calibri"/>
                <w:b/>
                <w:bCs/>
                <w:sz w:val="16"/>
                <w:szCs w:val="16"/>
              </w:rPr>
              <w:t>14,813</w:t>
            </w:r>
          </w:p>
        </w:tc>
        <w:tc>
          <w:tcPr>
            <w:tcW w:w="860" w:type="dxa"/>
            <w:tcBorders>
              <w:top w:val="nil"/>
              <w:left w:val="nil"/>
              <w:bottom w:val="dashed" w:sz="4" w:space="0" w:color="auto"/>
              <w:right w:val="nil"/>
            </w:tcBorders>
            <w:noWrap/>
            <w:vAlign w:val="bottom"/>
          </w:tcPr>
          <w:p w14:paraId="075AF857" w14:textId="77777777" w:rsidR="001A1BB8" w:rsidRPr="00EF3CD0" w:rsidRDefault="001A1BB8" w:rsidP="001A1BB8">
            <w:pPr>
              <w:spacing w:before="0" w:after="0"/>
              <w:ind w:left="0"/>
              <w:jc w:val="center"/>
              <w:rPr>
                <w:rFonts w:cs="Calibri"/>
                <w:sz w:val="16"/>
                <w:szCs w:val="16"/>
              </w:rPr>
            </w:pPr>
          </w:p>
        </w:tc>
        <w:tc>
          <w:tcPr>
            <w:tcW w:w="420" w:type="dxa"/>
            <w:tcBorders>
              <w:top w:val="nil"/>
              <w:left w:val="nil"/>
              <w:bottom w:val="dashed" w:sz="4" w:space="0" w:color="auto"/>
              <w:right w:val="nil"/>
            </w:tcBorders>
            <w:noWrap/>
            <w:vAlign w:val="bottom"/>
          </w:tcPr>
          <w:p w14:paraId="47F5DA1A" w14:textId="77777777" w:rsidR="001A1BB8" w:rsidRPr="00EF3CD0" w:rsidRDefault="001A1BB8" w:rsidP="001A1BB8">
            <w:pPr>
              <w:spacing w:before="0" w:after="0"/>
              <w:ind w:left="0"/>
              <w:jc w:val="center"/>
              <w:rPr>
                <w:rFonts w:cs="Calibri"/>
                <w:sz w:val="16"/>
                <w:szCs w:val="16"/>
              </w:rPr>
            </w:pPr>
          </w:p>
        </w:tc>
        <w:tc>
          <w:tcPr>
            <w:tcW w:w="380" w:type="dxa"/>
            <w:tcBorders>
              <w:top w:val="nil"/>
              <w:left w:val="nil"/>
              <w:bottom w:val="dashed" w:sz="4" w:space="0" w:color="auto"/>
              <w:right w:val="nil"/>
            </w:tcBorders>
            <w:noWrap/>
            <w:vAlign w:val="bottom"/>
          </w:tcPr>
          <w:p w14:paraId="3DBCEFA3" w14:textId="77777777" w:rsidR="001A1BB8" w:rsidRPr="00EF3CD0" w:rsidRDefault="001A1BB8" w:rsidP="001A1BB8">
            <w:pPr>
              <w:spacing w:before="0" w:after="0"/>
              <w:ind w:left="0"/>
              <w:jc w:val="center"/>
              <w:rPr>
                <w:rFonts w:cs="Calibri"/>
                <w:sz w:val="16"/>
                <w:szCs w:val="16"/>
              </w:rPr>
            </w:pPr>
          </w:p>
        </w:tc>
        <w:tc>
          <w:tcPr>
            <w:tcW w:w="347" w:type="dxa"/>
            <w:tcBorders>
              <w:top w:val="nil"/>
              <w:left w:val="nil"/>
              <w:bottom w:val="dashed" w:sz="4" w:space="0" w:color="auto"/>
              <w:right w:val="nil"/>
            </w:tcBorders>
            <w:noWrap/>
            <w:vAlign w:val="bottom"/>
          </w:tcPr>
          <w:p w14:paraId="1442120A" w14:textId="77777777" w:rsidR="001A1BB8" w:rsidRPr="00EF3CD0" w:rsidRDefault="001A1BB8" w:rsidP="001A1BB8">
            <w:pPr>
              <w:spacing w:before="0" w:after="0"/>
              <w:ind w:left="0"/>
              <w:jc w:val="center"/>
              <w:rPr>
                <w:rFonts w:cs="Calibri"/>
                <w:sz w:val="16"/>
                <w:szCs w:val="16"/>
              </w:rPr>
            </w:pPr>
          </w:p>
        </w:tc>
        <w:tc>
          <w:tcPr>
            <w:tcW w:w="800" w:type="dxa"/>
            <w:tcBorders>
              <w:top w:val="nil"/>
              <w:left w:val="nil"/>
              <w:bottom w:val="dashed" w:sz="4" w:space="0" w:color="auto"/>
              <w:right w:val="nil"/>
            </w:tcBorders>
            <w:noWrap/>
            <w:vAlign w:val="bottom"/>
          </w:tcPr>
          <w:p w14:paraId="45BACA98" w14:textId="77777777" w:rsidR="001A1BB8" w:rsidRPr="00EF3CD0" w:rsidRDefault="001A1BB8" w:rsidP="001A1BB8">
            <w:pPr>
              <w:spacing w:before="0" w:after="0"/>
              <w:ind w:left="0"/>
              <w:jc w:val="center"/>
              <w:rPr>
                <w:rFonts w:cs="Calibri"/>
                <w:sz w:val="16"/>
                <w:szCs w:val="16"/>
              </w:rPr>
            </w:pPr>
          </w:p>
        </w:tc>
      </w:tr>
      <w:tr w:rsidR="00F937DD" w:rsidRPr="00EF3CD0" w14:paraId="10ABF991" w14:textId="77777777" w:rsidTr="00F937DD">
        <w:trPr>
          <w:trHeight w:val="210"/>
        </w:trPr>
        <w:tc>
          <w:tcPr>
            <w:tcW w:w="1078" w:type="dxa"/>
            <w:tcBorders>
              <w:top w:val="nil"/>
              <w:left w:val="nil"/>
              <w:bottom w:val="dashed" w:sz="4" w:space="0" w:color="auto"/>
              <w:right w:val="nil"/>
            </w:tcBorders>
            <w:vAlign w:val="center"/>
            <w:hideMark/>
          </w:tcPr>
          <w:p w14:paraId="76AD6D4E" w14:textId="77777777" w:rsidR="00F937DD" w:rsidRPr="00EF3CD0" w:rsidRDefault="00F937DD" w:rsidP="00F937DD">
            <w:pPr>
              <w:spacing w:before="0" w:after="0"/>
              <w:ind w:left="0"/>
              <w:jc w:val="left"/>
              <w:rPr>
                <w:rFonts w:cs="Calibri"/>
                <w:b/>
                <w:bCs/>
                <w:i/>
                <w:iCs/>
                <w:sz w:val="16"/>
                <w:szCs w:val="16"/>
              </w:rPr>
            </w:pPr>
            <w:r w:rsidRPr="00EF3CD0">
              <w:rPr>
                <w:rFonts w:cs="Calibri"/>
                <w:b/>
                <w:bCs/>
                <w:i/>
                <w:iCs/>
                <w:sz w:val="16"/>
                <w:szCs w:val="16"/>
              </w:rPr>
              <w:t> </w:t>
            </w:r>
          </w:p>
        </w:tc>
        <w:tc>
          <w:tcPr>
            <w:tcW w:w="1184" w:type="dxa"/>
            <w:tcBorders>
              <w:top w:val="nil"/>
              <w:left w:val="nil"/>
              <w:bottom w:val="dashed" w:sz="4" w:space="0" w:color="auto"/>
              <w:right w:val="nil"/>
            </w:tcBorders>
            <w:vAlign w:val="center"/>
            <w:hideMark/>
          </w:tcPr>
          <w:p w14:paraId="764745DD" w14:textId="77777777" w:rsidR="00F937DD" w:rsidRPr="00EF3CD0" w:rsidRDefault="00F937DD" w:rsidP="00F937DD">
            <w:pPr>
              <w:spacing w:before="0" w:after="0"/>
              <w:ind w:left="0"/>
              <w:jc w:val="left"/>
              <w:rPr>
                <w:rFonts w:cs="Calibri"/>
                <w:b/>
                <w:bCs/>
                <w:i/>
                <w:iCs/>
                <w:sz w:val="16"/>
                <w:szCs w:val="16"/>
              </w:rPr>
            </w:pPr>
            <w:r w:rsidRPr="00EF3CD0">
              <w:rPr>
                <w:rFonts w:cs="Calibri"/>
                <w:b/>
                <w:bCs/>
                <w:i/>
                <w:iCs/>
                <w:sz w:val="16"/>
                <w:szCs w:val="16"/>
              </w:rPr>
              <w:t> </w:t>
            </w:r>
          </w:p>
        </w:tc>
        <w:tc>
          <w:tcPr>
            <w:tcW w:w="587" w:type="dxa"/>
            <w:tcBorders>
              <w:top w:val="nil"/>
              <w:left w:val="nil"/>
              <w:bottom w:val="dashed" w:sz="4" w:space="0" w:color="auto"/>
              <w:right w:val="nil"/>
            </w:tcBorders>
            <w:vAlign w:val="center"/>
            <w:hideMark/>
          </w:tcPr>
          <w:p w14:paraId="27502B4B" w14:textId="77777777" w:rsidR="00F937DD" w:rsidRPr="00EF3CD0" w:rsidRDefault="00F937DD" w:rsidP="00F937DD">
            <w:pPr>
              <w:spacing w:before="0" w:after="0"/>
              <w:ind w:left="0"/>
              <w:jc w:val="left"/>
              <w:rPr>
                <w:rFonts w:cs="Calibri"/>
                <w:b/>
                <w:bCs/>
                <w:sz w:val="16"/>
                <w:szCs w:val="16"/>
              </w:rPr>
            </w:pPr>
            <w:r w:rsidRPr="00EF3CD0">
              <w:rPr>
                <w:rFonts w:cs="Calibri"/>
                <w:b/>
                <w:bCs/>
                <w:sz w:val="16"/>
                <w:szCs w:val="16"/>
              </w:rPr>
              <w:t> </w:t>
            </w:r>
          </w:p>
        </w:tc>
        <w:tc>
          <w:tcPr>
            <w:tcW w:w="580" w:type="dxa"/>
            <w:tcBorders>
              <w:top w:val="nil"/>
              <w:left w:val="nil"/>
              <w:bottom w:val="dashed" w:sz="4" w:space="0" w:color="auto"/>
              <w:right w:val="nil"/>
            </w:tcBorders>
            <w:vAlign w:val="center"/>
            <w:hideMark/>
          </w:tcPr>
          <w:p w14:paraId="4999A766" w14:textId="77777777" w:rsidR="00F937DD" w:rsidRPr="00EF3CD0" w:rsidRDefault="00F937DD" w:rsidP="00F937DD">
            <w:pPr>
              <w:spacing w:before="0" w:after="0"/>
              <w:ind w:left="0"/>
              <w:jc w:val="left"/>
              <w:rPr>
                <w:rFonts w:cs="Calibri"/>
                <w:b/>
                <w:bCs/>
                <w:sz w:val="16"/>
                <w:szCs w:val="16"/>
              </w:rPr>
            </w:pPr>
            <w:r w:rsidRPr="00EF3CD0">
              <w:rPr>
                <w:rFonts w:cs="Calibri"/>
                <w:b/>
                <w:bCs/>
                <w:sz w:val="16"/>
                <w:szCs w:val="16"/>
              </w:rPr>
              <w:t> </w:t>
            </w:r>
          </w:p>
        </w:tc>
        <w:tc>
          <w:tcPr>
            <w:tcW w:w="760" w:type="dxa"/>
            <w:tcBorders>
              <w:top w:val="nil"/>
              <w:left w:val="nil"/>
              <w:bottom w:val="dashed" w:sz="4" w:space="0" w:color="auto"/>
              <w:right w:val="nil"/>
            </w:tcBorders>
            <w:vAlign w:val="center"/>
            <w:hideMark/>
          </w:tcPr>
          <w:p w14:paraId="26B7D504" w14:textId="77777777" w:rsidR="00F937DD" w:rsidRPr="00EF3CD0" w:rsidRDefault="00F937DD" w:rsidP="00F937DD">
            <w:pPr>
              <w:spacing w:before="0" w:after="0"/>
              <w:ind w:left="0"/>
              <w:jc w:val="left"/>
              <w:rPr>
                <w:rFonts w:cs="Calibri"/>
                <w:b/>
                <w:bCs/>
                <w:sz w:val="16"/>
                <w:szCs w:val="16"/>
              </w:rPr>
            </w:pPr>
            <w:r w:rsidRPr="00EF3CD0">
              <w:rPr>
                <w:rFonts w:cs="Calibri"/>
                <w:b/>
                <w:bCs/>
                <w:sz w:val="16"/>
                <w:szCs w:val="16"/>
              </w:rPr>
              <w:t> </w:t>
            </w:r>
          </w:p>
        </w:tc>
        <w:tc>
          <w:tcPr>
            <w:tcW w:w="580" w:type="dxa"/>
            <w:tcBorders>
              <w:top w:val="nil"/>
              <w:left w:val="nil"/>
              <w:bottom w:val="dashed" w:sz="4" w:space="0" w:color="auto"/>
              <w:right w:val="nil"/>
            </w:tcBorders>
            <w:vAlign w:val="center"/>
            <w:hideMark/>
          </w:tcPr>
          <w:p w14:paraId="7573AF93" w14:textId="77777777" w:rsidR="00F937DD" w:rsidRPr="00EF3CD0" w:rsidRDefault="00F937DD" w:rsidP="00F937DD">
            <w:pPr>
              <w:spacing w:before="0" w:after="0"/>
              <w:ind w:left="0"/>
              <w:jc w:val="left"/>
              <w:rPr>
                <w:rFonts w:cs="Calibri"/>
                <w:b/>
                <w:bCs/>
                <w:sz w:val="16"/>
                <w:szCs w:val="16"/>
              </w:rPr>
            </w:pPr>
            <w:r w:rsidRPr="00EF3CD0">
              <w:rPr>
                <w:rFonts w:cs="Calibri"/>
                <w:b/>
                <w:bCs/>
                <w:sz w:val="16"/>
                <w:szCs w:val="16"/>
              </w:rPr>
              <w:t> </w:t>
            </w:r>
          </w:p>
        </w:tc>
        <w:tc>
          <w:tcPr>
            <w:tcW w:w="640" w:type="dxa"/>
            <w:tcBorders>
              <w:top w:val="nil"/>
              <w:left w:val="nil"/>
              <w:bottom w:val="dashed" w:sz="4" w:space="0" w:color="auto"/>
              <w:right w:val="nil"/>
            </w:tcBorders>
            <w:vAlign w:val="center"/>
            <w:hideMark/>
          </w:tcPr>
          <w:p w14:paraId="72239249" w14:textId="77777777" w:rsidR="00F937DD" w:rsidRPr="00EF3CD0" w:rsidRDefault="00F937DD" w:rsidP="00F937DD">
            <w:pPr>
              <w:spacing w:before="0" w:after="0"/>
              <w:ind w:left="0"/>
              <w:jc w:val="left"/>
              <w:rPr>
                <w:rFonts w:cs="Calibri"/>
                <w:b/>
                <w:bCs/>
                <w:sz w:val="16"/>
                <w:szCs w:val="16"/>
              </w:rPr>
            </w:pPr>
            <w:r w:rsidRPr="00EF3CD0">
              <w:rPr>
                <w:rFonts w:cs="Calibri"/>
                <w:b/>
                <w:bCs/>
                <w:sz w:val="16"/>
                <w:szCs w:val="16"/>
              </w:rPr>
              <w:t> </w:t>
            </w:r>
          </w:p>
        </w:tc>
        <w:tc>
          <w:tcPr>
            <w:tcW w:w="720" w:type="dxa"/>
            <w:tcBorders>
              <w:top w:val="nil"/>
              <w:left w:val="nil"/>
              <w:bottom w:val="dashed" w:sz="4" w:space="0" w:color="auto"/>
              <w:right w:val="nil"/>
            </w:tcBorders>
            <w:vAlign w:val="center"/>
            <w:hideMark/>
          </w:tcPr>
          <w:p w14:paraId="59AFEC56" w14:textId="77777777" w:rsidR="00F937DD" w:rsidRPr="00EF3CD0" w:rsidRDefault="00F937DD" w:rsidP="00F937DD">
            <w:pPr>
              <w:spacing w:before="0" w:after="0"/>
              <w:ind w:left="0"/>
              <w:jc w:val="left"/>
              <w:rPr>
                <w:rFonts w:cs="Calibri"/>
                <w:b/>
                <w:bCs/>
                <w:sz w:val="16"/>
                <w:szCs w:val="16"/>
              </w:rPr>
            </w:pPr>
            <w:r w:rsidRPr="00EF3CD0">
              <w:rPr>
                <w:rFonts w:cs="Calibri"/>
                <w:b/>
                <w:bCs/>
                <w:sz w:val="16"/>
                <w:szCs w:val="16"/>
              </w:rPr>
              <w:t> </w:t>
            </w:r>
          </w:p>
        </w:tc>
        <w:tc>
          <w:tcPr>
            <w:tcW w:w="860" w:type="dxa"/>
            <w:tcBorders>
              <w:top w:val="nil"/>
              <w:left w:val="nil"/>
              <w:bottom w:val="dashed" w:sz="4" w:space="0" w:color="auto"/>
              <w:right w:val="nil"/>
            </w:tcBorders>
            <w:vAlign w:val="center"/>
            <w:hideMark/>
          </w:tcPr>
          <w:p w14:paraId="4D0A75C9" w14:textId="77777777" w:rsidR="00F937DD" w:rsidRPr="00EF3CD0" w:rsidRDefault="00F937DD" w:rsidP="00F937DD">
            <w:pPr>
              <w:spacing w:before="0" w:after="0"/>
              <w:ind w:left="0"/>
              <w:jc w:val="center"/>
              <w:rPr>
                <w:rFonts w:cs="Calibri"/>
                <w:b/>
                <w:bCs/>
                <w:sz w:val="16"/>
                <w:szCs w:val="16"/>
              </w:rPr>
            </w:pPr>
            <w:r w:rsidRPr="00EF3CD0">
              <w:rPr>
                <w:rFonts w:cs="Calibri"/>
                <w:b/>
                <w:bCs/>
                <w:sz w:val="16"/>
                <w:szCs w:val="16"/>
              </w:rPr>
              <w:t> </w:t>
            </w:r>
          </w:p>
        </w:tc>
        <w:tc>
          <w:tcPr>
            <w:tcW w:w="420" w:type="dxa"/>
            <w:tcBorders>
              <w:top w:val="nil"/>
              <w:left w:val="nil"/>
              <w:bottom w:val="dashed" w:sz="4" w:space="0" w:color="auto"/>
              <w:right w:val="nil"/>
            </w:tcBorders>
            <w:vAlign w:val="center"/>
            <w:hideMark/>
          </w:tcPr>
          <w:p w14:paraId="255571FE" w14:textId="77777777" w:rsidR="00F937DD" w:rsidRPr="00EF3CD0" w:rsidRDefault="00F937DD" w:rsidP="00F937DD">
            <w:pPr>
              <w:spacing w:before="0" w:after="0"/>
              <w:ind w:left="0"/>
              <w:jc w:val="center"/>
              <w:rPr>
                <w:rFonts w:cs="Calibri"/>
                <w:b/>
                <w:bCs/>
                <w:sz w:val="16"/>
                <w:szCs w:val="16"/>
              </w:rPr>
            </w:pPr>
            <w:r w:rsidRPr="00EF3CD0">
              <w:rPr>
                <w:rFonts w:cs="Calibri"/>
                <w:b/>
                <w:bCs/>
                <w:sz w:val="16"/>
                <w:szCs w:val="16"/>
              </w:rPr>
              <w:t> </w:t>
            </w:r>
          </w:p>
        </w:tc>
        <w:tc>
          <w:tcPr>
            <w:tcW w:w="380" w:type="dxa"/>
            <w:tcBorders>
              <w:top w:val="nil"/>
              <w:left w:val="nil"/>
              <w:bottom w:val="dashed" w:sz="4" w:space="0" w:color="auto"/>
              <w:right w:val="nil"/>
            </w:tcBorders>
            <w:vAlign w:val="center"/>
            <w:hideMark/>
          </w:tcPr>
          <w:p w14:paraId="5A02EC2C" w14:textId="77777777" w:rsidR="00F937DD" w:rsidRPr="00EF3CD0" w:rsidRDefault="00F937DD" w:rsidP="00F937DD">
            <w:pPr>
              <w:spacing w:before="0" w:after="0"/>
              <w:ind w:left="0"/>
              <w:jc w:val="center"/>
              <w:rPr>
                <w:rFonts w:cs="Calibri"/>
                <w:b/>
                <w:bCs/>
                <w:sz w:val="16"/>
                <w:szCs w:val="16"/>
              </w:rPr>
            </w:pPr>
            <w:r w:rsidRPr="00EF3CD0">
              <w:rPr>
                <w:rFonts w:cs="Calibri"/>
                <w:b/>
                <w:bCs/>
                <w:sz w:val="16"/>
                <w:szCs w:val="16"/>
              </w:rPr>
              <w:t> </w:t>
            </w:r>
          </w:p>
        </w:tc>
        <w:tc>
          <w:tcPr>
            <w:tcW w:w="347" w:type="dxa"/>
            <w:tcBorders>
              <w:top w:val="nil"/>
              <w:left w:val="nil"/>
              <w:bottom w:val="dashed" w:sz="4" w:space="0" w:color="auto"/>
              <w:right w:val="nil"/>
            </w:tcBorders>
            <w:vAlign w:val="center"/>
            <w:hideMark/>
          </w:tcPr>
          <w:p w14:paraId="3D2B3817" w14:textId="77777777" w:rsidR="00F937DD" w:rsidRPr="00EF3CD0" w:rsidRDefault="00F937DD" w:rsidP="00F937DD">
            <w:pPr>
              <w:spacing w:before="0" w:after="0"/>
              <w:ind w:left="0"/>
              <w:jc w:val="center"/>
              <w:rPr>
                <w:rFonts w:cs="Calibri"/>
                <w:b/>
                <w:bCs/>
                <w:sz w:val="16"/>
                <w:szCs w:val="16"/>
              </w:rPr>
            </w:pPr>
            <w:r w:rsidRPr="00EF3CD0">
              <w:rPr>
                <w:rFonts w:cs="Calibri"/>
                <w:b/>
                <w:bCs/>
                <w:sz w:val="16"/>
                <w:szCs w:val="16"/>
              </w:rPr>
              <w:t> </w:t>
            </w:r>
          </w:p>
        </w:tc>
        <w:tc>
          <w:tcPr>
            <w:tcW w:w="800" w:type="dxa"/>
            <w:tcBorders>
              <w:top w:val="nil"/>
              <w:left w:val="nil"/>
              <w:bottom w:val="dashed" w:sz="4" w:space="0" w:color="auto"/>
              <w:right w:val="nil"/>
            </w:tcBorders>
            <w:vAlign w:val="center"/>
            <w:hideMark/>
          </w:tcPr>
          <w:p w14:paraId="3E13979B" w14:textId="77777777" w:rsidR="00F937DD" w:rsidRPr="00EF3CD0" w:rsidRDefault="00F937DD" w:rsidP="00F937DD">
            <w:pPr>
              <w:spacing w:before="0" w:after="0"/>
              <w:ind w:left="0"/>
              <w:jc w:val="center"/>
              <w:rPr>
                <w:rFonts w:cs="Calibri"/>
                <w:b/>
                <w:bCs/>
                <w:sz w:val="16"/>
                <w:szCs w:val="16"/>
              </w:rPr>
            </w:pPr>
            <w:r w:rsidRPr="00EF3CD0">
              <w:rPr>
                <w:rFonts w:cs="Calibri"/>
                <w:b/>
                <w:bCs/>
                <w:sz w:val="16"/>
                <w:szCs w:val="16"/>
              </w:rPr>
              <w:t> </w:t>
            </w:r>
          </w:p>
        </w:tc>
      </w:tr>
      <w:tr w:rsidR="00F937DD" w:rsidRPr="00EF3CD0" w14:paraId="67F7DE83" w14:textId="77777777" w:rsidTr="001A1BB8">
        <w:trPr>
          <w:trHeight w:val="210"/>
        </w:trPr>
        <w:tc>
          <w:tcPr>
            <w:tcW w:w="8936" w:type="dxa"/>
            <w:gridSpan w:val="13"/>
            <w:tcBorders>
              <w:top w:val="dashed" w:sz="4" w:space="0" w:color="auto"/>
              <w:left w:val="nil"/>
              <w:bottom w:val="dashed" w:sz="4" w:space="0" w:color="auto"/>
              <w:right w:val="nil"/>
            </w:tcBorders>
            <w:vAlign w:val="center"/>
            <w:hideMark/>
          </w:tcPr>
          <w:p w14:paraId="3091E480" w14:textId="77777777" w:rsidR="00F937DD" w:rsidRPr="00EF3CD0" w:rsidRDefault="00F937DD" w:rsidP="00F937DD">
            <w:pPr>
              <w:spacing w:before="0" w:after="0"/>
              <w:ind w:left="0"/>
              <w:jc w:val="left"/>
              <w:rPr>
                <w:rFonts w:cs="Calibri"/>
                <w:b/>
                <w:bCs/>
                <w:i/>
                <w:iCs/>
                <w:sz w:val="16"/>
                <w:szCs w:val="16"/>
              </w:rPr>
            </w:pPr>
            <w:r w:rsidRPr="00EF3CD0">
              <w:rPr>
                <w:rFonts w:cs="Calibri"/>
                <w:b/>
                <w:bCs/>
                <w:i/>
                <w:iCs/>
                <w:sz w:val="16"/>
                <w:szCs w:val="16"/>
              </w:rPr>
              <w:t>Koridory technické infrastruktury</w:t>
            </w:r>
          </w:p>
        </w:tc>
      </w:tr>
      <w:tr w:rsidR="00F937DD" w:rsidRPr="00EF3CD0" w14:paraId="2971E8A4" w14:textId="77777777" w:rsidTr="00F937DD">
        <w:trPr>
          <w:trHeight w:val="210"/>
        </w:trPr>
        <w:tc>
          <w:tcPr>
            <w:tcW w:w="1078" w:type="dxa"/>
            <w:tcBorders>
              <w:top w:val="nil"/>
              <w:left w:val="nil"/>
              <w:bottom w:val="dashed" w:sz="4" w:space="0" w:color="auto"/>
              <w:right w:val="nil"/>
            </w:tcBorders>
            <w:vAlign w:val="bottom"/>
            <w:hideMark/>
          </w:tcPr>
          <w:p w14:paraId="2B202387" w14:textId="77777777" w:rsidR="00F937DD" w:rsidRPr="00EF3CD0" w:rsidRDefault="00F937DD" w:rsidP="00F937DD">
            <w:pPr>
              <w:spacing w:before="0" w:after="0"/>
              <w:ind w:left="0"/>
              <w:jc w:val="left"/>
              <w:rPr>
                <w:rFonts w:cs="Calibri"/>
                <w:sz w:val="16"/>
                <w:szCs w:val="16"/>
              </w:rPr>
            </w:pPr>
            <w:r w:rsidRPr="00EF3CD0">
              <w:rPr>
                <w:rFonts w:cs="Calibri"/>
                <w:sz w:val="16"/>
                <w:szCs w:val="16"/>
              </w:rPr>
              <w:t>CNU.TI.1</w:t>
            </w:r>
          </w:p>
        </w:tc>
        <w:tc>
          <w:tcPr>
            <w:tcW w:w="1184" w:type="dxa"/>
            <w:tcBorders>
              <w:top w:val="nil"/>
              <w:left w:val="nil"/>
              <w:bottom w:val="dashed" w:sz="4" w:space="0" w:color="auto"/>
              <w:right w:val="nil"/>
            </w:tcBorders>
            <w:noWrap/>
            <w:vAlign w:val="bottom"/>
            <w:hideMark/>
          </w:tcPr>
          <w:p w14:paraId="0AFFC704" w14:textId="77777777" w:rsidR="00F937DD" w:rsidRPr="00EF3CD0" w:rsidRDefault="00F937DD" w:rsidP="00F937DD">
            <w:pPr>
              <w:spacing w:before="0" w:after="0"/>
              <w:ind w:left="0"/>
              <w:jc w:val="left"/>
              <w:rPr>
                <w:rFonts w:cs="Calibri"/>
                <w:sz w:val="16"/>
                <w:szCs w:val="16"/>
              </w:rPr>
            </w:pPr>
            <w:r w:rsidRPr="00EF3CD0">
              <w:rPr>
                <w:rFonts w:cs="Calibri"/>
                <w:sz w:val="16"/>
                <w:szCs w:val="16"/>
              </w:rPr>
              <w:t>protipovodňové opatření</w:t>
            </w:r>
          </w:p>
        </w:tc>
        <w:tc>
          <w:tcPr>
            <w:tcW w:w="587" w:type="dxa"/>
            <w:tcBorders>
              <w:top w:val="nil"/>
              <w:left w:val="nil"/>
              <w:bottom w:val="dashed" w:sz="4" w:space="0" w:color="auto"/>
              <w:right w:val="nil"/>
            </w:tcBorders>
            <w:noWrap/>
            <w:vAlign w:val="bottom"/>
            <w:hideMark/>
          </w:tcPr>
          <w:p w14:paraId="1182972F" w14:textId="77777777" w:rsidR="00F937DD" w:rsidRPr="00EF3CD0" w:rsidRDefault="00F937DD" w:rsidP="00F937DD">
            <w:pPr>
              <w:spacing w:before="0" w:after="0"/>
              <w:ind w:left="0"/>
              <w:jc w:val="right"/>
              <w:rPr>
                <w:rFonts w:cs="Calibri"/>
                <w:b/>
                <w:bCs/>
                <w:sz w:val="16"/>
                <w:szCs w:val="16"/>
              </w:rPr>
            </w:pPr>
            <w:r w:rsidRPr="00EF3CD0">
              <w:rPr>
                <w:rFonts w:cs="Calibri"/>
                <w:b/>
                <w:bCs/>
                <w:sz w:val="16"/>
                <w:szCs w:val="16"/>
              </w:rPr>
              <w:t>1,120</w:t>
            </w:r>
          </w:p>
        </w:tc>
        <w:tc>
          <w:tcPr>
            <w:tcW w:w="580" w:type="dxa"/>
            <w:tcBorders>
              <w:top w:val="nil"/>
              <w:left w:val="nil"/>
              <w:bottom w:val="dashed" w:sz="4" w:space="0" w:color="auto"/>
              <w:right w:val="nil"/>
            </w:tcBorders>
            <w:noWrap/>
            <w:vAlign w:val="bottom"/>
            <w:hideMark/>
          </w:tcPr>
          <w:p w14:paraId="59EE986D" w14:textId="77777777" w:rsidR="00F937DD" w:rsidRPr="00EF3CD0" w:rsidRDefault="00F937DD" w:rsidP="00F937DD">
            <w:pPr>
              <w:spacing w:before="0" w:after="0"/>
              <w:ind w:left="0"/>
              <w:jc w:val="left"/>
              <w:rPr>
                <w:rFonts w:cs="Calibri"/>
                <w:sz w:val="16"/>
                <w:szCs w:val="16"/>
              </w:rPr>
            </w:pPr>
            <w:r w:rsidRPr="00EF3CD0">
              <w:rPr>
                <w:rFonts w:cs="Calibri"/>
                <w:sz w:val="16"/>
                <w:szCs w:val="16"/>
              </w:rPr>
              <w:t>-</w:t>
            </w:r>
          </w:p>
        </w:tc>
        <w:tc>
          <w:tcPr>
            <w:tcW w:w="760" w:type="dxa"/>
            <w:tcBorders>
              <w:top w:val="nil"/>
              <w:left w:val="nil"/>
              <w:bottom w:val="dashed" w:sz="4" w:space="0" w:color="auto"/>
              <w:right w:val="nil"/>
            </w:tcBorders>
            <w:noWrap/>
            <w:vAlign w:val="bottom"/>
            <w:hideMark/>
          </w:tcPr>
          <w:p w14:paraId="315A69D6" w14:textId="77777777" w:rsidR="00F937DD" w:rsidRPr="00EF3CD0" w:rsidRDefault="00F937DD" w:rsidP="00F937DD">
            <w:pPr>
              <w:spacing w:before="0" w:after="0"/>
              <w:ind w:left="0"/>
              <w:jc w:val="right"/>
              <w:rPr>
                <w:rFonts w:cs="Calibri"/>
                <w:sz w:val="16"/>
                <w:szCs w:val="16"/>
              </w:rPr>
            </w:pPr>
            <w:r w:rsidRPr="00EF3CD0">
              <w:rPr>
                <w:rFonts w:cs="Calibri"/>
                <w:sz w:val="16"/>
                <w:szCs w:val="16"/>
              </w:rPr>
              <w:t>0,060</w:t>
            </w:r>
          </w:p>
        </w:tc>
        <w:tc>
          <w:tcPr>
            <w:tcW w:w="580" w:type="dxa"/>
            <w:tcBorders>
              <w:top w:val="nil"/>
              <w:left w:val="nil"/>
              <w:bottom w:val="dashed" w:sz="4" w:space="0" w:color="auto"/>
              <w:right w:val="nil"/>
            </w:tcBorders>
            <w:noWrap/>
            <w:vAlign w:val="bottom"/>
            <w:hideMark/>
          </w:tcPr>
          <w:p w14:paraId="749B0138" w14:textId="77777777" w:rsidR="00F937DD" w:rsidRPr="00EF3CD0" w:rsidRDefault="00F937DD" w:rsidP="00F937DD">
            <w:pPr>
              <w:spacing w:before="0" w:after="0"/>
              <w:ind w:left="0"/>
              <w:jc w:val="left"/>
              <w:rPr>
                <w:rFonts w:cs="Calibri"/>
                <w:sz w:val="16"/>
                <w:szCs w:val="16"/>
              </w:rPr>
            </w:pPr>
            <w:r w:rsidRPr="00EF3CD0">
              <w:rPr>
                <w:rFonts w:cs="Calibri"/>
                <w:sz w:val="16"/>
                <w:szCs w:val="16"/>
              </w:rPr>
              <w:t>-</w:t>
            </w:r>
          </w:p>
        </w:tc>
        <w:tc>
          <w:tcPr>
            <w:tcW w:w="640" w:type="dxa"/>
            <w:tcBorders>
              <w:top w:val="nil"/>
              <w:left w:val="nil"/>
              <w:bottom w:val="dashed" w:sz="4" w:space="0" w:color="auto"/>
              <w:right w:val="nil"/>
            </w:tcBorders>
            <w:noWrap/>
            <w:vAlign w:val="bottom"/>
            <w:hideMark/>
          </w:tcPr>
          <w:p w14:paraId="798AB04F" w14:textId="77777777" w:rsidR="00F937DD" w:rsidRPr="00EF3CD0" w:rsidRDefault="00F937DD" w:rsidP="00F937DD">
            <w:pPr>
              <w:spacing w:before="0" w:after="0"/>
              <w:ind w:left="0"/>
              <w:jc w:val="left"/>
              <w:rPr>
                <w:rFonts w:cs="Calibri"/>
                <w:sz w:val="16"/>
                <w:szCs w:val="16"/>
              </w:rPr>
            </w:pPr>
            <w:r w:rsidRPr="00EF3CD0">
              <w:rPr>
                <w:rFonts w:cs="Calibri"/>
                <w:sz w:val="16"/>
                <w:szCs w:val="16"/>
              </w:rPr>
              <w:t>-</w:t>
            </w:r>
          </w:p>
        </w:tc>
        <w:tc>
          <w:tcPr>
            <w:tcW w:w="720" w:type="dxa"/>
            <w:tcBorders>
              <w:top w:val="nil"/>
              <w:left w:val="nil"/>
              <w:bottom w:val="dashed" w:sz="4" w:space="0" w:color="auto"/>
              <w:right w:val="nil"/>
            </w:tcBorders>
            <w:noWrap/>
            <w:vAlign w:val="bottom"/>
            <w:hideMark/>
          </w:tcPr>
          <w:p w14:paraId="589AC75A" w14:textId="77777777" w:rsidR="00F937DD" w:rsidRPr="00EF3CD0" w:rsidRDefault="00F937DD" w:rsidP="00F937DD">
            <w:pPr>
              <w:spacing w:before="0" w:after="0"/>
              <w:ind w:left="0"/>
              <w:jc w:val="right"/>
              <w:rPr>
                <w:rFonts w:cs="Calibri"/>
                <w:sz w:val="16"/>
                <w:szCs w:val="16"/>
              </w:rPr>
            </w:pPr>
            <w:r w:rsidRPr="00EF3CD0">
              <w:rPr>
                <w:rFonts w:cs="Calibri"/>
                <w:sz w:val="16"/>
                <w:szCs w:val="16"/>
              </w:rPr>
              <w:t>1,060</w:t>
            </w:r>
          </w:p>
        </w:tc>
        <w:tc>
          <w:tcPr>
            <w:tcW w:w="860" w:type="dxa"/>
            <w:tcBorders>
              <w:top w:val="nil"/>
              <w:left w:val="nil"/>
              <w:bottom w:val="dashed" w:sz="4" w:space="0" w:color="auto"/>
              <w:right w:val="nil"/>
            </w:tcBorders>
            <w:noWrap/>
            <w:vAlign w:val="bottom"/>
            <w:hideMark/>
          </w:tcPr>
          <w:p w14:paraId="44DE9CE4" w14:textId="77777777" w:rsidR="00F937DD" w:rsidRPr="00EF3CD0" w:rsidRDefault="00F937DD" w:rsidP="00F937DD">
            <w:pPr>
              <w:spacing w:before="0" w:after="0"/>
              <w:ind w:left="0"/>
              <w:jc w:val="center"/>
              <w:rPr>
                <w:rFonts w:cs="Calibri"/>
                <w:sz w:val="16"/>
                <w:szCs w:val="16"/>
              </w:rPr>
            </w:pPr>
            <w:r w:rsidRPr="00EF3CD0">
              <w:rPr>
                <w:rFonts w:cs="Calibri"/>
                <w:sz w:val="16"/>
                <w:szCs w:val="16"/>
              </w:rPr>
              <w:t>-</w:t>
            </w:r>
          </w:p>
        </w:tc>
        <w:tc>
          <w:tcPr>
            <w:tcW w:w="420" w:type="dxa"/>
            <w:tcBorders>
              <w:top w:val="nil"/>
              <w:left w:val="nil"/>
              <w:bottom w:val="dashed" w:sz="4" w:space="0" w:color="auto"/>
              <w:right w:val="nil"/>
            </w:tcBorders>
            <w:noWrap/>
            <w:vAlign w:val="bottom"/>
            <w:hideMark/>
          </w:tcPr>
          <w:p w14:paraId="2B359E76" w14:textId="77777777" w:rsidR="00F937DD" w:rsidRPr="00EF3CD0" w:rsidRDefault="00F937DD" w:rsidP="00F937DD">
            <w:pPr>
              <w:spacing w:before="0" w:after="0"/>
              <w:ind w:left="0"/>
              <w:jc w:val="center"/>
              <w:rPr>
                <w:rFonts w:cs="Calibri"/>
                <w:sz w:val="16"/>
                <w:szCs w:val="16"/>
              </w:rPr>
            </w:pPr>
            <w:r w:rsidRPr="00EF3CD0">
              <w:rPr>
                <w:rFonts w:cs="Calibri"/>
                <w:sz w:val="16"/>
                <w:szCs w:val="16"/>
              </w:rPr>
              <w:t>-</w:t>
            </w:r>
          </w:p>
        </w:tc>
        <w:tc>
          <w:tcPr>
            <w:tcW w:w="380" w:type="dxa"/>
            <w:tcBorders>
              <w:top w:val="nil"/>
              <w:left w:val="nil"/>
              <w:bottom w:val="dashed" w:sz="4" w:space="0" w:color="auto"/>
              <w:right w:val="nil"/>
            </w:tcBorders>
            <w:noWrap/>
            <w:vAlign w:val="bottom"/>
            <w:hideMark/>
          </w:tcPr>
          <w:p w14:paraId="430CE138" w14:textId="77777777" w:rsidR="00F937DD" w:rsidRPr="00EF3CD0" w:rsidRDefault="00F937DD" w:rsidP="00F937DD">
            <w:pPr>
              <w:spacing w:before="0" w:after="0"/>
              <w:ind w:left="0"/>
              <w:jc w:val="center"/>
              <w:rPr>
                <w:rFonts w:cs="Calibri"/>
                <w:sz w:val="16"/>
                <w:szCs w:val="16"/>
              </w:rPr>
            </w:pPr>
            <w:r w:rsidRPr="00EF3CD0">
              <w:rPr>
                <w:rFonts w:cs="Calibri"/>
                <w:sz w:val="16"/>
                <w:szCs w:val="16"/>
              </w:rPr>
              <w:t>-</w:t>
            </w:r>
          </w:p>
        </w:tc>
        <w:tc>
          <w:tcPr>
            <w:tcW w:w="347" w:type="dxa"/>
            <w:tcBorders>
              <w:top w:val="nil"/>
              <w:left w:val="nil"/>
              <w:bottom w:val="dashed" w:sz="4" w:space="0" w:color="auto"/>
              <w:right w:val="nil"/>
            </w:tcBorders>
            <w:noWrap/>
            <w:vAlign w:val="bottom"/>
            <w:hideMark/>
          </w:tcPr>
          <w:p w14:paraId="6028FEB4" w14:textId="77777777" w:rsidR="00F937DD" w:rsidRPr="00EF3CD0" w:rsidRDefault="00F937DD" w:rsidP="00F937DD">
            <w:pPr>
              <w:spacing w:before="0" w:after="0"/>
              <w:ind w:left="0"/>
              <w:jc w:val="center"/>
              <w:rPr>
                <w:rFonts w:cs="Calibri"/>
                <w:sz w:val="16"/>
                <w:szCs w:val="16"/>
              </w:rPr>
            </w:pPr>
            <w:r w:rsidRPr="00EF3CD0">
              <w:rPr>
                <w:rFonts w:cs="Calibri"/>
                <w:sz w:val="16"/>
                <w:szCs w:val="16"/>
              </w:rPr>
              <w:t>-</w:t>
            </w:r>
          </w:p>
        </w:tc>
        <w:tc>
          <w:tcPr>
            <w:tcW w:w="800" w:type="dxa"/>
            <w:tcBorders>
              <w:top w:val="nil"/>
              <w:left w:val="nil"/>
              <w:bottom w:val="dashed" w:sz="4" w:space="0" w:color="auto"/>
              <w:right w:val="nil"/>
            </w:tcBorders>
            <w:noWrap/>
            <w:vAlign w:val="bottom"/>
            <w:hideMark/>
          </w:tcPr>
          <w:p w14:paraId="1FC025AC" w14:textId="77777777" w:rsidR="00F937DD" w:rsidRPr="00EF3CD0" w:rsidRDefault="00F937DD" w:rsidP="00F937DD">
            <w:pPr>
              <w:spacing w:before="0" w:after="0"/>
              <w:ind w:left="0"/>
              <w:jc w:val="center"/>
              <w:rPr>
                <w:rFonts w:cs="Calibri"/>
                <w:sz w:val="16"/>
                <w:szCs w:val="16"/>
              </w:rPr>
            </w:pPr>
            <w:r w:rsidRPr="00EF3CD0">
              <w:rPr>
                <w:rFonts w:cs="Calibri"/>
                <w:sz w:val="16"/>
                <w:szCs w:val="16"/>
              </w:rPr>
              <w:t>-</w:t>
            </w:r>
          </w:p>
        </w:tc>
      </w:tr>
      <w:tr w:rsidR="00F937DD" w:rsidRPr="00EF3CD0" w14:paraId="1F25E1E3" w14:textId="77777777" w:rsidTr="00F937DD">
        <w:trPr>
          <w:trHeight w:val="210"/>
        </w:trPr>
        <w:tc>
          <w:tcPr>
            <w:tcW w:w="1078" w:type="dxa"/>
            <w:tcBorders>
              <w:top w:val="nil"/>
              <w:left w:val="nil"/>
              <w:bottom w:val="dashed" w:sz="4" w:space="0" w:color="auto"/>
              <w:right w:val="nil"/>
            </w:tcBorders>
            <w:vAlign w:val="bottom"/>
            <w:hideMark/>
          </w:tcPr>
          <w:p w14:paraId="11F6950D" w14:textId="77777777" w:rsidR="00F937DD" w:rsidRPr="00EF3CD0" w:rsidRDefault="00F937DD" w:rsidP="00F937DD">
            <w:pPr>
              <w:spacing w:before="0" w:after="0"/>
              <w:ind w:left="0"/>
              <w:jc w:val="left"/>
              <w:rPr>
                <w:rFonts w:cs="Calibri"/>
                <w:sz w:val="16"/>
                <w:szCs w:val="16"/>
              </w:rPr>
            </w:pPr>
            <w:r w:rsidRPr="00EF3CD0">
              <w:rPr>
                <w:rFonts w:cs="Calibri"/>
                <w:sz w:val="16"/>
                <w:szCs w:val="16"/>
              </w:rPr>
              <w:t>CNU.TI.2</w:t>
            </w:r>
          </w:p>
        </w:tc>
        <w:tc>
          <w:tcPr>
            <w:tcW w:w="1184" w:type="dxa"/>
            <w:tcBorders>
              <w:top w:val="nil"/>
              <w:left w:val="nil"/>
              <w:bottom w:val="dashed" w:sz="4" w:space="0" w:color="auto"/>
              <w:right w:val="nil"/>
            </w:tcBorders>
            <w:noWrap/>
            <w:vAlign w:val="bottom"/>
            <w:hideMark/>
          </w:tcPr>
          <w:p w14:paraId="3BC0D36A" w14:textId="77777777" w:rsidR="00F937DD" w:rsidRPr="00EF3CD0" w:rsidRDefault="00F937DD" w:rsidP="00F937DD">
            <w:pPr>
              <w:spacing w:before="0" w:after="0"/>
              <w:ind w:left="0"/>
              <w:jc w:val="left"/>
              <w:rPr>
                <w:rFonts w:cs="Calibri"/>
                <w:sz w:val="16"/>
                <w:szCs w:val="16"/>
              </w:rPr>
            </w:pPr>
            <w:r w:rsidRPr="00EF3CD0">
              <w:rPr>
                <w:rFonts w:cs="Calibri"/>
                <w:sz w:val="16"/>
                <w:szCs w:val="16"/>
              </w:rPr>
              <w:t>protipovodňové opatření</w:t>
            </w:r>
          </w:p>
        </w:tc>
        <w:tc>
          <w:tcPr>
            <w:tcW w:w="587" w:type="dxa"/>
            <w:tcBorders>
              <w:top w:val="nil"/>
              <w:left w:val="nil"/>
              <w:bottom w:val="dashed" w:sz="4" w:space="0" w:color="auto"/>
              <w:right w:val="nil"/>
            </w:tcBorders>
            <w:noWrap/>
            <w:vAlign w:val="bottom"/>
            <w:hideMark/>
          </w:tcPr>
          <w:p w14:paraId="6F7B4C1E" w14:textId="77777777" w:rsidR="00F937DD" w:rsidRPr="00EF3CD0" w:rsidRDefault="00F937DD" w:rsidP="00F937DD">
            <w:pPr>
              <w:spacing w:before="0" w:after="0"/>
              <w:ind w:left="0"/>
              <w:jc w:val="right"/>
              <w:rPr>
                <w:rFonts w:cs="Calibri"/>
                <w:b/>
                <w:bCs/>
                <w:sz w:val="16"/>
                <w:szCs w:val="16"/>
              </w:rPr>
            </w:pPr>
            <w:r w:rsidRPr="00EF3CD0">
              <w:rPr>
                <w:rFonts w:cs="Calibri"/>
                <w:b/>
                <w:bCs/>
                <w:sz w:val="16"/>
                <w:szCs w:val="16"/>
              </w:rPr>
              <w:t>0,163</w:t>
            </w:r>
          </w:p>
        </w:tc>
        <w:tc>
          <w:tcPr>
            <w:tcW w:w="580" w:type="dxa"/>
            <w:tcBorders>
              <w:top w:val="nil"/>
              <w:left w:val="nil"/>
              <w:bottom w:val="dashed" w:sz="4" w:space="0" w:color="auto"/>
              <w:right w:val="nil"/>
            </w:tcBorders>
            <w:noWrap/>
            <w:vAlign w:val="bottom"/>
            <w:hideMark/>
          </w:tcPr>
          <w:p w14:paraId="68240718" w14:textId="77777777" w:rsidR="00F937DD" w:rsidRPr="00EF3CD0" w:rsidRDefault="00F937DD" w:rsidP="00F937DD">
            <w:pPr>
              <w:spacing w:before="0" w:after="0"/>
              <w:ind w:left="0"/>
              <w:jc w:val="left"/>
              <w:rPr>
                <w:rFonts w:cs="Calibri"/>
                <w:sz w:val="16"/>
                <w:szCs w:val="16"/>
              </w:rPr>
            </w:pPr>
            <w:r w:rsidRPr="00EF3CD0">
              <w:rPr>
                <w:rFonts w:cs="Calibri"/>
                <w:sz w:val="16"/>
                <w:szCs w:val="16"/>
              </w:rPr>
              <w:t>-</w:t>
            </w:r>
          </w:p>
        </w:tc>
        <w:tc>
          <w:tcPr>
            <w:tcW w:w="760" w:type="dxa"/>
            <w:tcBorders>
              <w:top w:val="nil"/>
              <w:left w:val="nil"/>
              <w:bottom w:val="dashed" w:sz="4" w:space="0" w:color="auto"/>
              <w:right w:val="nil"/>
            </w:tcBorders>
            <w:noWrap/>
            <w:vAlign w:val="bottom"/>
            <w:hideMark/>
          </w:tcPr>
          <w:p w14:paraId="493108A6" w14:textId="77777777" w:rsidR="00F937DD" w:rsidRPr="00EF3CD0" w:rsidRDefault="00F937DD" w:rsidP="00F937DD">
            <w:pPr>
              <w:spacing w:before="0" w:after="0"/>
              <w:ind w:left="0"/>
              <w:jc w:val="left"/>
              <w:rPr>
                <w:rFonts w:cs="Calibri"/>
                <w:sz w:val="16"/>
                <w:szCs w:val="16"/>
              </w:rPr>
            </w:pPr>
            <w:r w:rsidRPr="00EF3CD0">
              <w:rPr>
                <w:rFonts w:cs="Calibri"/>
                <w:sz w:val="16"/>
                <w:szCs w:val="16"/>
              </w:rPr>
              <w:t>-</w:t>
            </w:r>
          </w:p>
        </w:tc>
        <w:tc>
          <w:tcPr>
            <w:tcW w:w="580" w:type="dxa"/>
            <w:tcBorders>
              <w:top w:val="nil"/>
              <w:left w:val="nil"/>
              <w:bottom w:val="dashed" w:sz="4" w:space="0" w:color="auto"/>
              <w:right w:val="nil"/>
            </w:tcBorders>
            <w:noWrap/>
            <w:vAlign w:val="bottom"/>
            <w:hideMark/>
          </w:tcPr>
          <w:p w14:paraId="7925957A" w14:textId="77777777" w:rsidR="00F937DD" w:rsidRPr="00EF3CD0" w:rsidRDefault="00F937DD" w:rsidP="00F937DD">
            <w:pPr>
              <w:spacing w:before="0" w:after="0"/>
              <w:ind w:left="0"/>
              <w:jc w:val="left"/>
              <w:rPr>
                <w:rFonts w:cs="Calibri"/>
                <w:sz w:val="16"/>
                <w:szCs w:val="16"/>
              </w:rPr>
            </w:pPr>
            <w:r w:rsidRPr="00EF3CD0">
              <w:rPr>
                <w:rFonts w:cs="Calibri"/>
                <w:sz w:val="16"/>
                <w:szCs w:val="16"/>
              </w:rPr>
              <w:t>-</w:t>
            </w:r>
          </w:p>
        </w:tc>
        <w:tc>
          <w:tcPr>
            <w:tcW w:w="640" w:type="dxa"/>
            <w:tcBorders>
              <w:top w:val="nil"/>
              <w:left w:val="nil"/>
              <w:bottom w:val="dashed" w:sz="4" w:space="0" w:color="auto"/>
              <w:right w:val="nil"/>
            </w:tcBorders>
            <w:noWrap/>
            <w:vAlign w:val="bottom"/>
            <w:hideMark/>
          </w:tcPr>
          <w:p w14:paraId="31E46CF8" w14:textId="77777777" w:rsidR="00F937DD" w:rsidRPr="00EF3CD0" w:rsidRDefault="00F937DD" w:rsidP="00F937DD">
            <w:pPr>
              <w:spacing w:before="0" w:after="0"/>
              <w:ind w:left="0"/>
              <w:jc w:val="left"/>
              <w:rPr>
                <w:rFonts w:cs="Calibri"/>
                <w:sz w:val="16"/>
                <w:szCs w:val="16"/>
              </w:rPr>
            </w:pPr>
            <w:r w:rsidRPr="00EF3CD0">
              <w:rPr>
                <w:rFonts w:cs="Calibri"/>
                <w:sz w:val="16"/>
                <w:szCs w:val="16"/>
              </w:rPr>
              <w:t>-</w:t>
            </w:r>
          </w:p>
        </w:tc>
        <w:tc>
          <w:tcPr>
            <w:tcW w:w="720" w:type="dxa"/>
            <w:tcBorders>
              <w:top w:val="nil"/>
              <w:left w:val="nil"/>
              <w:bottom w:val="dashed" w:sz="4" w:space="0" w:color="auto"/>
              <w:right w:val="nil"/>
            </w:tcBorders>
            <w:noWrap/>
            <w:vAlign w:val="bottom"/>
            <w:hideMark/>
          </w:tcPr>
          <w:p w14:paraId="2335457B" w14:textId="77777777" w:rsidR="00F937DD" w:rsidRPr="00EF3CD0" w:rsidRDefault="00F937DD" w:rsidP="00F937DD">
            <w:pPr>
              <w:spacing w:before="0" w:after="0"/>
              <w:ind w:left="0"/>
              <w:jc w:val="right"/>
              <w:rPr>
                <w:rFonts w:cs="Calibri"/>
                <w:sz w:val="16"/>
                <w:szCs w:val="16"/>
              </w:rPr>
            </w:pPr>
            <w:r w:rsidRPr="00EF3CD0">
              <w:rPr>
                <w:rFonts w:cs="Calibri"/>
                <w:sz w:val="16"/>
                <w:szCs w:val="16"/>
              </w:rPr>
              <w:t>0,163</w:t>
            </w:r>
          </w:p>
        </w:tc>
        <w:tc>
          <w:tcPr>
            <w:tcW w:w="860" w:type="dxa"/>
            <w:tcBorders>
              <w:top w:val="nil"/>
              <w:left w:val="nil"/>
              <w:bottom w:val="dashed" w:sz="4" w:space="0" w:color="auto"/>
              <w:right w:val="nil"/>
            </w:tcBorders>
            <w:noWrap/>
            <w:vAlign w:val="bottom"/>
            <w:hideMark/>
          </w:tcPr>
          <w:p w14:paraId="4DB73BED" w14:textId="77777777" w:rsidR="00F937DD" w:rsidRPr="00EF3CD0" w:rsidRDefault="00F937DD" w:rsidP="00F937DD">
            <w:pPr>
              <w:spacing w:before="0" w:after="0"/>
              <w:ind w:left="0"/>
              <w:jc w:val="center"/>
              <w:rPr>
                <w:rFonts w:cs="Calibri"/>
                <w:sz w:val="16"/>
                <w:szCs w:val="16"/>
              </w:rPr>
            </w:pPr>
            <w:r w:rsidRPr="00EF3CD0">
              <w:rPr>
                <w:rFonts w:cs="Calibri"/>
                <w:sz w:val="16"/>
                <w:szCs w:val="16"/>
              </w:rPr>
              <w:t>-</w:t>
            </w:r>
          </w:p>
        </w:tc>
        <w:tc>
          <w:tcPr>
            <w:tcW w:w="420" w:type="dxa"/>
            <w:tcBorders>
              <w:top w:val="nil"/>
              <w:left w:val="nil"/>
              <w:bottom w:val="dashed" w:sz="4" w:space="0" w:color="auto"/>
              <w:right w:val="nil"/>
            </w:tcBorders>
            <w:noWrap/>
            <w:vAlign w:val="bottom"/>
            <w:hideMark/>
          </w:tcPr>
          <w:p w14:paraId="0982CE70" w14:textId="77777777" w:rsidR="00F937DD" w:rsidRPr="00EF3CD0" w:rsidRDefault="00F937DD" w:rsidP="00F937DD">
            <w:pPr>
              <w:spacing w:before="0" w:after="0"/>
              <w:ind w:left="0"/>
              <w:jc w:val="center"/>
              <w:rPr>
                <w:rFonts w:cs="Calibri"/>
                <w:sz w:val="16"/>
                <w:szCs w:val="16"/>
              </w:rPr>
            </w:pPr>
            <w:r w:rsidRPr="00EF3CD0">
              <w:rPr>
                <w:rFonts w:cs="Calibri"/>
                <w:sz w:val="16"/>
                <w:szCs w:val="16"/>
              </w:rPr>
              <w:t>-</w:t>
            </w:r>
          </w:p>
        </w:tc>
        <w:tc>
          <w:tcPr>
            <w:tcW w:w="380" w:type="dxa"/>
            <w:tcBorders>
              <w:top w:val="nil"/>
              <w:left w:val="nil"/>
              <w:bottom w:val="dashed" w:sz="4" w:space="0" w:color="auto"/>
              <w:right w:val="nil"/>
            </w:tcBorders>
            <w:noWrap/>
            <w:vAlign w:val="bottom"/>
            <w:hideMark/>
          </w:tcPr>
          <w:p w14:paraId="7A366245" w14:textId="77777777" w:rsidR="00F937DD" w:rsidRPr="00EF3CD0" w:rsidRDefault="00F937DD" w:rsidP="00F937DD">
            <w:pPr>
              <w:spacing w:before="0" w:after="0"/>
              <w:ind w:left="0"/>
              <w:jc w:val="center"/>
              <w:rPr>
                <w:rFonts w:cs="Calibri"/>
                <w:sz w:val="16"/>
                <w:szCs w:val="16"/>
              </w:rPr>
            </w:pPr>
            <w:r w:rsidRPr="00EF3CD0">
              <w:rPr>
                <w:rFonts w:cs="Calibri"/>
                <w:sz w:val="16"/>
                <w:szCs w:val="16"/>
              </w:rPr>
              <w:t>-</w:t>
            </w:r>
          </w:p>
        </w:tc>
        <w:tc>
          <w:tcPr>
            <w:tcW w:w="347" w:type="dxa"/>
            <w:tcBorders>
              <w:top w:val="nil"/>
              <w:left w:val="nil"/>
              <w:bottom w:val="dashed" w:sz="4" w:space="0" w:color="auto"/>
              <w:right w:val="nil"/>
            </w:tcBorders>
            <w:noWrap/>
            <w:vAlign w:val="bottom"/>
            <w:hideMark/>
          </w:tcPr>
          <w:p w14:paraId="1364EB21" w14:textId="77777777" w:rsidR="00F937DD" w:rsidRPr="00EF3CD0" w:rsidRDefault="00F937DD" w:rsidP="00F937DD">
            <w:pPr>
              <w:spacing w:before="0" w:after="0"/>
              <w:ind w:left="0"/>
              <w:jc w:val="center"/>
              <w:rPr>
                <w:rFonts w:cs="Calibri"/>
                <w:sz w:val="16"/>
                <w:szCs w:val="16"/>
              </w:rPr>
            </w:pPr>
            <w:r w:rsidRPr="00EF3CD0">
              <w:rPr>
                <w:rFonts w:cs="Calibri"/>
                <w:sz w:val="16"/>
                <w:szCs w:val="16"/>
              </w:rPr>
              <w:t>-</w:t>
            </w:r>
          </w:p>
        </w:tc>
        <w:tc>
          <w:tcPr>
            <w:tcW w:w="800" w:type="dxa"/>
            <w:tcBorders>
              <w:top w:val="nil"/>
              <w:left w:val="nil"/>
              <w:bottom w:val="dashed" w:sz="4" w:space="0" w:color="auto"/>
              <w:right w:val="nil"/>
            </w:tcBorders>
            <w:noWrap/>
            <w:vAlign w:val="bottom"/>
            <w:hideMark/>
          </w:tcPr>
          <w:p w14:paraId="219D006C" w14:textId="77777777" w:rsidR="00F937DD" w:rsidRPr="00EF3CD0" w:rsidRDefault="00F937DD" w:rsidP="00F937DD">
            <w:pPr>
              <w:spacing w:before="0" w:after="0"/>
              <w:ind w:left="0"/>
              <w:jc w:val="center"/>
              <w:rPr>
                <w:rFonts w:cs="Calibri"/>
                <w:sz w:val="16"/>
                <w:szCs w:val="16"/>
              </w:rPr>
            </w:pPr>
            <w:r w:rsidRPr="00EF3CD0">
              <w:rPr>
                <w:rFonts w:cs="Calibri"/>
                <w:sz w:val="16"/>
                <w:szCs w:val="16"/>
              </w:rPr>
              <w:t>-</w:t>
            </w:r>
          </w:p>
        </w:tc>
      </w:tr>
      <w:tr w:rsidR="001A1BB8" w:rsidRPr="00EF3CD0" w14:paraId="57B68A7C" w14:textId="77777777" w:rsidTr="00881DF7">
        <w:trPr>
          <w:trHeight w:val="210"/>
        </w:trPr>
        <w:tc>
          <w:tcPr>
            <w:tcW w:w="2262" w:type="dxa"/>
            <w:gridSpan w:val="2"/>
            <w:tcBorders>
              <w:top w:val="nil"/>
              <w:left w:val="nil"/>
              <w:bottom w:val="dashed" w:sz="4" w:space="0" w:color="auto"/>
              <w:right w:val="nil"/>
            </w:tcBorders>
            <w:vAlign w:val="bottom"/>
          </w:tcPr>
          <w:p w14:paraId="487206C9" w14:textId="77777777" w:rsidR="001A1BB8" w:rsidRPr="00EF3CD0" w:rsidRDefault="001A1BB8" w:rsidP="00881DF7">
            <w:pPr>
              <w:spacing w:before="0" w:after="0"/>
              <w:ind w:left="0"/>
              <w:jc w:val="left"/>
              <w:rPr>
                <w:rFonts w:cs="Calibri"/>
                <w:sz w:val="16"/>
                <w:szCs w:val="16"/>
              </w:rPr>
            </w:pPr>
            <w:r w:rsidRPr="00EF3CD0">
              <w:rPr>
                <w:rFonts w:cs="Calibri"/>
                <w:b/>
                <w:bCs/>
                <w:i/>
                <w:iCs/>
                <w:sz w:val="16"/>
                <w:szCs w:val="16"/>
              </w:rPr>
              <w:t>Koridory technické infrastruktury celkem</w:t>
            </w:r>
          </w:p>
        </w:tc>
        <w:tc>
          <w:tcPr>
            <w:tcW w:w="587" w:type="dxa"/>
            <w:tcBorders>
              <w:top w:val="nil"/>
              <w:left w:val="nil"/>
              <w:bottom w:val="dashed" w:sz="4" w:space="0" w:color="auto"/>
              <w:right w:val="nil"/>
            </w:tcBorders>
            <w:noWrap/>
            <w:vAlign w:val="center"/>
          </w:tcPr>
          <w:p w14:paraId="597B38CD" w14:textId="77777777" w:rsidR="001A1BB8" w:rsidRPr="00EF3CD0" w:rsidRDefault="001A1BB8" w:rsidP="00881DF7">
            <w:pPr>
              <w:spacing w:before="0" w:after="0"/>
              <w:ind w:left="0"/>
              <w:jc w:val="right"/>
              <w:rPr>
                <w:rFonts w:cs="Calibri"/>
                <w:b/>
                <w:bCs/>
                <w:sz w:val="16"/>
                <w:szCs w:val="16"/>
              </w:rPr>
            </w:pPr>
            <w:r w:rsidRPr="00EF3CD0">
              <w:rPr>
                <w:rFonts w:cs="Calibri"/>
                <w:b/>
                <w:bCs/>
                <w:i/>
                <w:iCs/>
                <w:sz w:val="16"/>
                <w:szCs w:val="16"/>
              </w:rPr>
              <w:t>1,283</w:t>
            </w:r>
          </w:p>
        </w:tc>
        <w:tc>
          <w:tcPr>
            <w:tcW w:w="580" w:type="dxa"/>
            <w:tcBorders>
              <w:top w:val="nil"/>
              <w:left w:val="nil"/>
              <w:bottom w:val="dashed" w:sz="4" w:space="0" w:color="auto"/>
              <w:right w:val="nil"/>
            </w:tcBorders>
            <w:noWrap/>
            <w:vAlign w:val="center"/>
          </w:tcPr>
          <w:p w14:paraId="673F08A8" w14:textId="77777777" w:rsidR="001A1BB8" w:rsidRPr="00EF3CD0" w:rsidRDefault="001A1BB8" w:rsidP="00881DF7">
            <w:pPr>
              <w:spacing w:before="0" w:after="0"/>
              <w:ind w:left="0"/>
              <w:jc w:val="left"/>
              <w:rPr>
                <w:rFonts w:cs="Calibri"/>
                <w:sz w:val="16"/>
                <w:szCs w:val="16"/>
              </w:rPr>
            </w:pPr>
            <w:r w:rsidRPr="00EF3CD0">
              <w:rPr>
                <w:rFonts w:cs="Calibri"/>
                <w:b/>
                <w:bCs/>
                <w:i/>
                <w:iCs/>
                <w:sz w:val="16"/>
                <w:szCs w:val="16"/>
              </w:rPr>
              <w:t>0,000</w:t>
            </w:r>
          </w:p>
        </w:tc>
        <w:tc>
          <w:tcPr>
            <w:tcW w:w="760" w:type="dxa"/>
            <w:tcBorders>
              <w:top w:val="nil"/>
              <w:left w:val="nil"/>
              <w:bottom w:val="dashed" w:sz="4" w:space="0" w:color="auto"/>
              <w:right w:val="nil"/>
            </w:tcBorders>
            <w:noWrap/>
            <w:vAlign w:val="center"/>
          </w:tcPr>
          <w:p w14:paraId="783BFC5B" w14:textId="77777777" w:rsidR="001A1BB8" w:rsidRPr="00EF3CD0" w:rsidRDefault="001A1BB8" w:rsidP="00881DF7">
            <w:pPr>
              <w:spacing w:before="0" w:after="0"/>
              <w:ind w:left="0"/>
              <w:jc w:val="left"/>
              <w:rPr>
                <w:rFonts w:cs="Calibri"/>
                <w:sz w:val="16"/>
                <w:szCs w:val="16"/>
              </w:rPr>
            </w:pPr>
            <w:r w:rsidRPr="00EF3CD0">
              <w:rPr>
                <w:rFonts w:cs="Calibri"/>
                <w:b/>
                <w:bCs/>
                <w:i/>
                <w:iCs/>
                <w:sz w:val="16"/>
                <w:szCs w:val="16"/>
              </w:rPr>
              <w:t>0,060</w:t>
            </w:r>
          </w:p>
        </w:tc>
        <w:tc>
          <w:tcPr>
            <w:tcW w:w="580" w:type="dxa"/>
            <w:tcBorders>
              <w:top w:val="nil"/>
              <w:left w:val="nil"/>
              <w:bottom w:val="dashed" w:sz="4" w:space="0" w:color="auto"/>
              <w:right w:val="nil"/>
            </w:tcBorders>
            <w:noWrap/>
            <w:vAlign w:val="center"/>
          </w:tcPr>
          <w:p w14:paraId="304D1B68" w14:textId="77777777" w:rsidR="001A1BB8" w:rsidRPr="00EF3CD0" w:rsidRDefault="001A1BB8" w:rsidP="00881DF7">
            <w:pPr>
              <w:spacing w:before="0" w:after="0"/>
              <w:ind w:left="0"/>
              <w:jc w:val="left"/>
              <w:rPr>
                <w:rFonts w:cs="Calibri"/>
                <w:sz w:val="16"/>
                <w:szCs w:val="16"/>
              </w:rPr>
            </w:pPr>
            <w:r w:rsidRPr="00EF3CD0">
              <w:rPr>
                <w:rFonts w:cs="Calibri"/>
                <w:b/>
                <w:bCs/>
                <w:i/>
                <w:iCs/>
                <w:sz w:val="16"/>
                <w:szCs w:val="16"/>
              </w:rPr>
              <w:t>0,000</w:t>
            </w:r>
          </w:p>
        </w:tc>
        <w:tc>
          <w:tcPr>
            <w:tcW w:w="640" w:type="dxa"/>
            <w:tcBorders>
              <w:top w:val="nil"/>
              <w:left w:val="nil"/>
              <w:bottom w:val="dashed" w:sz="4" w:space="0" w:color="auto"/>
              <w:right w:val="nil"/>
            </w:tcBorders>
            <w:noWrap/>
            <w:vAlign w:val="center"/>
          </w:tcPr>
          <w:p w14:paraId="19213170" w14:textId="77777777" w:rsidR="001A1BB8" w:rsidRPr="00EF3CD0" w:rsidRDefault="001A1BB8" w:rsidP="00881DF7">
            <w:pPr>
              <w:spacing w:before="0" w:after="0"/>
              <w:ind w:left="0"/>
              <w:jc w:val="left"/>
              <w:rPr>
                <w:rFonts w:cs="Calibri"/>
                <w:sz w:val="16"/>
                <w:szCs w:val="16"/>
              </w:rPr>
            </w:pPr>
            <w:r w:rsidRPr="00EF3CD0">
              <w:rPr>
                <w:rFonts w:cs="Calibri"/>
                <w:b/>
                <w:bCs/>
                <w:i/>
                <w:iCs/>
                <w:sz w:val="16"/>
                <w:szCs w:val="16"/>
              </w:rPr>
              <w:t>0,000</w:t>
            </w:r>
          </w:p>
        </w:tc>
        <w:tc>
          <w:tcPr>
            <w:tcW w:w="720" w:type="dxa"/>
            <w:tcBorders>
              <w:top w:val="nil"/>
              <w:left w:val="nil"/>
              <w:bottom w:val="dashed" w:sz="4" w:space="0" w:color="auto"/>
              <w:right w:val="nil"/>
            </w:tcBorders>
            <w:noWrap/>
            <w:vAlign w:val="center"/>
          </w:tcPr>
          <w:p w14:paraId="29724232" w14:textId="77777777" w:rsidR="001A1BB8" w:rsidRPr="00EF3CD0" w:rsidRDefault="001A1BB8" w:rsidP="00881DF7">
            <w:pPr>
              <w:spacing w:before="0" w:after="0"/>
              <w:ind w:left="0"/>
              <w:jc w:val="right"/>
              <w:rPr>
                <w:rFonts w:cs="Calibri"/>
                <w:sz w:val="16"/>
                <w:szCs w:val="16"/>
              </w:rPr>
            </w:pPr>
            <w:r w:rsidRPr="00EF3CD0">
              <w:rPr>
                <w:rFonts w:cs="Calibri"/>
                <w:b/>
                <w:bCs/>
                <w:i/>
                <w:iCs/>
                <w:sz w:val="16"/>
                <w:szCs w:val="16"/>
              </w:rPr>
              <w:t>1,223</w:t>
            </w:r>
          </w:p>
        </w:tc>
        <w:tc>
          <w:tcPr>
            <w:tcW w:w="860" w:type="dxa"/>
            <w:tcBorders>
              <w:top w:val="nil"/>
              <w:left w:val="nil"/>
              <w:bottom w:val="dashed" w:sz="4" w:space="0" w:color="auto"/>
              <w:right w:val="nil"/>
            </w:tcBorders>
            <w:noWrap/>
            <w:vAlign w:val="bottom"/>
          </w:tcPr>
          <w:p w14:paraId="1F624DF6" w14:textId="77777777" w:rsidR="001A1BB8" w:rsidRPr="00EF3CD0" w:rsidRDefault="001A1BB8" w:rsidP="00881DF7">
            <w:pPr>
              <w:spacing w:before="0" w:after="0"/>
              <w:ind w:left="0"/>
              <w:jc w:val="center"/>
              <w:rPr>
                <w:rFonts w:cs="Calibri"/>
                <w:sz w:val="16"/>
                <w:szCs w:val="16"/>
              </w:rPr>
            </w:pPr>
          </w:p>
        </w:tc>
        <w:tc>
          <w:tcPr>
            <w:tcW w:w="420" w:type="dxa"/>
            <w:tcBorders>
              <w:top w:val="nil"/>
              <w:left w:val="nil"/>
              <w:bottom w:val="dashed" w:sz="4" w:space="0" w:color="auto"/>
              <w:right w:val="nil"/>
            </w:tcBorders>
            <w:noWrap/>
            <w:vAlign w:val="bottom"/>
          </w:tcPr>
          <w:p w14:paraId="19558905" w14:textId="77777777" w:rsidR="001A1BB8" w:rsidRPr="00EF3CD0" w:rsidRDefault="001A1BB8" w:rsidP="00881DF7">
            <w:pPr>
              <w:spacing w:before="0" w:after="0"/>
              <w:ind w:left="0"/>
              <w:jc w:val="center"/>
              <w:rPr>
                <w:rFonts w:cs="Calibri"/>
                <w:sz w:val="16"/>
                <w:szCs w:val="16"/>
              </w:rPr>
            </w:pPr>
          </w:p>
        </w:tc>
        <w:tc>
          <w:tcPr>
            <w:tcW w:w="380" w:type="dxa"/>
            <w:tcBorders>
              <w:top w:val="nil"/>
              <w:left w:val="nil"/>
              <w:bottom w:val="dashed" w:sz="4" w:space="0" w:color="auto"/>
              <w:right w:val="nil"/>
            </w:tcBorders>
            <w:noWrap/>
            <w:vAlign w:val="bottom"/>
          </w:tcPr>
          <w:p w14:paraId="01765691" w14:textId="77777777" w:rsidR="001A1BB8" w:rsidRPr="00EF3CD0" w:rsidRDefault="001A1BB8" w:rsidP="00881DF7">
            <w:pPr>
              <w:spacing w:before="0" w:after="0"/>
              <w:ind w:left="0"/>
              <w:jc w:val="center"/>
              <w:rPr>
                <w:rFonts w:cs="Calibri"/>
                <w:sz w:val="16"/>
                <w:szCs w:val="16"/>
              </w:rPr>
            </w:pPr>
          </w:p>
        </w:tc>
        <w:tc>
          <w:tcPr>
            <w:tcW w:w="347" w:type="dxa"/>
            <w:tcBorders>
              <w:top w:val="nil"/>
              <w:left w:val="nil"/>
              <w:bottom w:val="dashed" w:sz="4" w:space="0" w:color="auto"/>
              <w:right w:val="nil"/>
            </w:tcBorders>
            <w:noWrap/>
            <w:vAlign w:val="bottom"/>
          </w:tcPr>
          <w:p w14:paraId="33E3B2AC" w14:textId="77777777" w:rsidR="001A1BB8" w:rsidRPr="00EF3CD0" w:rsidRDefault="001A1BB8" w:rsidP="00881DF7">
            <w:pPr>
              <w:spacing w:before="0" w:after="0"/>
              <w:ind w:left="0"/>
              <w:jc w:val="center"/>
              <w:rPr>
                <w:rFonts w:cs="Calibri"/>
                <w:sz w:val="16"/>
                <w:szCs w:val="16"/>
              </w:rPr>
            </w:pPr>
          </w:p>
        </w:tc>
        <w:tc>
          <w:tcPr>
            <w:tcW w:w="800" w:type="dxa"/>
            <w:tcBorders>
              <w:top w:val="nil"/>
              <w:left w:val="nil"/>
              <w:bottom w:val="dashed" w:sz="4" w:space="0" w:color="auto"/>
              <w:right w:val="nil"/>
            </w:tcBorders>
            <w:noWrap/>
            <w:vAlign w:val="bottom"/>
          </w:tcPr>
          <w:p w14:paraId="414A3A97" w14:textId="77777777" w:rsidR="001A1BB8" w:rsidRPr="00EF3CD0" w:rsidRDefault="001A1BB8" w:rsidP="00881DF7">
            <w:pPr>
              <w:spacing w:before="0" w:after="0"/>
              <w:ind w:left="0"/>
              <w:jc w:val="center"/>
              <w:rPr>
                <w:rFonts w:cs="Calibri"/>
                <w:sz w:val="16"/>
                <w:szCs w:val="16"/>
              </w:rPr>
            </w:pPr>
          </w:p>
        </w:tc>
      </w:tr>
      <w:tr w:rsidR="001A1BB8" w:rsidRPr="00EF3CD0" w14:paraId="71368E83" w14:textId="77777777" w:rsidTr="00881DF7">
        <w:trPr>
          <w:trHeight w:val="210"/>
        </w:trPr>
        <w:tc>
          <w:tcPr>
            <w:tcW w:w="2262" w:type="dxa"/>
            <w:gridSpan w:val="2"/>
            <w:tcBorders>
              <w:top w:val="nil"/>
              <w:left w:val="nil"/>
              <w:bottom w:val="dashed" w:sz="4" w:space="0" w:color="auto"/>
              <w:right w:val="nil"/>
            </w:tcBorders>
            <w:vAlign w:val="bottom"/>
          </w:tcPr>
          <w:p w14:paraId="71F172AF" w14:textId="77777777" w:rsidR="001A1BB8" w:rsidRPr="00EF3CD0" w:rsidRDefault="001A1BB8" w:rsidP="00881DF7">
            <w:pPr>
              <w:spacing w:before="0" w:after="0"/>
              <w:ind w:left="0"/>
              <w:jc w:val="left"/>
              <w:rPr>
                <w:rFonts w:cs="Calibri"/>
                <w:b/>
                <w:bCs/>
                <w:i/>
                <w:iCs/>
                <w:sz w:val="16"/>
                <w:szCs w:val="16"/>
              </w:rPr>
            </w:pPr>
          </w:p>
        </w:tc>
        <w:tc>
          <w:tcPr>
            <w:tcW w:w="587" w:type="dxa"/>
            <w:tcBorders>
              <w:top w:val="nil"/>
              <w:left w:val="nil"/>
              <w:bottom w:val="dashed" w:sz="4" w:space="0" w:color="auto"/>
              <w:right w:val="nil"/>
            </w:tcBorders>
            <w:noWrap/>
            <w:vAlign w:val="center"/>
          </w:tcPr>
          <w:p w14:paraId="56C996D0" w14:textId="77777777" w:rsidR="001A1BB8" w:rsidRPr="00EF3CD0" w:rsidRDefault="001A1BB8" w:rsidP="00881DF7">
            <w:pPr>
              <w:spacing w:before="0" w:after="0"/>
              <w:ind w:left="0"/>
              <w:jc w:val="right"/>
              <w:rPr>
                <w:rFonts w:cs="Calibri"/>
                <w:b/>
                <w:bCs/>
                <w:i/>
                <w:iCs/>
                <w:sz w:val="16"/>
                <w:szCs w:val="16"/>
              </w:rPr>
            </w:pPr>
          </w:p>
        </w:tc>
        <w:tc>
          <w:tcPr>
            <w:tcW w:w="580" w:type="dxa"/>
            <w:tcBorders>
              <w:top w:val="nil"/>
              <w:left w:val="nil"/>
              <w:bottom w:val="dashed" w:sz="4" w:space="0" w:color="auto"/>
              <w:right w:val="nil"/>
            </w:tcBorders>
            <w:noWrap/>
            <w:vAlign w:val="center"/>
          </w:tcPr>
          <w:p w14:paraId="0EAB917E" w14:textId="77777777" w:rsidR="001A1BB8" w:rsidRPr="00EF3CD0" w:rsidRDefault="001A1BB8" w:rsidP="00881DF7">
            <w:pPr>
              <w:spacing w:before="0" w:after="0"/>
              <w:ind w:left="0"/>
              <w:jc w:val="left"/>
              <w:rPr>
                <w:rFonts w:cs="Calibri"/>
                <w:b/>
                <w:bCs/>
                <w:i/>
                <w:iCs/>
                <w:sz w:val="16"/>
                <w:szCs w:val="16"/>
              </w:rPr>
            </w:pPr>
          </w:p>
        </w:tc>
        <w:tc>
          <w:tcPr>
            <w:tcW w:w="760" w:type="dxa"/>
            <w:tcBorders>
              <w:top w:val="nil"/>
              <w:left w:val="nil"/>
              <w:bottom w:val="dashed" w:sz="4" w:space="0" w:color="auto"/>
              <w:right w:val="nil"/>
            </w:tcBorders>
            <w:noWrap/>
            <w:vAlign w:val="center"/>
          </w:tcPr>
          <w:p w14:paraId="66F93FC6" w14:textId="77777777" w:rsidR="001A1BB8" w:rsidRPr="00EF3CD0" w:rsidRDefault="001A1BB8" w:rsidP="00881DF7">
            <w:pPr>
              <w:spacing w:before="0" w:after="0"/>
              <w:ind w:left="0"/>
              <w:jc w:val="left"/>
              <w:rPr>
                <w:rFonts w:cs="Calibri"/>
                <w:b/>
                <w:bCs/>
                <w:i/>
                <w:iCs/>
                <w:sz w:val="16"/>
                <w:szCs w:val="16"/>
              </w:rPr>
            </w:pPr>
          </w:p>
        </w:tc>
        <w:tc>
          <w:tcPr>
            <w:tcW w:w="580" w:type="dxa"/>
            <w:tcBorders>
              <w:top w:val="nil"/>
              <w:left w:val="nil"/>
              <w:bottom w:val="dashed" w:sz="4" w:space="0" w:color="auto"/>
              <w:right w:val="nil"/>
            </w:tcBorders>
            <w:noWrap/>
            <w:vAlign w:val="center"/>
          </w:tcPr>
          <w:p w14:paraId="03108732" w14:textId="77777777" w:rsidR="001A1BB8" w:rsidRPr="00EF3CD0" w:rsidRDefault="001A1BB8" w:rsidP="00881DF7">
            <w:pPr>
              <w:spacing w:before="0" w:after="0"/>
              <w:ind w:left="0"/>
              <w:jc w:val="left"/>
              <w:rPr>
                <w:rFonts w:cs="Calibri"/>
                <w:b/>
                <w:bCs/>
                <w:i/>
                <w:iCs/>
                <w:sz w:val="16"/>
                <w:szCs w:val="16"/>
              </w:rPr>
            </w:pPr>
          </w:p>
        </w:tc>
        <w:tc>
          <w:tcPr>
            <w:tcW w:w="640" w:type="dxa"/>
            <w:tcBorders>
              <w:top w:val="nil"/>
              <w:left w:val="nil"/>
              <w:bottom w:val="dashed" w:sz="4" w:space="0" w:color="auto"/>
              <w:right w:val="nil"/>
            </w:tcBorders>
            <w:noWrap/>
            <w:vAlign w:val="center"/>
          </w:tcPr>
          <w:p w14:paraId="2C1F2ABC" w14:textId="77777777" w:rsidR="001A1BB8" w:rsidRPr="00EF3CD0" w:rsidRDefault="001A1BB8" w:rsidP="00881DF7">
            <w:pPr>
              <w:spacing w:before="0" w:after="0"/>
              <w:ind w:left="0"/>
              <w:jc w:val="left"/>
              <w:rPr>
                <w:rFonts w:cs="Calibri"/>
                <w:b/>
                <w:bCs/>
                <w:i/>
                <w:iCs/>
                <w:sz w:val="16"/>
                <w:szCs w:val="16"/>
              </w:rPr>
            </w:pPr>
          </w:p>
        </w:tc>
        <w:tc>
          <w:tcPr>
            <w:tcW w:w="720" w:type="dxa"/>
            <w:tcBorders>
              <w:top w:val="nil"/>
              <w:left w:val="nil"/>
              <w:bottom w:val="dashed" w:sz="4" w:space="0" w:color="auto"/>
              <w:right w:val="nil"/>
            </w:tcBorders>
            <w:noWrap/>
            <w:vAlign w:val="center"/>
          </w:tcPr>
          <w:p w14:paraId="42B73029" w14:textId="77777777" w:rsidR="001A1BB8" w:rsidRPr="00EF3CD0" w:rsidRDefault="001A1BB8" w:rsidP="00881DF7">
            <w:pPr>
              <w:spacing w:before="0" w:after="0"/>
              <w:ind w:left="0"/>
              <w:jc w:val="right"/>
              <w:rPr>
                <w:rFonts w:cs="Calibri"/>
                <w:b/>
                <w:bCs/>
                <w:i/>
                <w:iCs/>
                <w:sz w:val="16"/>
                <w:szCs w:val="16"/>
              </w:rPr>
            </w:pPr>
          </w:p>
        </w:tc>
        <w:tc>
          <w:tcPr>
            <w:tcW w:w="860" w:type="dxa"/>
            <w:tcBorders>
              <w:top w:val="nil"/>
              <w:left w:val="nil"/>
              <w:bottom w:val="dashed" w:sz="4" w:space="0" w:color="auto"/>
              <w:right w:val="nil"/>
            </w:tcBorders>
            <w:noWrap/>
            <w:vAlign w:val="bottom"/>
          </w:tcPr>
          <w:p w14:paraId="08BF78C7" w14:textId="77777777" w:rsidR="001A1BB8" w:rsidRPr="00EF3CD0" w:rsidRDefault="001A1BB8" w:rsidP="00881DF7">
            <w:pPr>
              <w:spacing w:before="0" w:after="0"/>
              <w:ind w:left="0"/>
              <w:jc w:val="center"/>
              <w:rPr>
                <w:rFonts w:cs="Calibri"/>
                <w:sz w:val="16"/>
                <w:szCs w:val="16"/>
              </w:rPr>
            </w:pPr>
          </w:p>
        </w:tc>
        <w:tc>
          <w:tcPr>
            <w:tcW w:w="420" w:type="dxa"/>
            <w:tcBorders>
              <w:top w:val="nil"/>
              <w:left w:val="nil"/>
              <w:bottom w:val="dashed" w:sz="4" w:space="0" w:color="auto"/>
              <w:right w:val="nil"/>
            </w:tcBorders>
            <w:noWrap/>
            <w:vAlign w:val="bottom"/>
          </w:tcPr>
          <w:p w14:paraId="348922A4" w14:textId="77777777" w:rsidR="001A1BB8" w:rsidRPr="00EF3CD0" w:rsidRDefault="001A1BB8" w:rsidP="00881DF7">
            <w:pPr>
              <w:spacing w:before="0" w:after="0"/>
              <w:ind w:left="0"/>
              <w:jc w:val="center"/>
              <w:rPr>
                <w:rFonts w:cs="Calibri"/>
                <w:sz w:val="16"/>
                <w:szCs w:val="16"/>
              </w:rPr>
            </w:pPr>
          </w:p>
        </w:tc>
        <w:tc>
          <w:tcPr>
            <w:tcW w:w="380" w:type="dxa"/>
            <w:tcBorders>
              <w:top w:val="nil"/>
              <w:left w:val="nil"/>
              <w:bottom w:val="dashed" w:sz="4" w:space="0" w:color="auto"/>
              <w:right w:val="nil"/>
            </w:tcBorders>
            <w:noWrap/>
            <w:vAlign w:val="bottom"/>
          </w:tcPr>
          <w:p w14:paraId="0C02B7D6" w14:textId="77777777" w:rsidR="001A1BB8" w:rsidRPr="00EF3CD0" w:rsidRDefault="001A1BB8" w:rsidP="00881DF7">
            <w:pPr>
              <w:spacing w:before="0" w:after="0"/>
              <w:ind w:left="0"/>
              <w:jc w:val="center"/>
              <w:rPr>
                <w:rFonts w:cs="Calibri"/>
                <w:sz w:val="16"/>
                <w:szCs w:val="16"/>
              </w:rPr>
            </w:pPr>
          </w:p>
        </w:tc>
        <w:tc>
          <w:tcPr>
            <w:tcW w:w="347" w:type="dxa"/>
            <w:tcBorders>
              <w:top w:val="nil"/>
              <w:left w:val="nil"/>
              <w:bottom w:val="dashed" w:sz="4" w:space="0" w:color="auto"/>
              <w:right w:val="nil"/>
            </w:tcBorders>
            <w:noWrap/>
            <w:vAlign w:val="bottom"/>
          </w:tcPr>
          <w:p w14:paraId="5F534071" w14:textId="77777777" w:rsidR="001A1BB8" w:rsidRPr="00EF3CD0" w:rsidRDefault="001A1BB8" w:rsidP="00881DF7">
            <w:pPr>
              <w:spacing w:before="0" w:after="0"/>
              <w:ind w:left="0"/>
              <w:jc w:val="center"/>
              <w:rPr>
                <w:rFonts w:cs="Calibri"/>
                <w:sz w:val="16"/>
                <w:szCs w:val="16"/>
              </w:rPr>
            </w:pPr>
          </w:p>
        </w:tc>
        <w:tc>
          <w:tcPr>
            <w:tcW w:w="800" w:type="dxa"/>
            <w:tcBorders>
              <w:top w:val="nil"/>
              <w:left w:val="nil"/>
              <w:bottom w:val="dashed" w:sz="4" w:space="0" w:color="auto"/>
              <w:right w:val="nil"/>
            </w:tcBorders>
            <w:noWrap/>
            <w:vAlign w:val="bottom"/>
          </w:tcPr>
          <w:p w14:paraId="17DC15A1" w14:textId="77777777" w:rsidR="001A1BB8" w:rsidRPr="00EF3CD0" w:rsidRDefault="001A1BB8" w:rsidP="00881DF7">
            <w:pPr>
              <w:spacing w:before="0" w:after="0"/>
              <w:ind w:left="0"/>
              <w:jc w:val="center"/>
              <w:rPr>
                <w:rFonts w:cs="Calibri"/>
                <w:sz w:val="16"/>
                <w:szCs w:val="16"/>
              </w:rPr>
            </w:pPr>
          </w:p>
        </w:tc>
      </w:tr>
      <w:tr w:rsidR="001A1BB8" w:rsidRPr="00EF3CD0" w14:paraId="1C913604" w14:textId="77777777" w:rsidTr="00881DF7">
        <w:trPr>
          <w:trHeight w:val="210"/>
        </w:trPr>
        <w:tc>
          <w:tcPr>
            <w:tcW w:w="2262" w:type="dxa"/>
            <w:gridSpan w:val="2"/>
            <w:tcBorders>
              <w:top w:val="nil"/>
              <w:left w:val="nil"/>
              <w:bottom w:val="dashed" w:sz="4" w:space="0" w:color="auto"/>
              <w:right w:val="nil"/>
            </w:tcBorders>
            <w:vAlign w:val="bottom"/>
          </w:tcPr>
          <w:p w14:paraId="10EB8E1E" w14:textId="7BBE7811" w:rsidR="001A1BB8" w:rsidRPr="00EF3CD0" w:rsidRDefault="001A1BB8" w:rsidP="001A1BB8">
            <w:pPr>
              <w:spacing w:before="0" w:after="0"/>
              <w:ind w:left="0"/>
              <w:jc w:val="left"/>
              <w:rPr>
                <w:rFonts w:cs="Calibri"/>
                <w:sz w:val="16"/>
                <w:szCs w:val="16"/>
              </w:rPr>
            </w:pPr>
            <w:r w:rsidRPr="00EF3CD0">
              <w:rPr>
                <w:rFonts w:cs="Calibri"/>
                <w:b/>
                <w:bCs/>
                <w:i/>
                <w:iCs/>
                <w:sz w:val="16"/>
                <w:szCs w:val="16"/>
              </w:rPr>
              <w:t>ZÁBOR ZPF CELKEM v</w:t>
            </w:r>
            <w:r>
              <w:rPr>
                <w:rFonts w:cs="Calibri"/>
                <w:b/>
                <w:bCs/>
                <w:i/>
                <w:iCs/>
                <w:sz w:val="16"/>
                <w:szCs w:val="16"/>
              </w:rPr>
              <w:t> </w:t>
            </w:r>
            <w:r w:rsidRPr="00EF3CD0">
              <w:rPr>
                <w:rFonts w:cs="Calibri"/>
                <w:b/>
                <w:bCs/>
                <w:i/>
                <w:iCs/>
                <w:sz w:val="16"/>
                <w:szCs w:val="16"/>
              </w:rPr>
              <w:t>zastavěném a zastavitelném území</w:t>
            </w:r>
          </w:p>
        </w:tc>
        <w:tc>
          <w:tcPr>
            <w:tcW w:w="587" w:type="dxa"/>
            <w:tcBorders>
              <w:top w:val="nil"/>
              <w:left w:val="nil"/>
              <w:bottom w:val="dashed" w:sz="4" w:space="0" w:color="auto"/>
              <w:right w:val="nil"/>
            </w:tcBorders>
            <w:noWrap/>
            <w:vAlign w:val="center"/>
          </w:tcPr>
          <w:p w14:paraId="37B7CAEC" w14:textId="45535AA9" w:rsidR="001A1BB8" w:rsidRPr="00EF3CD0" w:rsidRDefault="001A1BB8" w:rsidP="001A1BB8">
            <w:pPr>
              <w:spacing w:before="0" w:after="0"/>
              <w:ind w:left="0"/>
              <w:jc w:val="right"/>
              <w:rPr>
                <w:rFonts w:cs="Calibri"/>
                <w:b/>
                <w:bCs/>
                <w:sz w:val="16"/>
                <w:szCs w:val="16"/>
              </w:rPr>
            </w:pPr>
            <w:r w:rsidRPr="00EF3CD0">
              <w:rPr>
                <w:rFonts w:cs="Calibri"/>
                <w:b/>
                <w:bCs/>
                <w:i/>
                <w:iCs/>
                <w:sz w:val="16"/>
                <w:szCs w:val="16"/>
              </w:rPr>
              <w:t>19,963</w:t>
            </w:r>
          </w:p>
        </w:tc>
        <w:tc>
          <w:tcPr>
            <w:tcW w:w="580" w:type="dxa"/>
            <w:tcBorders>
              <w:top w:val="nil"/>
              <w:left w:val="nil"/>
              <w:bottom w:val="dashed" w:sz="4" w:space="0" w:color="auto"/>
              <w:right w:val="nil"/>
            </w:tcBorders>
            <w:noWrap/>
            <w:vAlign w:val="center"/>
          </w:tcPr>
          <w:p w14:paraId="20F09827" w14:textId="3ED0E620" w:rsidR="001A1BB8" w:rsidRPr="00EF3CD0" w:rsidRDefault="001A1BB8" w:rsidP="001A1BB8">
            <w:pPr>
              <w:spacing w:before="0" w:after="0"/>
              <w:ind w:left="0"/>
              <w:jc w:val="left"/>
              <w:rPr>
                <w:rFonts w:cs="Calibri"/>
                <w:sz w:val="16"/>
                <w:szCs w:val="16"/>
              </w:rPr>
            </w:pPr>
            <w:r w:rsidRPr="00EF3CD0">
              <w:rPr>
                <w:rFonts w:cs="Calibri"/>
                <w:b/>
                <w:bCs/>
                <w:i/>
                <w:iCs/>
                <w:sz w:val="16"/>
                <w:szCs w:val="16"/>
              </w:rPr>
              <w:t>1,281</w:t>
            </w:r>
          </w:p>
        </w:tc>
        <w:tc>
          <w:tcPr>
            <w:tcW w:w="760" w:type="dxa"/>
            <w:tcBorders>
              <w:top w:val="nil"/>
              <w:left w:val="nil"/>
              <w:bottom w:val="dashed" w:sz="4" w:space="0" w:color="auto"/>
              <w:right w:val="nil"/>
            </w:tcBorders>
            <w:noWrap/>
            <w:vAlign w:val="center"/>
          </w:tcPr>
          <w:p w14:paraId="4909D088" w14:textId="36A9D8F4" w:rsidR="001A1BB8" w:rsidRPr="00EF3CD0" w:rsidRDefault="001A1BB8" w:rsidP="001A1BB8">
            <w:pPr>
              <w:spacing w:before="0" w:after="0"/>
              <w:ind w:left="0"/>
              <w:jc w:val="left"/>
              <w:rPr>
                <w:rFonts w:cs="Calibri"/>
                <w:sz w:val="16"/>
                <w:szCs w:val="16"/>
              </w:rPr>
            </w:pPr>
            <w:r w:rsidRPr="00EF3CD0">
              <w:rPr>
                <w:rFonts w:cs="Calibri"/>
                <w:b/>
                <w:bCs/>
                <w:i/>
                <w:iCs/>
                <w:sz w:val="16"/>
                <w:szCs w:val="16"/>
              </w:rPr>
              <w:t>3,290</w:t>
            </w:r>
          </w:p>
        </w:tc>
        <w:tc>
          <w:tcPr>
            <w:tcW w:w="580" w:type="dxa"/>
            <w:tcBorders>
              <w:top w:val="nil"/>
              <w:left w:val="nil"/>
              <w:bottom w:val="dashed" w:sz="4" w:space="0" w:color="auto"/>
              <w:right w:val="nil"/>
            </w:tcBorders>
            <w:noWrap/>
            <w:vAlign w:val="center"/>
          </w:tcPr>
          <w:p w14:paraId="1891CC5F" w14:textId="473FF5C6" w:rsidR="001A1BB8" w:rsidRPr="00EF3CD0" w:rsidRDefault="001A1BB8" w:rsidP="001A1BB8">
            <w:pPr>
              <w:spacing w:before="0" w:after="0"/>
              <w:ind w:left="0"/>
              <w:jc w:val="left"/>
              <w:rPr>
                <w:rFonts w:cs="Calibri"/>
                <w:sz w:val="16"/>
                <w:szCs w:val="16"/>
              </w:rPr>
            </w:pPr>
            <w:r w:rsidRPr="00EF3CD0">
              <w:rPr>
                <w:rFonts w:cs="Calibri"/>
                <w:b/>
                <w:bCs/>
                <w:i/>
                <w:iCs/>
                <w:sz w:val="16"/>
                <w:szCs w:val="16"/>
              </w:rPr>
              <w:t>0,000</w:t>
            </w:r>
          </w:p>
        </w:tc>
        <w:tc>
          <w:tcPr>
            <w:tcW w:w="640" w:type="dxa"/>
            <w:tcBorders>
              <w:top w:val="nil"/>
              <w:left w:val="nil"/>
              <w:bottom w:val="dashed" w:sz="4" w:space="0" w:color="auto"/>
              <w:right w:val="nil"/>
            </w:tcBorders>
            <w:noWrap/>
            <w:vAlign w:val="center"/>
          </w:tcPr>
          <w:p w14:paraId="2C5A1F9F" w14:textId="3C145504" w:rsidR="001A1BB8" w:rsidRPr="00EF3CD0" w:rsidRDefault="001A1BB8" w:rsidP="001A1BB8">
            <w:pPr>
              <w:spacing w:before="0" w:after="0"/>
              <w:ind w:left="0"/>
              <w:jc w:val="left"/>
              <w:rPr>
                <w:rFonts w:cs="Calibri"/>
                <w:sz w:val="16"/>
                <w:szCs w:val="16"/>
              </w:rPr>
            </w:pPr>
            <w:r w:rsidRPr="00EF3CD0">
              <w:rPr>
                <w:rFonts w:cs="Calibri"/>
                <w:b/>
                <w:bCs/>
                <w:i/>
                <w:iCs/>
                <w:sz w:val="16"/>
                <w:szCs w:val="16"/>
              </w:rPr>
              <w:t>0,579</w:t>
            </w:r>
          </w:p>
        </w:tc>
        <w:tc>
          <w:tcPr>
            <w:tcW w:w="720" w:type="dxa"/>
            <w:tcBorders>
              <w:top w:val="nil"/>
              <w:left w:val="nil"/>
              <w:bottom w:val="dashed" w:sz="4" w:space="0" w:color="auto"/>
              <w:right w:val="nil"/>
            </w:tcBorders>
            <w:noWrap/>
            <w:vAlign w:val="center"/>
          </w:tcPr>
          <w:p w14:paraId="187BD8B4" w14:textId="084E8CB7" w:rsidR="001A1BB8" w:rsidRPr="00EF3CD0" w:rsidRDefault="001A1BB8" w:rsidP="001A1BB8">
            <w:pPr>
              <w:spacing w:before="0" w:after="0"/>
              <w:ind w:left="0"/>
              <w:jc w:val="right"/>
              <w:rPr>
                <w:rFonts w:cs="Calibri"/>
                <w:sz w:val="16"/>
                <w:szCs w:val="16"/>
              </w:rPr>
            </w:pPr>
            <w:r w:rsidRPr="00EF3CD0">
              <w:rPr>
                <w:rFonts w:cs="Calibri"/>
                <w:b/>
                <w:bCs/>
                <w:i/>
                <w:iCs/>
                <w:sz w:val="16"/>
                <w:szCs w:val="16"/>
              </w:rPr>
              <w:t>14,813</w:t>
            </w:r>
          </w:p>
        </w:tc>
        <w:tc>
          <w:tcPr>
            <w:tcW w:w="860" w:type="dxa"/>
            <w:tcBorders>
              <w:top w:val="nil"/>
              <w:left w:val="nil"/>
              <w:bottom w:val="dashed" w:sz="4" w:space="0" w:color="auto"/>
              <w:right w:val="nil"/>
            </w:tcBorders>
            <w:noWrap/>
            <w:vAlign w:val="bottom"/>
          </w:tcPr>
          <w:p w14:paraId="62351EDF" w14:textId="77777777" w:rsidR="001A1BB8" w:rsidRPr="00EF3CD0" w:rsidRDefault="001A1BB8" w:rsidP="001A1BB8">
            <w:pPr>
              <w:spacing w:before="0" w:after="0"/>
              <w:ind w:left="0"/>
              <w:jc w:val="center"/>
              <w:rPr>
                <w:rFonts w:cs="Calibri"/>
                <w:sz w:val="16"/>
                <w:szCs w:val="16"/>
              </w:rPr>
            </w:pPr>
          </w:p>
        </w:tc>
        <w:tc>
          <w:tcPr>
            <w:tcW w:w="420" w:type="dxa"/>
            <w:tcBorders>
              <w:top w:val="nil"/>
              <w:left w:val="nil"/>
              <w:bottom w:val="dashed" w:sz="4" w:space="0" w:color="auto"/>
              <w:right w:val="nil"/>
            </w:tcBorders>
            <w:noWrap/>
            <w:vAlign w:val="bottom"/>
          </w:tcPr>
          <w:p w14:paraId="2AEE34AB" w14:textId="77777777" w:rsidR="001A1BB8" w:rsidRPr="00EF3CD0" w:rsidRDefault="001A1BB8" w:rsidP="001A1BB8">
            <w:pPr>
              <w:spacing w:before="0" w:after="0"/>
              <w:ind w:left="0"/>
              <w:jc w:val="center"/>
              <w:rPr>
                <w:rFonts w:cs="Calibri"/>
                <w:sz w:val="16"/>
                <w:szCs w:val="16"/>
              </w:rPr>
            </w:pPr>
          </w:p>
        </w:tc>
        <w:tc>
          <w:tcPr>
            <w:tcW w:w="380" w:type="dxa"/>
            <w:tcBorders>
              <w:top w:val="nil"/>
              <w:left w:val="nil"/>
              <w:bottom w:val="dashed" w:sz="4" w:space="0" w:color="auto"/>
              <w:right w:val="nil"/>
            </w:tcBorders>
            <w:noWrap/>
            <w:vAlign w:val="bottom"/>
          </w:tcPr>
          <w:p w14:paraId="0F674DEE" w14:textId="77777777" w:rsidR="001A1BB8" w:rsidRPr="00EF3CD0" w:rsidRDefault="001A1BB8" w:rsidP="001A1BB8">
            <w:pPr>
              <w:spacing w:before="0" w:after="0"/>
              <w:ind w:left="0"/>
              <w:jc w:val="center"/>
              <w:rPr>
                <w:rFonts w:cs="Calibri"/>
                <w:sz w:val="16"/>
                <w:szCs w:val="16"/>
              </w:rPr>
            </w:pPr>
          </w:p>
        </w:tc>
        <w:tc>
          <w:tcPr>
            <w:tcW w:w="347" w:type="dxa"/>
            <w:tcBorders>
              <w:top w:val="nil"/>
              <w:left w:val="nil"/>
              <w:bottom w:val="dashed" w:sz="4" w:space="0" w:color="auto"/>
              <w:right w:val="nil"/>
            </w:tcBorders>
            <w:noWrap/>
            <w:vAlign w:val="bottom"/>
          </w:tcPr>
          <w:p w14:paraId="092553B8" w14:textId="77777777" w:rsidR="001A1BB8" w:rsidRPr="00EF3CD0" w:rsidRDefault="001A1BB8" w:rsidP="001A1BB8">
            <w:pPr>
              <w:spacing w:before="0" w:after="0"/>
              <w:ind w:left="0"/>
              <w:jc w:val="center"/>
              <w:rPr>
                <w:rFonts w:cs="Calibri"/>
                <w:sz w:val="16"/>
                <w:szCs w:val="16"/>
              </w:rPr>
            </w:pPr>
          </w:p>
        </w:tc>
        <w:tc>
          <w:tcPr>
            <w:tcW w:w="800" w:type="dxa"/>
            <w:tcBorders>
              <w:top w:val="nil"/>
              <w:left w:val="nil"/>
              <w:bottom w:val="dashed" w:sz="4" w:space="0" w:color="auto"/>
              <w:right w:val="nil"/>
            </w:tcBorders>
            <w:noWrap/>
            <w:vAlign w:val="bottom"/>
          </w:tcPr>
          <w:p w14:paraId="78096C6B" w14:textId="77777777" w:rsidR="001A1BB8" w:rsidRPr="00EF3CD0" w:rsidRDefault="001A1BB8" w:rsidP="001A1BB8">
            <w:pPr>
              <w:spacing w:before="0" w:after="0"/>
              <w:ind w:left="0"/>
              <w:jc w:val="center"/>
              <w:rPr>
                <w:rFonts w:cs="Calibri"/>
                <w:sz w:val="16"/>
                <w:szCs w:val="16"/>
              </w:rPr>
            </w:pPr>
          </w:p>
        </w:tc>
      </w:tr>
      <w:tr w:rsidR="001A1BB8" w:rsidRPr="00EF3CD0" w14:paraId="1B49A340" w14:textId="77777777" w:rsidTr="00215229">
        <w:trPr>
          <w:trHeight w:val="210"/>
        </w:trPr>
        <w:tc>
          <w:tcPr>
            <w:tcW w:w="2262" w:type="dxa"/>
            <w:gridSpan w:val="2"/>
            <w:tcBorders>
              <w:top w:val="nil"/>
              <w:left w:val="nil"/>
              <w:bottom w:val="dashed" w:sz="4" w:space="0" w:color="auto"/>
              <w:right w:val="nil"/>
            </w:tcBorders>
            <w:vAlign w:val="bottom"/>
          </w:tcPr>
          <w:p w14:paraId="5C5C3272" w14:textId="073F4F13" w:rsidR="001A1BB8" w:rsidRPr="00EF3CD0" w:rsidRDefault="001A1BB8" w:rsidP="001A1BB8">
            <w:pPr>
              <w:spacing w:before="0" w:after="0"/>
              <w:ind w:left="0"/>
              <w:jc w:val="left"/>
              <w:rPr>
                <w:rFonts w:cs="Calibri"/>
                <w:sz w:val="16"/>
                <w:szCs w:val="16"/>
              </w:rPr>
            </w:pPr>
            <w:r w:rsidRPr="00EF3CD0">
              <w:rPr>
                <w:rFonts w:cs="Calibri"/>
                <w:b/>
                <w:bCs/>
                <w:i/>
                <w:iCs/>
                <w:sz w:val="16"/>
                <w:szCs w:val="16"/>
              </w:rPr>
              <w:t>ZÁBOR ZPF CELKEM</w:t>
            </w:r>
          </w:p>
        </w:tc>
        <w:tc>
          <w:tcPr>
            <w:tcW w:w="587" w:type="dxa"/>
            <w:tcBorders>
              <w:top w:val="nil"/>
              <w:left w:val="nil"/>
              <w:bottom w:val="dashed" w:sz="4" w:space="0" w:color="auto"/>
              <w:right w:val="nil"/>
            </w:tcBorders>
            <w:noWrap/>
            <w:vAlign w:val="center"/>
          </w:tcPr>
          <w:p w14:paraId="58081428" w14:textId="05DF97D4" w:rsidR="001A1BB8" w:rsidRPr="00EF3CD0" w:rsidRDefault="001A1BB8" w:rsidP="001A1BB8">
            <w:pPr>
              <w:spacing w:before="0" w:after="0"/>
              <w:ind w:left="0"/>
              <w:jc w:val="right"/>
              <w:rPr>
                <w:rFonts w:cs="Calibri"/>
                <w:b/>
                <w:bCs/>
                <w:sz w:val="16"/>
                <w:szCs w:val="16"/>
              </w:rPr>
            </w:pPr>
            <w:r w:rsidRPr="00EF3CD0">
              <w:rPr>
                <w:rFonts w:cs="Calibri"/>
                <w:b/>
                <w:bCs/>
                <w:i/>
                <w:iCs/>
                <w:sz w:val="16"/>
                <w:szCs w:val="16"/>
              </w:rPr>
              <w:t>21,246</w:t>
            </w:r>
          </w:p>
        </w:tc>
        <w:tc>
          <w:tcPr>
            <w:tcW w:w="580" w:type="dxa"/>
            <w:tcBorders>
              <w:top w:val="nil"/>
              <w:left w:val="nil"/>
              <w:bottom w:val="dashed" w:sz="4" w:space="0" w:color="auto"/>
              <w:right w:val="nil"/>
            </w:tcBorders>
            <w:noWrap/>
            <w:vAlign w:val="center"/>
          </w:tcPr>
          <w:p w14:paraId="48FA2D14" w14:textId="6E506139" w:rsidR="001A1BB8" w:rsidRPr="00EF3CD0" w:rsidRDefault="001A1BB8" w:rsidP="001A1BB8">
            <w:pPr>
              <w:spacing w:before="0" w:after="0"/>
              <w:ind w:left="0"/>
              <w:jc w:val="left"/>
              <w:rPr>
                <w:rFonts w:cs="Calibri"/>
                <w:sz w:val="16"/>
                <w:szCs w:val="16"/>
              </w:rPr>
            </w:pPr>
            <w:r w:rsidRPr="00EF3CD0">
              <w:rPr>
                <w:rFonts w:cs="Calibri"/>
                <w:b/>
                <w:bCs/>
                <w:i/>
                <w:iCs/>
                <w:sz w:val="16"/>
                <w:szCs w:val="16"/>
              </w:rPr>
              <w:t>1,281</w:t>
            </w:r>
          </w:p>
        </w:tc>
        <w:tc>
          <w:tcPr>
            <w:tcW w:w="760" w:type="dxa"/>
            <w:tcBorders>
              <w:top w:val="nil"/>
              <w:left w:val="nil"/>
              <w:bottom w:val="dashed" w:sz="4" w:space="0" w:color="auto"/>
              <w:right w:val="nil"/>
            </w:tcBorders>
            <w:noWrap/>
            <w:vAlign w:val="center"/>
          </w:tcPr>
          <w:p w14:paraId="40A03D58" w14:textId="7877448B" w:rsidR="001A1BB8" w:rsidRPr="00EF3CD0" w:rsidRDefault="001A1BB8" w:rsidP="001A1BB8">
            <w:pPr>
              <w:spacing w:before="0" w:after="0"/>
              <w:ind w:left="0"/>
              <w:jc w:val="left"/>
              <w:rPr>
                <w:rFonts w:cs="Calibri"/>
                <w:sz w:val="16"/>
                <w:szCs w:val="16"/>
              </w:rPr>
            </w:pPr>
            <w:r w:rsidRPr="00EF3CD0">
              <w:rPr>
                <w:rFonts w:cs="Calibri"/>
                <w:b/>
                <w:bCs/>
                <w:i/>
                <w:iCs/>
                <w:sz w:val="16"/>
                <w:szCs w:val="16"/>
              </w:rPr>
              <w:t>3,350</w:t>
            </w:r>
          </w:p>
        </w:tc>
        <w:tc>
          <w:tcPr>
            <w:tcW w:w="580" w:type="dxa"/>
            <w:tcBorders>
              <w:top w:val="nil"/>
              <w:left w:val="nil"/>
              <w:bottom w:val="dashed" w:sz="4" w:space="0" w:color="auto"/>
              <w:right w:val="nil"/>
            </w:tcBorders>
            <w:noWrap/>
            <w:vAlign w:val="center"/>
          </w:tcPr>
          <w:p w14:paraId="5E5E3414" w14:textId="59A57980" w:rsidR="001A1BB8" w:rsidRPr="00EF3CD0" w:rsidRDefault="001A1BB8" w:rsidP="001A1BB8">
            <w:pPr>
              <w:spacing w:before="0" w:after="0"/>
              <w:ind w:left="0"/>
              <w:jc w:val="left"/>
              <w:rPr>
                <w:rFonts w:cs="Calibri"/>
                <w:sz w:val="16"/>
                <w:szCs w:val="16"/>
              </w:rPr>
            </w:pPr>
            <w:r w:rsidRPr="00EF3CD0">
              <w:rPr>
                <w:rFonts w:cs="Calibri"/>
                <w:b/>
                <w:bCs/>
                <w:i/>
                <w:iCs/>
                <w:sz w:val="16"/>
                <w:szCs w:val="16"/>
              </w:rPr>
              <w:t>0,000</w:t>
            </w:r>
          </w:p>
        </w:tc>
        <w:tc>
          <w:tcPr>
            <w:tcW w:w="640" w:type="dxa"/>
            <w:tcBorders>
              <w:top w:val="nil"/>
              <w:left w:val="nil"/>
              <w:bottom w:val="dashed" w:sz="4" w:space="0" w:color="auto"/>
              <w:right w:val="nil"/>
            </w:tcBorders>
            <w:noWrap/>
            <w:vAlign w:val="center"/>
          </w:tcPr>
          <w:p w14:paraId="5F00DEAC" w14:textId="0EC2BB07" w:rsidR="001A1BB8" w:rsidRPr="00EF3CD0" w:rsidRDefault="001A1BB8" w:rsidP="001A1BB8">
            <w:pPr>
              <w:spacing w:before="0" w:after="0"/>
              <w:ind w:left="0"/>
              <w:jc w:val="left"/>
              <w:rPr>
                <w:rFonts w:cs="Calibri"/>
                <w:sz w:val="16"/>
                <w:szCs w:val="16"/>
              </w:rPr>
            </w:pPr>
            <w:r w:rsidRPr="00EF3CD0">
              <w:rPr>
                <w:rFonts w:cs="Calibri"/>
                <w:b/>
                <w:bCs/>
                <w:i/>
                <w:iCs/>
                <w:sz w:val="16"/>
                <w:szCs w:val="16"/>
              </w:rPr>
              <w:t>0,579</w:t>
            </w:r>
          </w:p>
        </w:tc>
        <w:tc>
          <w:tcPr>
            <w:tcW w:w="720" w:type="dxa"/>
            <w:tcBorders>
              <w:top w:val="nil"/>
              <w:left w:val="nil"/>
              <w:bottom w:val="dashed" w:sz="4" w:space="0" w:color="auto"/>
              <w:right w:val="nil"/>
            </w:tcBorders>
            <w:noWrap/>
            <w:vAlign w:val="center"/>
          </w:tcPr>
          <w:p w14:paraId="3F6B4C8B" w14:textId="57E516FB" w:rsidR="001A1BB8" w:rsidRPr="00EF3CD0" w:rsidRDefault="001A1BB8" w:rsidP="001A1BB8">
            <w:pPr>
              <w:spacing w:before="0" w:after="0"/>
              <w:ind w:left="0"/>
              <w:jc w:val="right"/>
              <w:rPr>
                <w:rFonts w:cs="Calibri"/>
                <w:sz w:val="16"/>
                <w:szCs w:val="16"/>
              </w:rPr>
            </w:pPr>
            <w:r w:rsidRPr="00EF3CD0">
              <w:rPr>
                <w:rFonts w:cs="Calibri"/>
                <w:b/>
                <w:bCs/>
                <w:i/>
                <w:iCs/>
                <w:sz w:val="16"/>
                <w:szCs w:val="16"/>
              </w:rPr>
              <w:t>16,036</w:t>
            </w:r>
          </w:p>
        </w:tc>
        <w:tc>
          <w:tcPr>
            <w:tcW w:w="860" w:type="dxa"/>
            <w:tcBorders>
              <w:top w:val="nil"/>
              <w:left w:val="nil"/>
              <w:bottom w:val="dashed" w:sz="4" w:space="0" w:color="auto"/>
              <w:right w:val="nil"/>
            </w:tcBorders>
            <w:noWrap/>
            <w:vAlign w:val="bottom"/>
          </w:tcPr>
          <w:p w14:paraId="12644518" w14:textId="77777777" w:rsidR="001A1BB8" w:rsidRPr="00EF3CD0" w:rsidRDefault="001A1BB8" w:rsidP="001A1BB8">
            <w:pPr>
              <w:spacing w:before="0" w:after="0"/>
              <w:ind w:left="0"/>
              <w:jc w:val="center"/>
              <w:rPr>
                <w:rFonts w:cs="Calibri"/>
                <w:sz w:val="16"/>
                <w:szCs w:val="16"/>
              </w:rPr>
            </w:pPr>
          </w:p>
        </w:tc>
        <w:tc>
          <w:tcPr>
            <w:tcW w:w="420" w:type="dxa"/>
            <w:tcBorders>
              <w:top w:val="nil"/>
              <w:left w:val="nil"/>
              <w:bottom w:val="dashed" w:sz="4" w:space="0" w:color="auto"/>
              <w:right w:val="nil"/>
            </w:tcBorders>
            <w:noWrap/>
            <w:vAlign w:val="bottom"/>
          </w:tcPr>
          <w:p w14:paraId="2BBB5FF8" w14:textId="77777777" w:rsidR="001A1BB8" w:rsidRPr="00EF3CD0" w:rsidRDefault="001A1BB8" w:rsidP="001A1BB8">
            <w:pPr>
              <w:spacing w:before="0" w:after="0"/>
              <w:ind w:left="0"/>
              <w:jc w:val="center"/>
              <w:rPr>
                <w:rFonts w:cs="Calibri"/>
                <w:sz w:val="16"/>
                <w:szCs w:val="16"/>
              </w:rPr>
            </w:pPr>
          </w:p>
        </w:tc>
        <w:tc>
          <w:tcPr>
            <w:tcW w:w="380" w:type="dxa"/>
            <w:tcBorders>
              <w:top w:val="nil"/>
              <w:left w:val="nil"/>
              <w:bottom w:val="dashed" w:sz="4" w:space="0" w:color="auto"/>
              <w:right w:val="nil"/>
            </w:tcBorders>
            <w:noWrap/>
            <w:vAlign w:val="bottom"/>
          </w:tcPr>
          <w:p w14:paraId="4E5D740D" w14:textId="77777777" w:rsidR="001A1BB8" w:rsidRPr="00EF3CD0" w:rsidRDefault="001A1BB8" w:rsidP="001A1BB8">
            <w:pPr>
              <w:spacing w:before="0" w:after="0"/>
              <w:ind w:left="0"/>
              <w:jc w:val="center"/>
              <w:rPr>
                <w:rFonts w:cs="Calibri"/>
                <w:sz w:val="16"/>
                <w:szCs w:val="16"/>
              </w:rPr>
            </w:pPr>
          </w:p>
        </w:tc>
        <w:tc>
          <w:tcPr>
            <w:tcW w:w="347" w:type="dxa"/>
            <w:tcBorders>
              <w:top w:val="nil"/>
              <w:left w:val="nil"/>
              <w:bottom w:val="dashed" w:sz="4" w:space="0" w:color="auto"/>
              <w:right w:val="nil"/>
            </w:tcBorders>
            <w:noWrap/>
            <w:vAlign w:val="bottom"/>
          </w:tcPr>
          <w:p w14:paraId="7239F115" w14:textId="77777777" w:rsidR="001A1BB8" w:rsidRPr="00EF3CD0" w:rsidRDefault="001A1BB8" w:rsidP="001A1BB8">
            <w:pPr>
              <w:spacing w:before="0" w:after="0"/>
              <w:ind w:left="0"/>
              <w:jc w:val="center"/>
              <w:rPr>
                <w:rFonts w:cs="Calibri"/>
                <w:sz w:val="16"/>
                <w:szCs w:val="16"/>
              </w:rPr>
            </w:pPr>
          </w:p>
        </w:tc>
        <w:tc>
          <w:tcPr>
            <w:tcW w:w="800" w:type="dxa"/>
            <w:tcBorders>
              <w:top w:val="nil"/>
              <w:left w:val="nil"/>
              <w:bottom w:val="dashed" w:sz="4" w:space="0" w:color="auto"/>
              <w:right w:val="nil"/>
            </w:tcBorders>
            <w:noWrap/>
            <w:vAlign w:val="bottom"/>
          </w:tcPr>
          <w:p w14:paraId="33E2B515" w14:textId="77777777" w:rsidR="001A1BB8" w:rsidRPr="00EF3CD0" w:rsidRDefault="001A1BB8" w:rsidP="001A1BB8">
            <w:pPr>
              <w:spacing w:before="0" w:after="0"/>
              <w:ind w:left="0"/>
              <w:jc w:val="center"/>
              <w:rPr>
                <w:rFonts w:cs="Calibri"/>
                <w:sz w:val="16"/>
                <w:szCs w:val="16"/>
              </w:rPr>
            </w:pPr>
          </w:p>
        </w:tc>
      </w:tr>
    </w:tbl>
    <w:p w14:paraId="0079A0C0" w14:textId="77777777" w:rsidR="00EF3CD0" w:rsidRDefault="00EF3CD0" w:rsidP="00467755">
      <w:pPr>
        <w:ind w:left="0"/>
      </w:pPr>
    </w:p>
    <w:p w14:paraId="35576715" w14:textId="25B3DEDE" w:rsidR="00467755" w:rsidRPr="00040C21" w:rsidRDefault="00467755" w:rsidP="00467755">
      <w:pPr>
        <w:ind w:left="0"/>
        <w:rPr>
          <w:b/>
          <w:bCs/>
          <w:kern w:val="32"/>
          <w:sz w:val="28"/>
          <w:szCs w:val="32"/>
        </w:rPr>
      </w:pPr>
      <w:r w:rsidRPr="00040C21">
        <w:br w:type="page"/>
      </w:r>
    </w:p>
    <w:p w14:paraId="21F6F38F" w14:textId="77777777" w:rsidR="00EC3C5B" w:rsidRPr="00040C21" w:rsidRDefault="00EC3C5B" w:rsidP="00EC3C5B">
      <w:pPr>
        <w:pStyle w:val="Nadpis1"/>
      </w:pPr>
      <w:bookmarkStart w:id="186" w:name="_Toc213941427"/>
      <w:bookmarkStart w:id="187" w:name="_Toc213941695"/>
      <w:bookmarkStart w:id="188" w:name="_Toc213941743"/>
      <w:bookmarkStart w:id="189" w:name="_Toc213947254"/>
      <w:bookmarkStart w:id="190" w:name="_Toc214308176"/>
      <w:bookmarkStart w:id="191" w:name="_Toc232612678"/>
      <w:bookmarkEnd w:id="83"/>
      <w:r w:rsidRPr="00040C21">
        <w:lastRenderedPageBreak/>
        <w:t>Vyhodnocení připomínek</w:t>
      </w:r>
      <w:bookmarkEnd w:id="186"/>
      <w:bookmarkEnd w:id="187"/>
      <w:bookmarkEnd w:id="188"/>
      <w:r>
        <w:t>, včetně jeho odůvodnění</w:t>
      </w:r>
      <w:bookmarkEnd w:id="189"/>
      <w:bookmarkEnd w:id="190"/>
      <w:bookmarkEnd w:id="191"/>
    </w:p>
    <w:p w14:paraId="19EA86C6" w14:textId="77777777" w:rsidR="00EC3C5B" w:rsidRPr="00040C21" w:rsidRDefault="00EC3C5B">
      <w:pPr>
        <w:pStyle w:val="Odstavecseseznamem"/>
        <w:numPr>
          <w:ilvl w:val="0"/>
          <w:numId w:val="78"/>
        </w:numPr>
        <w:ind w:left="709"/>
      </w:pPr>
      <w:r w:rsidRPr="00040C21">
        <w:t>Vyhodnocení připomínek bude doplněno po projednání.</w:t>
      </w:r>
    </w:p>
    <w:p w14:paraId="55411AE4" w14:textId="77777777" w:rsidR="00EC3C5B" w:rsidRDefault="00EC3C5B" w:rsidP="00EC3C5B">
      <w:pPr>
        <w:pStyle w:val="Nadpis1"/>
      </w:pPr>
      <w:bookmarkStart w:id="192" w:name="_Toc214308177"/>
      <w:bookmarkStart w:id="193" w:name="_Toc232612679"/>
      <w:r>
        <w:t>P</w:t>
      </w:r>
      <w:r w:rsidRPr="00BA6CC8">
        <w:t>osouzení souladu územního plánu s jednotným standardem</w:t>
      </w:r>
      <w:bookmarkEnd w:id="192"/>
      <w:bookmarkEnd w:id="193"/>
    </w:p>
    <w:p w14:paraId="1D63211E" w14:textId="4B93EBDC" w:rsidR="00E55A78" w:rsidRDefault="00EC3C5B">
      <w:pPr>
        <w:pStyle w:val="Odstavecseseznamem"/>
        <w:numPr>
          <w:ilvl w:val="0"/>
          <w:numId w:val="79"/>
        </w:numPr>
        <w:ind w:left="709"/>
      </w:pPr>
      <w:r>
        <w:t xml:space="preserve">Územní plán </w:t>
      </w:r>
      <w:r w:rsidR="00847220">
        <w:t>Hlubočky</w:t>
      </w:r>
      <w:r>
        <w:t xml:space="preserve"> je zpracován v souladu s požadavky vyhlášky č. 157/2024 Sb. v platném znění. </w:t>
      </w:r>
    </w:p>
    <w:p w14:paraId="5EE84FD9" w14:textId="4C5CC0F4" w:rsidR="00EC3C5B" w:rsidRPr="00BA6CC8" w:rsidRDefault="00EC3C5B">
      <w:pPr>
        <w:pStyle w:val="Odstavecseseznamem"/>
        <w:numPr>
          <w:ilvl w:val="0"/>
          <w:numId w:val="79"/>
        </w:numPr>
        <w:ind w:left="709"/>
      </w:pPr>
      <w:r>
        <w:t>Přílohou P.01 textové části odůvodnění je protokol kontroly nástrojem NGUP.</w:t>
      </w:r>
    </w:p>
    <w:p w14:paraId="114C2322" w14:textId="77777777" w:rsidR="00EC3C5B" w:rsidRDefault="00EC3C5B" w:rsidP="00EC3C5B">
      <w:pPr>
        <w:pStyle w:val="Nadpis1"/>
      </w:pPr>
      <w:bookmarkStart w:id="194" w:name="_Toc213941428"/>
      <w:bookmarkStart w:id="195" w:name="_Toc213941696"/>
      <w:bookmarkStart w:id="196" w:name="_Toc213941744"/>
      <w:bookmarkStart w:id="197" w:name="_Toc213947255"/>
      <w:bookmarkStart w:id="198" w:name="_Toc214308178"/>
      <w:bookmarkStart w:id="199" w:name="_Toc232612680"/>
      <w:r w:rsidRPr="00040C21">
        <w:t>Údaje o počtu listů odůvodnění územního plánu a počtu výkresů k němu připojené grafické části</w:t>
      </w:r>
      <w:bookmarkEnd w:id="194"/>
      <w:bookmarkEnd w:id="195"/>
      <w:bookmarkEnd w:id="196"/>
      <w:bookmarkEnd w:id="197"/>
      <w:bookmarkEnd w:id="198"/>
      <w:bookmarkEnd w:id="199"/>
    </w:p>
    <w:p w14:paraId="7D04C971" w14:textId="2E7DB283" w:rsidR="00EC3C5B" w:rsidRPr="006B3F40" w:rsidRDefault="00EC3C5B">
      <w:pPr>
        <w:pStyle w:val="Odstavecseseznamem"/>
        <w:numPr>
          <w:ilvl w:val="0"/>
          <w:numId w:val="80"/>
        </w:numPr>
        <w:ind w:left="709"/>
      </w:pPr>
      <w:bookmarkStart w:id="200" w:name="_Hlk215131180"/>
      <w:r w:rsidRPr="006B3F40">
        <w:t xml:space="preserve">Textová část </w:t>
      </w:r>
      <w:r>
        <w:t xml:space="preserve">odůvodnění </w:t>
      </w:r>
      <w:r w:rsidRPr="006B3F40">
        <w:t xml:space="preserve">územního plánu </w:t>
      </w:r>
      <w:r>
        <w:t xml:space="preserve">Hlubočky </w:t>
      </w:r>
      <w:r w:rsidRPr="006B3F40">
        <w:t xml:space="preserve">obsahuje </w:t>
      </w:r>
      <w:r w:rsidR="007A37DB">
        <w:t>117</w:t>
      </w:r>
      <w:r w:rsidRPr="006B3F40">
        <w:t xml:space="preserve"> číslovaných stran.</w:t>
      </w:r>
    </w:p>
    <w:p w14:paraId="3BB0F334" w14:textId="6D7A505F" w:rsidR="00EC3C5B" w:rsidRPr="006B3F40" w:rsidRDefault="00EC3C5B">
      <w:pPr>
        <w:pStyle w:val="Odstavecseseznamem"/>
        <w:numPr>
          <w:ilvl w:val="0"/>
          <w:numId w:val="80"/>
        </w:numPr>
        <w:ind w:left="709"/>
      </w:pPr>
      <w:r w:rsidRPr="006B3F40">
        <w:t xml:space="preserve">Grafická část </w:t>
      </w:r>
      <w:r>
        <w:t>odůvodnění</w:t>
      </w:r>
      <w:r w:rsidRPr="006B3F40">
        <w:t xml:space="preserve"> územního plánu </w:t>
      </w:r>
      <w:r>
        <w:t>Hlubočky</w:t>
      </w:r>
      <w:r w:rsidRPr="006B3F40">
        <w:t xml:space="preserve"> obsahuje 3 výkresy.</w:t>
      </w:r>
    </w:p>
    <w:p w14:paraId="0E6EF52D" w14:textId="77777777" w:rsidR="00EC3C5B" w:rsidRPr="00D93A08" w:rsidRDefault="00EC3C5B" w:rsidP="007C6AE7">
      <w:r>
        <w:t>II.a</w:t>
      </w:r>
      <w:r w:rsidRPr="00D93A08">
        <w:t xml:space="preserve"> </w:t>
      </w:r>
      <w:r>
        <w:t>Koordinační výkres</w:t>
      </w:r>
      <w:r w:rsidRPr="00D93A08">
        <w:t>, měřítko 1:5 000</w:t>
      </w:r>
    </w:p>
    <w:p w14:paraId="51C0664F" w14:textId="36608D3D" w:rsidR="00EC3C5B" w:rsidRPr="00D93A08" w:rsidRDefault="00EC3C5B" w:rsidP="007C6AE7">
      <w:r>
        <w:t>II.b</w:t>
      </w:r>
      <w:r w:rsidRPr="00D93A08">
        <w:t xml:space="preserve"> </w:t>
      </w:r>
      <w:r>
        <w:t>Výkres širších vztahů</w:t>
      </w:r>
      <w:r w:rsidRPr="00D93A08">
        <w:t>, měřítko 1:</w:t>
      </w:r>
      <w:r w:rsidR="00E748AC">
        <w:t>5</w:t>
      </w:r>
      <w:r>
        <w:t>0</w:t>
      </w:r>
      <w:r w:rsidRPr="00D93A08">
        <w:t xml:space="preserve"> 000</w:t>
      </w:r>
    </w:p>
    <w:p w14:paraId="5D21CFEC" w14:textId="77777777" w:rsidR="00EC3C5B" w:rsidRPr="004755EA" w:rsidRDefault="00EC3C5B" w:rsidP="007C6AE7">
      <w:pPr>
        <w:rPr>
          <w:highlight w:val="yellow"/>
        </w:rPr>
      </w:pPr>
      <w:r>
        <w:t>II.c</w:t>
      </w:r>
      <w:r w:rsidRPr="00D93A08">
        <w:t xml:space="preserve"> </w:t>
      </w:r>
      <w:r>
        <w:t>V</w:t>
      </w:r>
      <w:r w:rsidRPr="003964FF">
        <w:t>ýkres předpokládaných záborů půdního fondu</w:t>
      </w:r>
      <w:r>
        <w:t>,</w:t>
      </w:r>
      <w:r w:rsidRPr="003964FF">
        <w:t xml:space="preserve"> </w:t>
      </w:r>
      <w:r w:rsidRPr="00D93A08">
        <w:t>měřítko</w:t>
      </w:r>
      <w:r>
        <w:t xml:space="preserve"> 1</w:t>
      </w:r>
      <w:r w:rsidRPr="00D93A08">
        <w:t>:5 000</w:t>
      </w:r>
      <w:bookmarkEnd w:id="200"/>
    </w:p>
    <w:p w14:paraId="01E9E6F7" w14:textId="77777777" w:rsidR="00991554" w:rsidRPr="00040C21" w:rsidRDefault="00991554" w:rsidP="00E55A78">
      <w:pPr>
        <w:pStyle w:val="Odstavecseseznamem"/>
        <w:ind w:left="851"/>
      </w:pPr>
    </w:p>
    <w:p w14:paraId="2F2991E7" w14:textId="77777777" w:rsidR="00445539" w:rsidRPr="00040C21" w:rsidRDefault="00445539" w:rsidP="00E55A78">
      <w:pPr>
        <w:ind w:left="851"/>
      </w:pPr>
    </w:p>
    <w:sectPr w:rsidR="00445539" w:rsidRPr="00040C21" w:rsidSect="006E5197">
      <w:headerReference w:type="even" r:id="rId28"/>
      <w:headerReference w:type="first" r:id="rId29"/>
      <w:pgSz w:w="11906" w:h="16838" w:code="9"/>
      <w:pgMar w:top="1985" w:right="1700" w:bottom="851" w:left="1701"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EEAF412" w14:textId="77777777" w:rsidR="004D2CEE" w:rsidRDefault="004D2CEE">
      <w:r>
        <w:separator/>
      </w:r>
    </w:p>
  </w:endnote>
  <w:endnote w:type="continuationSeparator" w:id="0">
    <w:p w14:paraId="362136AE" w14:textId="77777777" w:rsidR="004D2CEE" w:rsidRDefault="004D2CE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200247B" w:usb2="00000009" w:usb3="00000000" w:csb0="000001FF" w:csb1="00000000"/>
  </w:font>
  <w:font w:name="MS Mincho">
    <w:panose1 w:val="02020609040205080304"/>
    <w:charset w:val="80"/>
    <w:family w:val="modern"/>
    <w:pitch w:val="fixed"/>
    <w:sig w:usb0="E00002FF" w:usb1="6AC7FDFB" w:usb2="08000012" w:usb3="00000000" w:csb0="0002009F" w:csb1="00000000"/>
  </w:font>
  <w:font w:name="Cambria">
    <w:panose1 w:val="02040503050406030204"/>
    <w:charset w:val="EE"/>
    <w:family w:val="roman"/>
    <w:pitch w:val="variable"/>
    <w:sig w:usb0="E00006FF" w:usb1="420024FF" w:usb2="02000000" w:usb3="00000000" w:csb0="0000019F" w:csb1="00000000"/>
  </w:font>
  <w:font w:name="Arial">
    <w:panose1 w:val="020B0604020202020204"/>
    <w:charset w:val="EE"/>
    <w:family w:val="swiss"/>
    <w:pitch w:val="variable"/>
    <w:sig w:usb0="E0002EFF" w:usb1="C000785B" w:usb2="00000009" w:usb3="00000000" w:csb0="000001FF" w:csb1="00000000"/>
  </w:font>
  <w:font w:name="MS Serif">
    <w:altName w:val="Times New Roman"/>
    <w:charset w:val="00"/>
    <w:family w:val="roman"/>
    <w:pitch w:val="variable"/>
    <w:sig w:usb0="00000003" w:usb1="00000000" w:usb2="00000000" w:usb3="00000000" w:csb0="00000001" w:csb1="00000000"/>
  </w:font>
  <w:font w:name="Tahoma">
    <w:panose1 w:val="020B0604030504040204"/>
    <w:charset w:val="EE"/>
    <w:family w:val="swiss"/>
    <w:pitch w:val="variable"/>
    <w:sig w:usb0="E1002EFF" w:usb1="C000605B" w:usb2="00000029" w:usb3="00000000" w:csb0="000101FF" w:csb1="00000000"/>
  </w:font>
  <w:font w:name="Vogue">
    <w:altName w:val="Times New Roman"/>
    <w:charset w:val="00"/>
    <w:family w:val="auto"/>
    <w:pitch w:val="variable"/>
  </w:font>
  <w:font w:name="Arial Narrow">
    <w:panose1 w:val="020B0606020202030204"/>
    <w:charset w:val="EE"/>
    <w:family w:val="swiss"/>
    <w:pitch w:val="variable"/>
    <w:sig w:usb0="00000287" w:usb1="00000800" w:usb2="00000000" w:usb3="00000000" w:csb0="0000009F" w:csb1="00000000"/>
  </w:font>
  <w:font w:name="OpenSymbol">
    <w:altName w:val="Calibri"/>
    <w:charset w:val="00"/>
    <w:family w:val="auto"/>
    <w:pitch w:val="variable"/>
    <w:sig w:usb0="800000AF" w:usb1="1001ECEA" w:usb2="00000000" w:usb3="00000000" w:csb0="00000001" w:csb1="00000000"/>
  </w:font>
  <w:font w:name="Lucida Sans Unicode">
    <w:panose1 w:val="020B0602030504020204"/>
    <w:charset w:val="EE"/>
    <w:family w:val="swiss"/>
    <w:pitch w:val="variable"/>
    <w:sig w:usb0="80000AFF" w:usb1="0000396B" w:usb2="00000000" w:usb3="00000000" w:csb0="000000BF" w:csb1="00000000"/>
  </w:font>
  <w:font w:name="Mangal">
    <w:panose1 w:val="00000400000000000000"/>
    <w:charset w:val="00"/>
    <w:family w:val="roman"/>
    <w:pitch w:val="variable"/>
    <w:sig w:usb0="00008003" w:usb1="00000000" w:usb2="00000000" w:usb3="00000000" w:csb0="00000001" w:csb1="00000000"/>
  </w:font>
  <w:font w:name="SwitzerlandBlack">
    <w:altName w:val="Arial"/>
    <w:charset w:val="00"/>
    <w:family w:val="modern"/>
    <w:pitch w:val="variable"/>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IYGUZC+TimesCE-Roman">
    <w:altName w:val="Times New Roman"/>
    <w:panose1 w:val="00000000000000000000"/>
    <w:charset w:val="00"/>
    <w:family w:val="roman"/>
    <w:notTrueType/>
    <w:pitch w:val="default"/>
    <w:sig w:usb0="00000007" w:usb1="00000000" w:usb2="00000000" w:usb3="00000000" w:csb0="00000003" w:csb1="00000000"/>
  </w:font>
  <w:font w:name="Minion Pro">
    <w:panose1 w:val="02040503050306020203"/>
    <w:charset w:val="00"/>
    <w:family w:val="roman"/>
    <w:notTrueType/>
    <w:pitch w:val="variable"/>
    <w:sig w:usb0="60000287" w:usb1="00000001" w:usb2="00000000" w:usb3="00000000" w:csb0="0000019F" w:csb1="00000000"/>
  </w:font>
  <w:font w:name="TT Norms Pro">
    <w:altName w:val="Calibri"/>
    <w:panose1 w:val="020B0103030101020204"/>
    <w:charset w:val="00"/>
    <w:family w:val="swiss"/>
    <w:notTrueType/>
    <w:pitch w:val="variable"/>
    <w:sig w:usb0="A00002FF" w:usb1="5000A4FB" w:usb2="00000000" w:usb3="00000000" w:csb0="0000019F" w:csb1="00000000"/>
  </w:font>
  <w:font w:name="TimesNewRomanPS-ItalicMT">
    <w:altName w:val="Times New Roman"/>
    <w:panose1 w:val="00000000000000000000"/>
    <w:charset w:val="00"/>
    <w:family w:val="roman"/>
    <w:notTrueType/>
    <w:pitch w:val="default"/>
    <w:sig w:usb0="00000007" w:usb1="00000000" w:usb2="00000000" w:usb3="00000000" w:csb0="00000003" w:csb1="00000000"/>
  </w:font>
  <w:font w:name="HiddenHorzOCR">
    <w:altName w:val="MS Gothic"/>
    <w:panose1 w:val="00000000000000000000"/>
    <w:charset w:val="00"/>
    <w:family w:val="roman"/>
    <w:notTrueType/>
    <w:pitch w:val="default"/>
    <w:sig w:usb0="00000001" w:usb1="08070000" w:usb2="00000010" w:usb3="00000000" w:csb0="00020000"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5217038" w14:textId="77777777" w:rsidR="004D2CEE" w:rsidRDefault="004D2CEE">
      <w:r>
        <w:separator/>
      </w:r>
    </w:p>
  </w:footnote>
  <w:footnote w:type="continuationSeparator" w:id="0">
    <w:p w14:paraId="54B03C31" w14:textId="77777777" w:rsidR="004D2CEE" w:rsidRDefault="004D2CE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8E79C19" w14:textId="77777777" w:rsidR="002F341E" w:rsidRDefault="002F341E" w:rsidP="00EF7848">
    <w:pPr>
      <w:pStyle w:val="Zhlav"/>
      <w:pBdr>
        <w:bottom w:val="single" w:sz="4" w:space="1" w:color="D9D9D9"/>
      </w:pBdr>
      <w:tabs>
        <w:tab w:val="clear" w:pos="4536"/>
        <w:tab w:val="clear" w:pos="9072"/>
        <w:tab w:val="center" w:pos="2410"/>
        <w:tab w:val="right" w:pos="8504"/>
      </w:tabs>
      <w:ind w:left="0"/>
      <w:rPr>
        <w:sz w:val="18"/>
        <w:szCs w:val="18"/>
      </w:rPr>
    </w:pPr>
  </w:p>
  <w:p w14:paraId="5621255A" w14:textId="5B543440" w:rsidR="002F341E" w:rsidRPr="00B14E38" w:rsidRDefault="002F341E" w:rsidP="00EF7848">
    <w:pPr>
      <w:pStyle w:val="Zhlav"/>
      <w:pBdr>
        <w:bottom w:val="single" w:sz="4" w:space="1" w:color="D9D9D9"/>
      </w:pBdr>
      <w:tabs>
        <w:tab w:val="clear" w:pos="4536"/>
        <w:tab w:val="clear" w:pos="9072"/>
        <w:tab w:val="center" w:pos="2410"/>
        <w:tab w:val="right" w:pos="8504"/>
      </w:tabs>
      <w:ind w:left="0"/>
      <w:rPr>
        <w:sz w:val="18"/>
        <w:szCs w:val="18"/>
      </w:rPr>
    </w:pPr>
    <w:r w:rsidRPr="00B14E38">
      <w:rPr>
        <w:sz w:val="18"/>
        <w:szCs w:val="18"/>
      </w:rPr>
      <w:fldChar w:fldCharType="begin"/>
    </w:r>
    <w:r w:rsidRPr="00B14E38">
      <w:rPr>
        <w:sz w:val="18"/>
        <w:szCs w:val="18"/>
      </w:rPr>
      <w:instrText xml:space="preserve"> PAGE   \* MERGEFORMAT </w:instrText>
    </w:r>
    <w:r w:rsidRPr="00B14E38">
      <w:rPr>
        <w:sz w:val="18"/>
        <w:szCs w:val="18"/>
      </w:rPr>
      <w:fldChar w:fldCharType="separate"/>
    </w:r>
    <w:r w:rsidR="006F5EC2" w:rsidRPr="006F5EC2">
      <w:rPr>
        <w:b/>
        <w:noProof/>
        <w:sz w:val="18"/>
        <w:szCs w:val="18"/>
      </w:rPr>
      <w:t>6</w:t>
    </w:r>
    <w:r w:rsidRPr="00B14E38">
      <w:rPr>
        <w:b/>
        <w:noProof/>
        <w:sz w:val="18"/>
        <w:szCs w:val="18"/>
      </w:rPr>
      <w:fldChar w:fldCharType="end"/>
    </w:r>
    <w:r>
      <w:rPr>
        <w:b/>
        <w:noProof/>
        <w:sz w:val="18"/>
        <w:szCs w:val="18"/>
      </w:rPr>
      <w:tab/>
    </w:r>
    <w:r>
      <w:rPr>
        <w:b/>
        <w:noProof/>
        <w:sz w:val="18"/>
        <w:szCs w:val="18"/>
      </w:rPr>
      <w:tab/>
    </w:r>
    <w:r w:rsidRPr="00B14E38">
      <w:rPr>
        <w:b/>
        <w:sz w:val="18"/>
        <w:szCs w:val="18"/>
      </w:rPr>
      <w:t xml:space="preserve">Územní plán </w:t>
    </w:r>
    <w:r w:rsidR="004C4569">
      <w:rPr>
        <w:b/>
        <w:sz w:val="18"/>
        <w:szCs w:val="18"/>
      </w:rPr>
      <w:t>Hlubočky</w:t>
    </w:r>
    <w:r w:rsidR="007F62A5">
      <w:rPr>
        <w:b/>
        <w:sz w:val="18"/>
        <w:szCs w:val="18"/>
      </w:rPr>
      <w:t xml:space="preserve"> – odůvodnění</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1757AFC" w14:textId="77777777" w:rsidR="002F341E" w:rsidRDefault="002F341E" w:rsidP="00625A82">
    <w:pPr>
      <w:pStyle w:val="Zhlav"/>
      <w:pBdr>
        <w:bottom w:val="single" w:sz="4" w:space="0" w:color="D9D9D9"/>
      </w:pBdr>
      <w:tabs>
        <w:tab w:val="clear" w:pos="4536"/>
        <w:tab w:val="clear" w:pos="9072"/>
        <w:tab w:val="right" w:pos="8504"/>
      </w:tabs>
      <w:ind w:left="0"/>
      <w:rPr>
        <w:rStyle w:val="Hypertextovodkaz"/>
        <w:b/>
        <w:color w:val="auto"/>
        <w:sz w:val="18"/>
        <w:szCs w:val="18"/>
        <w:u w:val="none"/>
      </w:rPr>
    </w:pPr>
  </w:p>
  <w:p w14:paraId="117FB0EB" w14:textId="4F8F56B2" w:rsidR="002F341E" w:rsidRDefault="002F341E" w:rsidP="00625A82">
    <w:pPr>
      <w:pStyle w:val="Zhlav"/>
      <w:pBdr>
        <w:bottom w:val="single" w:sz="4" w:space="0" w:color="D9D9D9"/>
      </w:pBdr>
      <w:tabs>
        <w:tab w:val="clear" w:pos="4536"/>
        <w:tab w:val="clear" w:pos="9072"/>
        <w:tab w:val="right" w:pos="8504"/>
      </w:tabs>
      <w:ind w:left="0"/>
      <w:rPr>
        <w:rStyle w:val="Hypertextovodkaz"/>
        <w:color w:val="auto"/>
        <w:sz w:val="18"/>
        <w:szCs w:val="18"/>
        <w:u w:val="none"/>
      </w:rPr>
    </w:pPr>
    <w:hyperlink w:anchor="_top" w:history="1">
      <w:r w:rsidRPr="00B14E38">
        <w:rPr>
          <w:rStyle w:val="Hypertextovodkaz"/>
          <w:b/>
          <w:color w:val="auto"/>
          <w:sz w:val="18"/>
          <w:szCs w:val="18"/>
          <w:u w:val="none"/>
        </w:rPr>
        <w:t xml:space="preserve">Územní plán </w:t>
      </w:r>
      <w:r w:rsidR="00687326">
        <w:rPr>
          <w:rStyle w:val="Hypertextovodkaz"/>
          <w:b/>
          <w:color w:val="auto"/>
          <w:sz w:val="18"/>
          <w:szCs w:val="18"/>
          <w:u w:val="none"/>
        </w:rPr>
        <w:t>Hlubočky</w:t>
      </w:r>
      <w:r>
        <w:rPr>
          <w:rStyle w:val="Hypertextovodkaz"/>
          <w:b/>
          <w:color w:val="auto"/>
          <w:sz w:val="18"/>
          <w:szCs w:val="18"/>
          <w:u w:val="none"/>
        </w:rPr>
        <w:t xml:space="preserve"> – odůvodnění</w:t>
      </w:r>
      <w:r>
        <w:rPr>
          <w:rStyle w:val="Hypertextovodkaz"/>
          <w:b/>
          <w:color w:val="auto"/>
          <w:sz w:val="18"/>
          <w:szCs w:val="18"/>
          <w:u w:val="none"/>
        </w:rPr>
        <w:tab/>
      </w:r>
    </w:hyperlink>
    <w:r w:rsidRPr="00B14E38">
      <w:rPr>
        <w:sz w:val="18"/>
        <w:szCs w:val="18"/>
      </w:rPr>
      <w:fldChar w:fldCharType="begin"/>
    </w:r>
    <w:r w:rsidRPr="00B14E38">
      <w:rPr>
        <w:sz w:val="18"/>
        <w:szCs w:val="18"/>
      </w:rPr>
      <w:instrText xml:space="preserve"> PAGE   \* MERGEFORMAT </w:instrText>
    </w:r>
    <w:r w:rsidRPr="00B14E38">
      <w:rPr>
        <w:sz w:val="18"/>
        <w:szCs w:val="18"/>
      </w:rPr>
      <w:fldChar w:fldCharType="separate"/>
    </w:r>
    <w:r w:rsidRPr="00A971FA">
      <w:rPr>
        <w:b/>
        <w:noProof/>
        <w:sz w:val="18"/>
        <w:szCs w:val="18"/>
      </w:rPr>
      <w:t>3</w:t>
    </w:r>
    <w:r w:rsidRPr="00B14E38">
      <w:rPr>
        <w:b/>
        <w:noProof/>
        <w:sz w:val="18"/>
        <w:szCs w:val="18"/>
      </w:rPr>
      <w:fldChar w:fldCharType="end"/>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8832BDB" w14:textId="77777777" w:rsidR="002F341E" w:rsidRDefault="002F341E" w:rsidP="00DA2442">
    <w:pPr>
      <w:pStyle w:val="Zhlav"/>
      <w:pBdr>
        <w:bottom w:val="single" w:sz="4" w:space="1" w:color="D9D9D9"/>
      </w:pBdr>
      <w:tabs>
        <w:tab w:val="clear" w:pos="4536"/>
        <w:tab w:val="clear" w:pos="9072"/>
        <w:tab w:val="center" w:pos="2410"/>
        <w:tab w:val="right" w:pos="8504"/>
      </w:tabs>
      <w:ind w:left="0"/>
      <w:rPr>
        <w:b/>
        <w:sz w:val="18"/>
        <w:szCs w:val="18"/>
      </w:rPr>
    </w:pPr>
  </w:p>
  <w:p w14:paraId="6E2AA6FB" w14:textId="6B405B21" w:rsidR="002F341E" w:rsidRPr="00DA2442" w:rsidRDefault="002F341E" w:rsidP="00DA2442">
    <w:pPr>
      <w:pStyle w:val="Zhlav"/>
      <w:pBdr>
        <w:bottom w:val="single" w:sz="4" w:space="1" w:color="D9D9D9"/>
      </w:pBdr>
      <w:tabs>
        <w:tab w:val="clear" w:pos="4536"/>
        <w:tab w:val="clear" w:pos="9072"/>
        <w:tab w:val="center" w:pos="2410"/>
        <w:tab w:val="right" w:pos="8504"/>
      </w:tabs>
      <w:ind w:left="0"/>
      <w:rPr>
        <w:sz w:val="18"/>
        <w:szCs w:val="18"/>
      </w:rPr>
    </w:pPr>
    <w:r w:rsidRPr="00B14E38">
      <w:rPr>
        <w:b/>
        <w:sz w:val="18"/>
        <w:szCs w:val="18"/>
      </w:rPr>
      <w:t xml:space="preserve">Územní plán </w:t>
    </w:r>
    <w:r w:rsidR="004C4569">
      <w:rPr>
        <w:b/>
        <w:sz w:val="18"/>
        <w:szCs w:val="18"/>
      </w:rPr>
      <w:t>Hlubočky – odůvodnění</w:t>
    </w:r>
    <w:r>
      <w:tab/>
    </w:r>
    <w:r>
      <w:rPr>
        <w:sz w:val="14"/>
        <w:szCs w:val="14"/>
      </w:rPr>
      <w:t xml:space="preserve"> </w:t>
    </w:r>
    <w:r w:rsidRPr="00B14E38">
      <w:rPr>
        <w:sz w:val="18"/>
        <w:szCs w:val="18"/>
      </w:rPr>
      <w:fldChar w:fldCharType="begin"/>
    </w:r>
    <w:r w:rsidRPr="00B14E38">
      <w:rPr>
        <w:sz w:val="18"/>
        <w:szCs w:val="18"/>
      </w:rPr>
      <w:instrText xml:space="preserve"> PAGE   \* MERGEFORMAT </w:instrText>
    </w:r>
    <w:r w:rsidRPr="00B14E38">
      <w:rPr>
        <w:sz w:val="18"/>
        <w:szCs w:val="18"/>
      </w:rPr>
      <w:fldChar w:fldCharType="separate"/>
    </w:r>
    <w:r w:rsidR="006F5EC2" w:rsidRPr="006F5EC2">
      <w:rPr>
        <w:b/>
        <w:noProof/>
        <w:sz w:val="18"/>
        <w:szCs w:val="18"/>
      </w:rPr>
      <w:t>1</w:t>
    </w:r>
    <w:r w:rsidRPr="00B14E38">
      <w:rPr>
        <w:b/>
        <w:noProof/>
        <w:sz w:val="18"/>
        <w:szCs w:val="18"/>
      </w:rPr>
      <w:fldChar w:fldCharType="end"/>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98C4751" w14:textId="77777777" w:rsidR="002F341E" w:rsidRDefault="002F341E" w:rsidP="00EF7848">
    <w:pPr>
      <w:pStyle w:val="Zhlav"/>
      <w:pBdr>
        <w:bottom w:val="single" w:sz="4" w:space="1" w:color="D9D9D9"/>
      </w:pBdr>
      <w:tabs>
        <w:tab w:val="clear" w:pos="4536"/>
        <w:tab w:val="clear" w:pos="9072"/>
        <w:tab w:val="center" w:pos="2410"/>
        <w:tab w:val="right" w:pos="8504"/>
      </w:tabs>
      <w:ind w:left="0"/>
      <w:rPr>
        <w:sz w:val="18"/>
        <w:szCs w:val="18"/>
      </w:rPr>
    </w:pPr>
  </w:p>
  <w:p w14:paraId="30880608" w14:textId="41662FD4" w:rsidR="002F341E" w:rsidRPr="00B14E38" w:rsidRDefault="002F341E" w:rsidP="00EF7848">
    <w:pPr>
      <w:pStyle w:val="Zhlav"/>
      <w:pBdr>
        <w:bottom w:val="single" w:sz="4" w:space="1" w:color="D9D9D9"/>
      </w:pBdr>
      <w:tabs>
        <w:tab w:val="clear" w:pos="4536"/>
        <w:tab w:val="clear" w:pos="9072"/>
        <w:tab w:val="center" w:pos="2410"/>
        <w:tab w:val="right" w:pos="8504"/>
      </w:tabs>
      <w:ind w:left="0"/>
      <w:rPr>
        <w:sz w:val="18"/>
        <w:szCs w:val="18"/>
      </w:rPr>
    </w:pPr>
    <w:r w:rsidRPr="00B14E38">
      <w:rPr>
        <w:sz w:val="18"/>
        <w:szCs w:val="18"/>
      </w:rPr>
      <w:fldChar w:fldCharType="begin"/>
    </w:r>
    <w:r w:rsidRPr="00B14E38">
      <w:rPr>
        <w:sz w:val="18"/>
        <w:szCs w:val="18"/>
      </w:rPr>
      <w:instrText xml:space="preserve"> PAGE   \* MERGEFORMAT </w:instrText>
    </w:r>
    <w:r w:rsidRPr="00B14E38">
      <w:rPr>
        <w:sz w:val="18"/>
        <w:szCs w:val="18"/>
      </w:rPr>
      <w:fldChar w:fldCharType="separate"/>
    </w:r>
    <w:r w:rsidR="006F5EC2" w:rsidRPr="006F5EC2">
      <w:rPr>
        <w:b/>
        <w:noProof/>
        <w:sz w:val="18"/>
        <w:szCs w:val="18"/>
      </w:rPr>
      <w:t>24</w:t>
    </w:r>
    <w:r w:rsidRPr="00B14E38">
      <w:rPr>
        <w:b/>
        <w:noProof/>
        <w:sz w:val="18"/>
        <w:szCs w:val="18"/>
      </w:rPr>
      <w:fldChar w:fldCharType="end"/>
    </w:r>
    <w:r>
      <w:rPr>
        <w:b/>
        <w:noProof/>
        <w:sz w:val="18"/>
        <w:szCs w:val="18"/>
      </w:rPr>
      <w:tab/>
    </w:r>
    <w:r>
      <w:rPr>
        <w:b/>
        <w:noProof/>
        <w:sz w:val="18"/>
        <w:szCs w:val="18"/>
      </w:rPr>
      <w:tab/>
    </w:r>
    <w:r w:rsidRPr="00D72175">
      <w:rPr>
        <w:b/>
        <w:sz w:val="18"/>
        <w:szCs w:val="18"/>
      </w:rPr>
      <w:t xml:space="preserve"> </w:t>
    </w:r>
    <w:r w:rsidRPr="00B14E38">
      <w:rPr>
        <w:b/>
        <w:sz w:val="18"/>
        <w:szCs w:val="18"/>
      </w:rPr>
      <w:t xml:space="preserve">Územní plán </w:t>
    </w:r>
    <w:r w:rsidR="00687326">
      <w:rPr>
        <w:b/>
        <w:sz w:val="18"/>
        <w:szCs w:val="18"/>
      </w:rPr>
      <w:t>Hlubočky</w:t>
    </w:r>
    <w:r>
      <w:rPr>
        <w:b/>
        <w:sz w:val="18"/>
        <w:szCs w:val="18"/>
      </w:rPr>
      <w:t xml:space="preserve"> – odůvodnění</w: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16FA4AD" w14:textId="77777777" w:rsidR="002F341E" w:rsidRDefault="002F341E" w:rsidP="00DA2442">
    <w:pPr>
      <w:pStyle w:val="Zhlav"/>
      <w:pBdr>
        <w:bottom w:val="single" w:sz="4" w:space="1" w:color="D9D9D9"/>
      </w:pBdr>
      <w:tabs>
        <w:tab w:val="clear" w:pos="4536"/>
        <w:tab w:val="clear" w:pos="9072"/>
        <w:tab w:val="center" w:pos="2410"/>
        <w:tab w:val="right" w:pos="8504"/>
      </w:tabs>
      <w:ind w:left="0"/>
      <w:rPr>
        <w:b/>
        <w:sz w:val="18"/>
        <w:szCs w:val="18"/>
      </w:rPr>
    </w:pPr>
  </w:p>
  <w:p w14:paraId="430D57EA" w14:textId="2A29C9AC" w:rsidR="002F341E" w:rsidRPr="00DA2442" w:rsidRDefault="002F341E" w:rsidP="000D0DF5">
    <w:pPr>
      <w:pStyle w:val="Zhlav"/>
      <w:pBdr>
        <w:bottom w:val="single" w:sz="4" w:space="1" w:color="D9D9D9"/>
      </w:pBdr>
      <w:tabs>
        <w:tab w:val="clear" w:pos="4536"/>
        <w:tab w:val="clear" w:pos="9072"/>
        <w:tab w:val="center" w:pos="2410"/>
        <w:tab w:val="right" w:pos="8504"/>
      </w:tabs>
      <w:ind w:left="0"/>
      <w:rPr>
        <w:sz w:val="18"/>
        <w:szCs w:val="18"/>
      </w:rPr>
    </w:pPr>
    <w:r w:rsidRPr="00B14E38">
      <w:rPr>
        <w:b/>
        <w:sz w:val="18"/>
        <w:szCs w:val="18"/>
      </w:rPr>
      <w:t xml:space="preserve">Územní plán </w:t>
    </w:r>
    <w:r w:rsidR="00687326">
      <w:rPr>
        <w:b/>
        <w:sz w:val="18"/>
        <w:szCs w:val="18"/>
      </w:rPr>
      <w:t>Hlubočky</w:t>
    </w:r>
    <w:r>
      <w:rPr>
        <w:b/>
        <w:sz w:val="18"/>
        <w:szCs w:val="18"/>
      </w:rPr>
      <w:t xml:space="preserve"> - odůvodnění</w:t>
    </w:r>
    <w:r>
      <w:tab/>
    </w:r>
    <w:r>
      <w:rPr>
        <w:sz w:val="14"/>
        <w:szCs w:val="14"/>
      </w:rPr>
      <w:t xml:space="preserve"> </w:t>
    </w:r>
    <w:r w:rsidRPr="00B14E38">
      <w:rPr>
        <w:sz w:val="18"/>
        <w:szCs w:val="18"/>
      </w:rPr>
      <w:fldChar w:fldCharType="begin"/>
    </w:r>
    <w:r w:rsidRPr="00B14E38">
      <w:rPr>
        <w:sz w:val="18"/>
        <w:szCs w:val="18"/>
      </w:rPr>
      <w:instrText xml:space="preserve"> PAGE   \* MERGEFORMAT </w:instrText>
    </w:r>
    <w:r w:rsidRPr="00B14E38">
      <w:rPr>
        <w:sz w:val="18"/>
        <w:szCs w:val="18"/>
      </w:rPr>
      <w:fldChar w:fldCharType="separate"/>
    </w:r>
    <w:r w:rsidR="006F5EC2" w:rsidRPr="006F5EC2">
      <w:rPr>
        <w:b/>
        <w:noProof/>
        <w:sz w:val="18"/>
        <w:szCs w:val="18"/>
      </w:rPr>
      <w:t>23</w:t>
    </w:r>
    <w:r w:rsidRPr="00B14E38">
      <w:rPr>
        <w:b/>
        <w:noProof/>
        <w:sz w:val="18"/>
        <w:szCs w:val="18"/>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3"/>
    <w:multiLevelType w:val="multilevel"/>
    <w:tmpl w:val="1F64CA90"/>
    <w:name w:val="WW8Num3"/>
    <w:lvl w:ilvl="0">
      <w:start w:val="1"/>
      <w:numFmt w:val="decimal"/>
      <w:lvlText w:val=".%1"/>
      <w:lvlJc w:val="left"/>
      <w:pPr>
        <w:tabs>
          <w:tab w:val="num" w:pos="0"/>
        </w:tabs>
        <w:ind w:left="2843" w:hanging="432"/>
      </w:pPr>
      <w:rPr>
        <w:rFonts w:hint="default"/>
      </w:rPr>
    </w:lvl>
    <w:lvl w:ilvl="1">
      <w:start w:val="1"/>
      <w:numFmt w:val="decimal"/>
      <w:lvlText w:val="%1.%2"/>
      <w:lvlJc w:val="left"/>
      <w:pPr>
        <w:tabs>
          <w:tab w:val="num" w:pos="0"/>
        </w:tabs>
        <w:ind w:left="2845" w:hanging="576"/>
      </w:pPr>
    </w:lvl>
    <w:lvl w:ilvl="2">
      <w:start w:val="1"/>
      <w:numFmt w:val="decimal"/>
      <w:lvlText w:val="%1.%2.%3"/>
      <w:lvlJc w:val="left"/>
      <w:pPr>
        <w:tabs>
          <w:tab w:val="num" w:pos="0"/>
        </w:tabs>
        <w:ind w:left="720" w:hanging="720"/>
      </w:pPr>
    </w:lvl>
    <w:lvl w:ilvl="3">
      <w:start w:val="1"/>
      <w:numFmt w:val="decimal"/>
      <w:lvlText w:val="%1.%2.%3.%4"/>
      <w:lvlJc w:val="left"/>
      <w:pPr>
        <w:tabs>
          <w:tab w:val="num" w:pos="0"/>
        </w:tabs>
        <w:ind w:left="2552" w:hanging="709"/>
      </w:pPr>
      <w:rPr>
        <w:i w:val="0"/>
      </w:rPr>
    </w:lvl>
    <w:lvl w:ilvl="4">
      <w:start w:val="1"/>
      <w:numFmt w:val="decimal"/>
      <w:lvlText w:val="%1.%2.%3.%4.%5"/>
      <w:lvlJc w:val="left"/>
      <w:pPr>
        <w:tabs>
          <w:tab w:val="num" w:pos="0"/>
        </w:tabs>
        <w:ind w:left="1008" w:hanging="1008"/>
      </w:pPr>
    </w:lvl>
    <w:lvl w:ilvl="5">
      <w:start w:val="1"/>
      <w:numFmt w:val="decimal"/>
      <w:lvlText w:val=".%6"/>
      <w:lvlJc w:val="left"/>
      <w:pPr>
        <w:tabs>
          <w:tab w:val="num" w:pos="0"/>
        </w:tabs>
        <w:ind w:left="1152" w:hanging="1152"/>
      </w:pPr>
      <w:rPr>
        <w:rFonts w:hint="default"/>
      </w:rPr>
    </w:lvl>
    <w:lvl w:ilvl="6">
      <w:start w:val="1"/>
      <w:numFmt w:val="decimal"/>
      <w:lvlText w:val="%1.%2.%3.%4.%5.%6.%7"/>
      <w:lvlJc w:val="left"/>
      <w:pPr>
        <w:tabs>
          <w:tab w:val="num" w:pos="0"/>
        </w:tabs>
        <w:ind w:left="1296" w:hanging="1296"/>
      </w:pPr>
    </w:lvl>
    <w:lvl w:ilvl="7">
      <w:start w:val="1"/>
      <w:numFmt w:val="decimal"/>
      <w:lvlText w:val="%1.%2.%3.%4.%5.%6.%7.%8"/>
      <w:lvlJc w:val="left"/>
      <w:pPr>
        <w:tabs>
          <w:tab w:val="num" w:pos="0"/>
        </w:tabs>
        <w:ind w:left="1440" w:hanging="1440"/>
      </w:pPr>
    </w:lvl>
    <w:lvl w:ilvl="8">
      <w:start w:val="1"/>
      <w:numFmt w:val="decimal"/>
      <w:lvlText w:val="%1.%2.%3.%4.%5.%6.%7.%8.%9"/>
      <w:lvlJc w:val="left"/>
      <w:pPr>
        <w:tabs>
          <w:tab w:val="num" w:pos="0"/>
        </w:tabs>
        <w:ind w:left="1584" w:hanging="1584"/>
      </w:pPr>
    </w:lvl>
  </w:abstractNum>
  <w:abstractNum w:abstractNumId="1" w15:restartNumberingAfterBreak="0">
    <w:nsid w:val="00000005"/>
    <w:multiLevelType w:val="singleLevel"/>
    <w:tmpl w:val="00000005"/>
    <w:name w:val="WW8Num5"/>
    <w:lvl w:ilvl="0">
      <w:start w:val="3"/>
      <w:numFmt w:val="bullet"/>
      <w:lvlText w:val="-"/>
      <w:lvlJc w:val="left"/>
      <w:pPr>
        <w:tabs>
          <w:tab w:val="num" w:pos="1035"/>
        </w:tabs>
      </w:pPr>
      <w:rPr>
        <w:rFonts w:ascii="Times New Roman" w:hAnsi="Times New Roman" w:cs="Times New Roman"/>
      </w:rPr>
    </w:lvl>
  </w:abstractNum>
  <w:abstractNum w:abstractNumId="2" w15:restartNumberingAfterBreak="0">
    <w:nsid w:val="00000006"/>
    <w:multiLevelType w:val="multilevel"/>
    <w:tmpl w:val="00000006"/>
    <w:name w:val="WW8Num6"/>
    <w:lvl w:ilvl="0">
      <w:start w:val="2"/>
      <w:numFmt w:val="decimal"/>
      <w:lvlText w:val=".%1."/>
      <w:lvlJc w:val="left"/>
      <w:pPr>
        <w:tabs>
          <w:tab w:val="num" w:pos="720"/>
        </w:tabs>
        <w:ind w:left="720" w:hanging="360"/>
      </w:pPr>
      <w:rPr>
        <w:rFonts w:ascii="Symbol" w:hAnsi="Symbol" w:cs="Symbol"/>
      </w:rPr>
    </w:lvl>
    <w:lvl w:ilvl="1">
      <w:start w:val="4"/>
      <w:numFmt w:val="decimal"/>
      <w:lvlText w:val="%1.%2"/>
      <w:lvlJc w:val="left"/>
      <w:pPr>
        <w:tabs>
          <w:tab w:val="num" w:pos="1080"/>
        </w:tabs>
        <w:ind w:left="1080" w:hanging="360"/>
      </w:pPr>
      <w:rPr>
        <w:rFonts w:ascii="Courier New" w:hAnsi="Courier New" w:cs="Courier New"/>
        <w:i w:val="0"/>
      </w:rPr>
    </w:lvl>
    <w:lvl w:ilvl="2">
      <w:start w:val="1"/>
      <w:numFmt w:val="decimal"/>
      <w:lvlText w:val="%1.%2.%3."/>
      <w:lvlJc w:val="left"/>
      <w:pPr>
        <w:tabs>
          <w:tab w:val="num" w:pos="1440"/>
        </w:tabs>
        <w:ind w:left="1440" w:hanging="360"/>
      </w:pPr>
      <w:rPr>
        <w:rFonts w:ascii="Wingdings" w:hAnsi="Wingdings" w:cs="Wingdings"/>
      </w:rPr>
    </w:lvl>
    <w:lvl w:ilvl="3">
      <w:start w:val="1"/>
      <w:numFmt w:val="decimal"/>
      <w:lvlText w:val="%1.%2.%3.%4."/>
      <w:lvlJc w:val="left"/>
      <w:pPr>
        <w:tabs>
          <w:tab w:val="num" w:pos="1800"/>
        </w:tabs>
        <w:ind w:left="1800" w:hanging="360"/>
      </w:pPr>
    </w:lvl>
    <w:lvl w:ilvl="4">
      <w:start w:val="1"/>
      <w:numFmt w:val="decimal"/>
      <w:lvlText w:val="%1.%2.%3.%4.%5."/>
      <w:lvlJc w:val="left"/>
      <w:pPr>
        <w:tabs>
          <w:tab w:val="num" w:pos="2160"/>
        </w:tabs>
        <w:ind w:left="2160" w:hanging="360"/>
      </w:pPr>
    </w:lvl>
    <w:lvl w:ilvl="5">
      <w:start w:val="1"/>
      <w:numFmt w:val="decimal"/>
      <w:lvlText w:val="%1.%2.%3.%4.%5.%6."/>
      <w:lvlJc w:val="left"/>
      <w:pPr>
        <w:tabs>
          <w:tab w:val="num" w:pos="2520"/>
        </w:tabs>
        <w:ind w:left="2520" w:hanging="360"/>
      </w:pPr>
    </w:lvl>
    <w:lvl w:ilvl="6">
      <w:start w:val="1"/>
      <w:numFmt w:val="decimal"/>
      <w:lvlText w:val="%1.%2.%3.%4.%5.%6.%7."/>
      <w:lvlJc w:val="left"/>
      <w:pPr>
        <w:tabs>
          <w:tab w:val="num" w:pos="2880"/>
        </w:tabs>
        <w:ind w:left="2880" w:hanging="360"/>
      </w:pPr>
    </w:lvl>
    <w:lvl w:ilvl="7">
      <w:start w:val="1"/>
      <w:numFmt w:val="decimal"/>
      <w:lvlText w:val="%1.%2.%3.%4.%5.%6.%7.%8."/>
      <w:lvlJc w:val="left"/>
      <w:pPr>
        <w:tabs>
          <w:tab w:val="num" w:pos="3240"/>
        </w:tabs>
        <w:ind w:left="3240" w:hanging="360"/>
      </w:pPr>
    </w:lvl>
    <w:lvl w:ilvl="8">
      <w:start w:val="1"/>
      <w:numFmt w:val="decimal"/>
      <w:lvlText w:val="%1.%2.%3.%4.%5.%6.%7.%8.%9."/>
      <w:lvlJc w:val="left"/>
      <w:pPr>
        <w:tabs>
          <w:tab w:val="num" w:pos="3600"/>
        </w:tabs>
        <w:ind w:left="3600" w:hanging="360"/>
      </w:pPr>
    </w:lvl>
  </w:abstractNum>
  <w:abstractNum w:abstractNumId="3" w15:restartNumberingAfterBreak="0">
    <w:nsid w:val="026D406B"/>
    <w:multiLevelType w:val="singleLevel"/>
    <w:tmpl w:val="FD40170A"/>
    <w:lvl w:ilvl="0">
      <w:start w:val="1"/>
      <w:numFmt w:val="bullet"/>
      <w:pStyle w:val="Styl-o"/>
      <w:lvlText w:val=""/>
      <w:lvlJc w:val="left"/>
      <w:pPr>
        <w:tabs>
          <w:tab w:val="num" w:pos="360"/>
        </w:tabs>
        <w:ind w:left="360" w:hanging="360"/>
      </w:pPr>
      <w:rPr>
        <w:rFonts w:ascii="Symbol" w:hAnsi="Symbol" w:hint="default"/>
      </w:rPr>
    </w:lvl>
  </w:abstractNum>
  <w:abstractNum w:abstractNumId="4" w15:restartNumberingAfterBreak="0">
    <w:nsid w:val="043F1CC4"/>
    <w:multiLevelType w:val="hybridMultilevel"/>
    <w:tmpl w:val="840411B4"/>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 w15:restartNumberingAfterBreak="0">
    <w:nsid w:val="04F6035A"/>
    <w:multiLevelType w:val="hybridMultilevel"/>
    <w:tmpl w:val="7A243236"/>
    <w:lvl w:ilvl="0" w:tplc="C4A22E78">
      <w:start w:val="1"/>
      <w:numFmt w:val="decimal"/>
      <w:lvlText w:val=".%1"/>
      <w:lvlJc w:val="left"/>
      <w:pPr>
        <w:ind w:left="1429" w:hanging="360"/>
      </w:pPr>
      <w:rPr>
        <w:rFonts w:hint="default"/>
      </w:rPr>
    </w:lvl>
    <w:lvl w:ilvl="1" w:tplc="04050019" w:tentative="1">
      <w:start w:val="1"/>
      <w:numFmt w:val="lowerLetter"/>
      <w:lvlText w:val="%2."/>
      <w:lvlJc w:val="left"/>
      <w:pPr>
        <w:ind w:left="2149" w:hanging="360"/>
      </w:pPr>
    </w:lvl>
    <w:lvl w:ilvl="2" w:tplc="0405001B" w:tentative="1">
      <w:start w:val="1"/>
      <w:numFmt w:val="lowerRoman"/>
      <w:lvlText w:val="%3."/>
      <w:lvlJc w:val="right"/>
      <w:pPr>
        <w:ind w:left="2869" w:hanging="180"/>
      </w:pPr>
    </w:lvl>
    <w:lvl w:ilvl="3" w:tplc="0405000F" w:tentative="1">
      <w:start w:val="1"/>
      <w:numFmt w:val="decimal"/>
      <w:lvlText w:val="%4."/>
      <w:lvlJc w:val="left"/>
      <w:pPr>
        <w:ind w:left="3589" w:hanging="360"/>
      </w:pPr>
    </w:lvl>
    <w:lvl w:ilvl="4" w:tplc="04050019" w:tentative="1">
      <w:start w:val="1"/>
      <w:numFmt w:val="lowerLetter"/>
      <w:lvlText w:val="%5."/>
      <w:lvlJc w:val="left"/>
      <w:pPr>
        <w:ind w:left="4309" w:hanging="360"/>
      </w:pPr>
    </w:lvl>
    <w:lvl w:ilvl="5" w:tplc="0405001B" w:tentative="1">
      <w:start w:val="1"/>
      <w:numFmt w:val="lowerRoman"/>
      <w:lvlText w:val="%6."/>
      <w:lvlJc w:val="right"/>
      <w:pPr>
        <w:ind w:left="5029" w:hanging="180"/>
      </w:pPr>
    </w:lvl>
    <w:lvl w:ilvl="6" w:tplc="0405000F" w:tentative="1">
      <w:start w:val="1"/>
      <w:numFmt w:val="decimal"/>
      <w:lvlText w:val="%7."/>
      <w:lvlJc w:val="left"/>
      <w:pPr>
        <w:ind w:left="5749" w:hanging="360"/>
      </w:pPr>
    </w:lvl>
    <w:lvl w:ilvl="7" w:tplc="04050019" w:tentative="1">
      <w:start w:val="1"/>
      <w:numFmt w:val="lowerLetter"/>
      <w:lvlText w:val="%8."/>
      <w:lvlJc w:val="left"/>
      <w:pPr>
        <w:ind w:left="6469" w:hanging="360"/>
      </w:pPr>
    </w:lvl>
    <w:lvl w:ilvl="8" w:tplc="0405001B" w:tentative="1">
      <w:start w:val="1"/>
      <w:numFmt w:val="lowerRoman"/>
      <w:lvlText w:val="%9."/>
      <w:lvlJc w:val="right"/>
      <w:pPr>
        <w:ind w:left="7189" w:hanging="180"/>
      </w:pPr>
    </w:lvl>
  </w:abstractNum>
  <w:abstractNum w:abstractNumId="6" w15:restartNumberingAfterBreak="0">
    <w:nsid w:val="061745AB"/>
    <w:multiLevelType w:val="hybridMultilevel"/>
    <w:tmpl w:val="18C6AFDE"/>
    <w:lvl w:ilvl="0" w:tplc="FFFFFFFF">
      <w:start w:val="1"/>
      <w:numFmt w:val="decimal"/>
      <w:lvlText w:val=".%1"/>
      <w:lvlJc w:val="left"/>
      <w:pPr>
        <w:ind w:left="1429" w:hanging="360"/>
      </w:pPr>
      <w:rPr>
        <w:rFonts w:hint="default"/>
      </w:rPr>
    </w:lvl>
    <w:lvl w:ilvl="1" w:tplc="FFFFFFFF" w:tentative="1">
      <w:start w:val="1"/>
      <w:numFmt w:val="lowerLetter"/>
      <w:lvlText w:val="%2."/>
      <w:lvlJc w:val="left"/>
      <w:pPr>
        <w:ind w:left="2149" w:hanging="360"/>
      </w:pPr>
    </w:lvl>
    <w:lvl w:ilvl="2" w:tplc="FFFFFFFF" w:tentative="1">
      <w:start w:val="1"/>
      <w:numFmt w:val="lowerRoman"/>
      <w:lvlText w:val="%3."/>
      <w:lvlJc w:val="right"/>
      <w:pPr>
        <w:ind w:left="2869" w:hanging="180"/>
      </w:pPr>
    </w:lvl>
    <w:lvl w:ilvl="3" w:tplc="FFFFFFFF" w:tentative="1">
      <w:start w:val="1"/>
      <w:numFmt w:val="decimal"/>
      <w:lvlText w:val="%4."/>
      <w:lvlJc w:val="left"/>
      <w:pPr>
        <w:ind w:left="3589" w:hanging="360"/>
      </w:pPr>
    </w:lvl>
    <w:lvl w:ilvl="4" w:tplc="FFFFFFFF" w:tentative="1">
      <w:start w:val="1"/>
      <w:numFmt w:val="lowerLetter"/>
      <w:lvlText w:val="%5."/>
      <w:lvlJc w:val="left"/>
      <w:pPr>
        <w:ind w:left="4309" w:hanging="360"/>
      </w:pPr>
    </w:lvl>
    <w:lvl w:ilvl="5" w:tplc="FFFFFFFF" w:tentative="1">
      <w:start w:val="1"/>
      <w:numFmt w:val="lowerRoman"/>
      <w:lvlText w:val="%6."/>
      <w:lvlJc w:val="right"/>
      <w:pPr>
        <w:ind w:left="5029" w:hanging="180"/>
      </w:pPr>
    </w:lvl>
    <w:lvl w:ilvl="6" w:tplc="FFFFFFFF" w:tentative="1">
      <w:start w:val="1"/>
      <w:numFmt w:val="decimal"/>
      <w:lvlText w:val="%7."/>
      <w:lvlJc w:val="left"/>
      <w:pPr>
        <w:ind w:left="5749" w:hanging="360"/>
      </w:pPr>
    </w:lvl>
    <w:lvl w:ilvl="7" w:tplc="FFFFFFFF" w:tentative="1">
      <w:start w:val="1"/>
      <w:numFmt w:val="lowerLetter"/>
      <w:lvlText w:val="%8."/>
      <w:lvlJc w:val="left"/>
      <w:pPr>
        <w:ind w:left="6469" w:hanging="360"/>
      </w:pPr>
    </w:lvl>
    <w:lvl w:ilvl="8" w:tplc="FFFFFFFF" w:tentative="1">
      <w:start w:val="1"/>
      <w:numFmt w:val="lowerRoman"/>
      <w:lvlText w:val="%9."/>
      <w:lvlJc w:val="right"/>
      <w:pPr>
        <w:ind w:left="7189" w:hanging="180"/>
      </w:pPr>
    </w:lvl>
  </w:abstractNum>
  <w:abstractNum w:abstractNumId="7" w15:restartNumberingAfterBreak="0">
    <w:nsid w:val="06E368FD"/>
    <w:multiLevelType w:val="hybridMultilevel"/>
    <w:tmpl w:val="06149D44"/>
    <w:lvl w:ilvl="0" w:tplc="C4A22E78">
      <w:start w:val="1"/>
      <w:numFmt w:val="decimal"/>
      <w:lvlText w:val=".%1"/>
      <w:lvlJc w:val="left"/>
      <w:pPr>
        <w:ind w:left="1429" w:hanging="360"/>
      </w:pPr>
      <w:rPr>
        <w:rFonts w:hint="default"/>
      </w:rPr>
    </w:lvl>
    <w:lvl w:ilvl="1" w:tplc="04050019" w:tentative="1">
      <w:start w:val="1"/>
      <w:numFmt w:val="lowerLetter"/>
      <w:lvlText w:val="%2."/>
      <w:lvlJc w:val="left"/>
      <w:pPr>
        <w:ind w:left="2149" w:hanging="360"/>
      </w:pPr>
    </w:lvl>
    <w:lvl w:ilvl="2" w:tplc="0405001B" w:tentative="1">
      <w:start w:val="1"/>
      <w:numFmt w:val="lowerRoman"/>
      <w:lvlText w:val="%3."/>
      <w:lvlJc w:val="right"/>
      <w:pPr>
        <w:ind w:left="2869" w:hanging="180"/>
      </w:pPr>
    </w:lvl>
    <w:lvl w:ilvl="3" w:tplc="0405000F" w:tentative="1">
      <w:start w:val="1"/>
      <w:numFmt w:val="decimal"/>
      <w:lvlText w:val="%4."/>
      <w:lvlJc w:val="left"/>
      <w:pPr>
        <w:ind w:left="3589" w:hanging="360"/>
      </w:pPr>
    </w:lvl>
    <w:lvl w:ilvl="4" w:tplc="04050019" w:tentative="1">
      <w:start w:val="1"/>
      <w:numFmt w:val="lowerLetter"/>
      <w:lvlText w:val="%5."/>
      <w:lvlJc w:val="left"/>
      <w:pPr>
        <w:ind w:left="4309" w:hanging="360"/>
      </w:pPr>
    </w:lvl>
    <w:lvl w:ilvl="5" w:tplc="0405001B" w:tentative="1">
      <w:start w:val="1"/>
      <w:numFmt w:val="lowerRoman"/>
      <w:lvlText w:val="%6."/>
      <w:lvlJc w:val="right"/>
      <w:pPr>
        <w:ind w:left="5029" w:hanging="180"/>
      </w:pPr>
    </w:lvl>
    <w:lvl w:ilvl="6" w:tplc="0405000F" w:tentative="1">
      <w:start w:val="1"/>
      <w:numFmt w:val="decimal"/>
      <w:lvlText w:val="%7."/>
      <w:lvlJc w:val="left"/>
      <w:pPr>
        <w:ind w:left="5749" w:hanging="360"/>
      </w:pPr>
    </w:lvl>
    <w:lvl w:ilvl="7" w:tplc="04050019" w:tentative="1">
      <w:start w:val="1"/>
      <w:numFmt w:val="lowerLetter"/>
      <w:lvlText w:val="%8."/>
      <w:lvlJc w:val="left"/>
      <w:pPr>
        <w:ind w:left="6469" w:hanging="360"/>
      </w:pPr>
    </w:lvl>
    <w:lvl w:ilvl="8" w:tplc="0405001B" w:tentative="1">
      <w:start w:val="1"/>
      <w:numFmt w:val="lowerRoman"/>
      <w:lvlText w:val="%9."/>
      <w:lvlJc w:val="right"/>
      <w:pPr>
        <w:ind w:left="7189" w:hanging="180"/>
      </w:pPr>
    </w:lvl>
  </w:abstractNum>
  <w:abstractNum w:abstractNumId="8" w15:restartNumberingAfterBreak="0">
    <w:nsid w:val="07EE61F4"/>
    <w:multiLevelType w:val="hybridMultilevel"/>
    <w:tmpl w:val="4DCAC0D2"/>
    <w:lvl w:ilvl="0" w:tplc="C4A22E78">
      <w:start w:val="1"/>
      <w:numFmt w:val="decimal"/>
      <w:lvlText w:val=".%1"/>
      <w:lvlJc w:val="left"/>
      <w:pPr>
        <w:ind w:left="1429" w:hanging="360"/>
      </w:pPr>
      <w:rPr>
        <w:rFonts w:hint="default"/>
      </w:rPr>
    </w:lvl>
    <w:lvl w:ilvl="1" w:tplc="04050019" w:tentative="1">
      <w:start w:val="1"/>
      <w:numFmt w:val="lowerLetter"/>
      <w:lvlText w:val="%2."/>
      <w:lvlJc w:val="left"/>
      <w:pPr>
        <w:ind w:left="2149" w:hanging="360"/>
      </w:pPr>
    </w:lvl>
    <w:lvl w:ilvl="2" w:tplc="0405001B" w:tentative="1">
      <w:start w:val="1"/>
      <w:numFmt w:val="lowerRoman"/>
      <w:lvlText w:val="%3."/>
      <w:lvlJc w:val="right"/>
      <w:pPr>
        <w:ind w:left="2869" w:hanging="180"/>
      </w:pPr>
    </w:lvl>
    <w:lvl w:ilvl="3" w:tplc="0405000F" w:tentative="1">
      <w:start w:val="1"/>
      <w:numFmt w:val="decimal"/>
      <w:lvlText w:val="%4."/>
      <w:lvlJc w:val="left"/>
      <w:pPr>
        <w:ind w:left="3589" w:hanging="360"/>
      </w:pPr>
    </w:lvl>
    <w:lvl w:ilvl="4" w:tplc="04050019" w:tentative="1">
      <w:start w:val="1"/>
      <w:numFmt w:val="lowerLetter"/>
      <w:lvlText w:val="%5."/>
      <w:lvlJc w:val="left"/>
      <w:pPr>
        <w:ind w:left="4309" w:hanging="360"/>
      </w:pPr>
    </w:lvl>
    <w:lvl w:ilvl="5" w:tplc="0405001B" w:tentative="1">
      <w:start w:val="1"/>
      <w:numFmt w:val="lowerRoman"/>
      <w:lvlText w:val="%6."/>
      <w:lvlJc w:val="right"/>
      <w:pPr>
        <w:ind w:left="5029" w:hanging="180"/>
      </w:pPr>
    </w:lvl>
    <w:lvl w:ilvl="6" w:tplc="0405000F" w:tentative="1">
      <w:start w:val="1"/>
      <w:numFmt w:val="decimal"/>
      <w:lvlText w:val="%7."/>
      <w:lvlJc w:val="left"/>
      <w:pPr>
        <w:ind w:left="5749" w:hanging="360"/>
      </w:pPr>
    </w:lvl>
    <w:lvl w:ilvl="7" w:tplc="04050019" w:tentative="1">
      <w:start w:val="1"/>
      <w:numFmt w:val="lowerLetter"/>
      <w:lvlText w:val="%8."/>
      <w:lvlJc w:val="left"/>
      <w:pPr>
        <w:ind w:left="6469" w:hanging="360"/>
      </w:pPr>
    </w:lvl>
    <w:lvl w:ilvl="8" w:tplc="0405001B" w:tentative="1">
      <w:start w:val="1"/>
      <w:numFmt w:val="lowerRoman"/>
      <w:lvlText w:val="%9."/>
      <w:lvlJc w:val="right"/>
      <w:pPr>
        <w:ind w:left="7189" w:hanging="180"/>
      </w:pPr>
    </w:lvl>
  </w:abstractNum>
  <w:abstractNum w:abstractNumId="9" w15:restartNumberingAfterBreak="0">
    <w:nsid w:val="08A3118F"/>
    <w:multiLevelType w:val="hybridMultilevel"/>
    <w:tmpl w:val="5CF49436"/>
    <w:lvl w:ilvl="0" w:tplc="FFFFFFFF">
      <w:start w:val="1"/>
      <w:numFmt w:val="decimal"/>
      <w:lvlText w:val=".%1"/>
      <w:lvlJc w:val="left"/>
      <w:pPr>
        <w:ind w:left="1429" w:hanging="360"/>
      </w:pPr>
      <w:rPr>
        <w:rFonts w:hint="default"/>
      </w:rPr>
    </w:lvl>
    <w:lvl w:ilvl="1" w:tplc="FFFFFFFF" w:tentative="1">
      <w:start w:val="1"/>
      <w:numFmt w:val="lowerLetter"/>
      <w:lvlText w:val="%2."/>
      <w:lvlJc w:val="left"/>
      <w:pPr>
        <w:ind w:left="2149" w:hanging="360"/>
      </w:pPr>
    </w:lvl>
    <w:lvl w:ilvl="2" w:tplc="FFFFFFFF" w:tentative="1">
      <w:start w:val="1"/>
      <w:numFmt w:val="lowerRoman"/>
      <w:lvlText w:val="%3."/>
      <w:lvlJc w:val="right"/>
      <w:pPr>
        <w:ind w:left="2869" w:hanging="180"/>
      </w:pPr>
    </w:lvl>
    <w:lvl w:ilvl="3" w:tplc="FFFFFFFF" w:tentative="1">
      <w:start w:val="1"/>
      <w:numFmt w:val="decimal"/>
      <w:lvlText w:val="%4."/>
      <w:lvlJc w:val="left"/>
      <w:pPr>
        <w:ind w:left="3589" w:hanging="360"/>
      </w:pPr>
    </w:lvl>
    <w:lvl w:ilvl="4" w:tplc="FFFFFFFF" w:tentative="1">
      <w:start w:val="1"/>
      <w:numFmt w:val="lowerLetter"/>
      <w:lvlText w:val="%5."/>
      <w:lvlJc w:val="left"/>
      <w:pPr>
        <w:ind w:left="4309" w:hanging="360"/>
      </w:pPr>
    </w:lvl>
    <w:lvl w:ilvl="5" w:tplc="FFFFFFFF" w:tentative="1">
      <w:start w:val="1"/>
      <w:numFmt w:val="lowerRoman"/>
      <w:lvlText w:val="%6."/>
      <w:lvlJc w:val="right"/>
      <w:pPr>
        <w:ind w:left="5029" w:hanging="180"/>
      </w:pPr>
    </w:lvl>
    <w:lvl w:ilvl="6" w:tplc="FFFFFFFF" w:tentative="1">
      <w:start w:val="1"/>
      <w:numFmt w:val="decimal"/>
      <w:lvlText w:val="%7."/>
      <w:lvlJc w:val="left"/>
      <w:pPr>
        <w:ind w:left="5749" w:hanging="360"/>
      </w:pPr>
    </w:lvl>
    <w:lvl w:ilvl="7" w:tplc="FFFFFFFF" w:tentative="1">
      <w:start w:val="1"/>
      <w:numFmt w:val="lowerLetter"/>
      <w:lvlText w:val="%8."/>
      <w:lvlJc w:val="left"/>
      <w:pPr>
        <w:ind w:left="6469" w:hanging="360"/>
      </w:pPr>
    </w:lvl>
    <w:lvl w:ilvl="8" w:tplc="FFFFFFFF" w:tentative="1">
      <w:start w:val="1"/>
      <w:numFmt w:val="lowerRoman"/>
      <w:lvlText w:val="%9."/>
      <w:lvlJc w:val="right"/>
      <w:pPr>
        <w:ind w:left="7189" w:hanging="180"/>
      </w:pPr>
    </w:lvl>
  </w:abstractNum>
  <w:abstractNum w:abstractNumId="10" w15:restartNumberingAfterBreak="0">
    <w:nsid w:val="09B22B7E"/>
    <w:multiLevelType w:val="hybridMultilevel"/>
    <w:tmpl w:val="5E1A78D2"/>
    <w:lvl w:ilvl="0" w:tplc="C4A22E78">
      <w:start w:val="1"/>
      <w:numFmt w:val="decimal"/>
      <w:lvlText w:val=".%1"/>
      <w:lvlJc w:val="left"/>
      <w:pPr>
        <w:ind w:left="1429" w:hanging="360"/>
      </w:pPr>
      <w:rPr>
        <w:rFonts w:hint="default"/>
      </w:rPr>
    </w:lvl>
    <w:lvl w:ilvl="1" w:tplc="04050019" w:tentative="1">
      <w:start w:val="1"/>
      <w:numFmt w:val="lowerLetter"/>
      <w:lvlText w:val="%2."/>
      <w:lvlJc w:val="left"/>
      <w:pPr>
        <w:ind w:left="2149" w:hanging="360"/>
      </w:pPr>
    </w:lvl>
    <w:lvl w:ilvl="2" w:tplc="0405001B" w:tentative="1">
      <w:start w:val="1"/>
      <w:numFmt w:val="lowerRoman"/>
      <w:lvlText w:val="%3."/>
      <w:lvlJc w:val="right"/>
      <w:pPr>
        <w:ind w:left="2869" w:hanging="180"/>
      </w:pPr>
    </w:lvl>
    <w:lvl w:ilvl="3" w:tplc="0405000F" w:tentative="1">
      <w:start w:val="1"/>
      <w:numFmt w:val="decimal"/>
      <w:lvlText w:val="%4."/>
      <w:lvlJc w:val="left"/>
      <w:pPr>
        <w:ind w:left="3589" w:hanging="360"/>
      </w:pPr>
    </w:lvl>
    <w:lvl w:ilvl="4" w:tplc="04050019" w:tentative="1">
      <w:start w:val="1"/>
      <w:numFmt w:val="lowerLetter"/>
      <w:lvlText w:val="%5."/>
      <w:lvlJc w:val="left"/>
      <w:pPr>
        <w:ind w:left="4309" w:hanging="360"/>
      </w:pPr>
    </w:lvl>
    <w:lvl w:ilvl="5" w:tplc="0405001B" w:tentative="1">
      <w:start w:val="1"/>
      <w:numFmt w:val="lowerRoman"/>
      <w:lvlText w:val="%6."/>
      <w:lvlJc w:val="right"/>
      <w:pPr>
        <w:ind w:left="5029" w:hanging="180"/>
      </w:pPr>
    </w:lvl>
    <w:lvl w:ilvl="6" w:tplc="0405000F" w:tentative="1">
      <w:start w:val="1"/>
      <w:numFmt w:val="decimal"/>
      <w:lvlText w:val="%7."/>
      <w:lvlJc w:val="left"/>
      <w:pPr>
        <w:ind w:left="5749" w:hanging="360"/>
      </w:pPr>
    </w:lvl>
    <w:lvl w:ilvl="7" w:tplc="04050019" w:tentative="1">
      <w:start w:val="1"/>
      <w:numFmt w:val="lowerLetter"/>
      <w:lvlText w:val="%8."/>
      <w:lvlJc w:val="left"/>
      <w:pPr>
        <w:ind w:left="6469" w:hanging="360"/>
      </w:pPr>
    </w:lvl>
    <w:lvl w:ilvl="8" w:tplc="0405001B" w:tentative="1">
      <w:start w:val="1"/>
      <w:numFmt w:val="lowerRoman"/>
      <w:lvlText w:val="%9."/>
      <w:lvlJc w:val="right"/>
      <w:pPr>
        <w:ind w:left="7189" w:hanging="180"/>
      </w:pPr>
    </w:lvl>
  </w:abstractNum>
  <w:abstractNum w:abstractNumId="11" w15:restartNumberingAfterBreak="0">
    <w:nsid w:val="0E5501FF"/>
    <w:multiLevelType w:val="hybridMultilevel"/>
    <w:tmpl w:val="EAE85E54"/>
    <w:lvl w:ilvl="0" w:tplc="FFFFFFFF">
      <w:start w:val="1"/>
      <w:numFmt w:val="decimal"/>
      <w:lvlText w:val=".%1"/>
      <w:lvlJc w:val="left"/>
      <w:pPr>
        <w:ind w:left="1429" w:hanging="360"/>
      </w:pPr>
      <w:rPr>
        <w:rFonts w:hint="default"/>
      </w:rPr>
    </w:lvl>
    <w:lvl w:ilvl="1" w:tplc="FFFFFFFF" w:tentative="1">
      <w:start w:val="1"/>
      <w:numFmt w:val="lowerLetter"/>
      <w:lvlText w:val="%2."/>
      <w:lvlJc w:val="left"/>
      <w:pPr>
        <w:ind w:left="2149" w:hanging="360"/>
      </w:pPr>
    </w:lvl>
    <w:lvl w:ilvl="2" w:tplc="FFFFFFFF" w:tentative="1">
      <w:start w:val="1"/>
      <w:numFmt w:val="lowerRoman"/>
      <w:lvlText w:val="%3."/>
      <w:lvlJc w:val="right"/>
      <w:pPr>
        <w:ind w:left="2869" w:hanging="180"/>
      </w:pPr>
    </w:lvl>
    <w:lvl w:ilvl="3" w:tplc="FFFFFFFF" w:tentative="1">
      <w:start w:val="1"/>
      <w:numFmt w:val="decimal"/>
      <w:lvlText w:val="%4."/>
      <w:lvlJc w:val="left"/>
      <w:pPr>
        <w:ind w:left="3589" w:hanging="360"/>
      </w:pPr>
    </w:lvl>
    <w:lvl w:ilvl="4" w:tplc="FFFFFFFF" w:tentative="1">
      <w:start w:val="1"/>
      <w:numFmt w:val="lowerLetter"/>
      <w:lvlText w:val="%5."/>
      <w:lvlJc w:val="left"/>
      <w:pPr>
        <w:ind w:left="4309" w:hanging="360"/>
      </w:pPr>
    </w:lvl>
    <w:lvl w:ilvl="5" w:tplc="FFFFFFFF" w:tentative="1">
      <w:start w:val="1"/>
      <w:numFmt w:val="lowerRoman"/>
      <w:lvlText w:val="%6."/>
      <w:lvlJc w:val="right"/>
      <w:pPr>
        <w:ind w:left="5029" w:hanging="180"/>
      </w:pPr>
    </w:lvl>
    <w:lvl w:ilvl="6" w:tplc="FFFFFFFF" w:tentative="1">
      <w:start w:val="1"/>
      <w:numFmt w:val="decimal"/>
      <w:lvlText w:val="%7."/>
      <w:lvlJc w:val="left"/>
      <w:pPr>
        <w:ind w:left="5749" w:hanging="360"/>
      </w:pPr>
    </w:lvl>
    <w:lvl w:ilvl="7" w:tplc="FFFFFFFF" w:tentative="1">
      <w:start w:val="1"/>
      <w:numFmt w:val="lowerLetter"/>
      <w:lvlText w:val="%8."/>
      <w:lvlJc w:val="left"/>
      <w:pPr>
        <w:ind w:left="6469" w:hanging="360"/>
      </w:pPr>
    </w:lvl>
    <w:lvl w:ilvl="8" w:tplc="FFFFFFFF" w:tentative="1">
      <w:start w:val="1"/>
      <w:numFmt w:val="lowerRoman"/>
      <w:lvlText w:val="%9."/>
      <w:lvlJc w:val="right"/>
      <w:pPr>
        <w:ind w:left="7189" w:hanging="180"/>
      </w:pPr>
    </w:lvl>
  </w:abstractNum>
  <w:abstractNum w:abstractNumId="12" w15:restartNumberingAfterBreak="0">
    <w:nsid w:val="0F7D6FB1"/>
    <w:multiLevelType w:val="hybridMultilevel"/>
    <w:tmpl w:val="4AF891B2"/>
    <w:lvl w:ilvl="0" w:tplc="C4A22E78">
      <w:start w:val="1"/>
      <w:numFmt w:val="decimal"/>
      <w:lvlText w:val=".%1"/>
      <w:lvlJc w:val="left"/>
      <w:pPr>
        <w:ind w:left="1429" w:hanging="360"/>
      </w:pPr>
      <w:rPr>
        <w:rFonts w:hint="default"/>
      </w:rPr>
    </w:lvl>
    <w:lvl w:ilvl="1" w:tplc="04050019" w:tentative="1">
      <w:start w:val="1"/>
      <w:numFmt w:val="lowerLetter"/>
      <w:lvlText w:val="%2."/>
      <w:lvlJc w:val="left"/>
      <w:pPr>
        <w:ind w:left="2149" w:hanging="360"/>
      </w:pPr>
    </w:lvl>
    <w:lvl w:ilvl="2" w:tplc="0405001B" w:tentative="1">
      <w:start w:val="1"/>
      <w:numFmt w:val="lowerRoman"/>
      <w:lvlText w:val="%3."/>
      <w:lvlJc w:val="right"/>
      <w:pPr>
        <w:ind w:left="2869" w:hanging="180"/>
      </w:pPr>
    </w:lvl>
    <w:lvl w:ilvl="3" w:tplc="0405000F" w:tentative="1">
      <w:start w:val="1"/>
      <w:numFmt w:val="decimal"/>
      <w:lvlText w:val="%4."/>
      <w:lvlJc w:val="left"/>
      <w:pPr>
        <w:ind w:left="3589" w:hanging="360"/>
      </w:pPr>
    </w:lvl>
    <w:lvl w:ilvl="4" w:tplc="04050019" w:tentative="1">
      <w:start w:val="1"/>
      <w:numFmt w:val="lowerLetter"/>
      <w:lvlText w:val="%5."/>
      <w:lvlJc w:val="left"/>
      <w:pPr>
        <w:ind w:left="4309" w:hanging="360"/>
      </w:pPr>
    </w:lvl>
    <w:lvl w:ilvl="5" w:tplc="0405001B" w:tentative="1">
      <w:start w:val="1"/>
      <w:numFmt w:val="lowerRoman"/>
      <w:lvlText w:val="%6."/>
      <w:lvlJc w:val="right"/>
      <w:pPr>
        <w:ind w:left="5029" w:hanging="180"/>
      </w:pPr>
    </w:lvl>
    <w:lvl w:ilvl="6" w:tplc="0405000F" w:tentative="1">
      <w:start w:val="1"/>
      <w:numFmt w:val="decimal"/>
      <w:lvlText w:val="%7."/>
      <w:lvlJc w:val="left"/>
      <w:pPr>
        <w:ind w:left="5749" w:hanging="360"/>
      </w:pPr>
    </w:lvl>
    <w:lvl w:ilvl="7" w:tplc="04050019" w:tentative="1">
      <w:start w:val="1"/>
      <w:numFmt w:val="lowerLetter"/>
      <w:lvlText w:val="%8."/>
      <w:lvlJc w:val="left"/>
      <w:pPr>
        <w:ind w:left="6469" w:hanging="360"/>
      </w:pPr>
    </w:lvl>
    <w:lvl w:ilvl="8" w:tplc="0405001B" w:tentative="1">
      <w:start w:val="1"/>
      <w:numFmt w:val="lowerRoman"/>
      <w:lvlText w:val="%9."/>
      <w:lvlJc w:val="right"/>
      <w:pPr>
        <w:ind w:left="7189" w:hanging="180"/>
      </w:pPr>
    </w:lvl>
  </w:abstractNum>
  <w:abstractNum w:abstractNumId="13" w15:restartNumberingAfterBreak="0">
    <w:nsid w:val="0FFC6C30"/>
    <w:multiLevelType w:val="hybridMultilevel"/>
    <w:tmpl w:val="871E0B30"/>
    <w:lvl w:ilvl="0" w:tplc="C4A22E78">
      <w:start w:val="1"/>
      <w:numFmt w:val="decimal"/>
      <w:lvlText w:val=".%1"/>
      <w:lvlJc w:val="left"/>
      <w:pPr>
        <w:ind w:left="1429" w:hanging="360"/>
      </w:pPr>
      <w:rPr>
        <w:rFonts w:hint="default"/>
      </w:rPr>
    </w:lvl>
    <w:lvl w:ilvl="1" w:tplc="04050019" w:tentative="1">
      <w:start w:val="1"/>
      <w:numFmt w:val="lowerLetter"/>
      <w:lvlText w:val="%2."/>
      <w:lvlJc w:val="left"/>
      <w:pPr>
        <w:ind w:left="2149" w:hanging="360"/>
      </w:pPr>
    </w:lvl>
    <w:lvl w:ilvl="2" w:tplc="0405001B" w:tentative="1">
      <w:start w:val="1"/>
      <w:numFmt w:val="lowerRoman"/>
      <w:lvlText w:val="%3."/>
      <w:lvlJc w:val="right"/>
      <w:pPr>
        <w:ind w:left="2869" w:hanging="180"/>
      </w:pPr>
    </w:lvl>
    <w:lvl w:ilvl="3" w:tplc="0405000F" w:tentative="1">
      <w:start w:val="1"/>
      <w:numFmt w:val="decimal"/>
      <w:lvlText w:val="%4."/>
      <w:lvlJc w:val="left"/>
      <w:pPr>
        <w:ind w:left="3589" w:hanging="360"/>
      </w:pPr>
    </w:lvl>
    <w:lvl w:ilvl="4" w:tplc="04050019" w:tentative="1">
      <w:start w:val="1"/>
      <w:numFmt w:val="lowerLetter"/>
      <w:lvlText w:val="%5."/>
      <w:lvlJc w:val="left"/>
      <w:pPr>
        <w:ind w:left="4309" w:hanging="360"/>
      </w:pPr>
    </w:lvl>
    <w:lvl w:ilvl="5" w:tplc="0405001B" w:tentative="1">
      <w:start w:val="1"/>
      <w:numFmt w:val="lowerRoman"/>
      <w:lvlText w:val="%6."/>
      <w:lvlJc w:val="right"/>
      <w:pPr>
        <w:ind w:left="5029" w:hanging="180"/>
      </w:pPr>
    </w:lvl>
    <w:lvl w:ilvl="6" w:tplc="0405000F" w:tentative="1">
      <w:start w:val="1"/>
      <w:numFmt w:val="decimal"/>
      <w:lvlText w:val="%7."/>
      <w:lvlJc w:val="left"/>
      <w:pPr>
        <w:ind w:left="5749" w:hanging="360"/>
      </w:pPr>
    </w:lvl>
    <w:lvl w:ilvl="7" w:tplc="04050019" w:tentative="1">
      <w:start w:val="1"/>
      <w:numFmt w:val="lowerLetter"/>
      <w:lvlText w:val="%8."/>
      <w:lvlJc w:val="left"/>
      <w:pPr>
        <w:ind w:left="6469" w:hanging="360"/>
      </w:pPr>
    </w:lvl>
    <w:lvl w:ilvl="8" w:tplc="0405001B" w:tentative="1">
      <w:start w:val="1"/>
      <w:numFmt w:val="lowerRoman"/>
      <w:lvlText w:val="%9."/>
      <w:lvlJc w:val="right"/>
      <w:pPr>
        <w:ind w:left="7189" w:hanging="180"/>
      </w:pPr>
    </w:lvl>
  </w:abstractNum>
  <w:abstractNum w:abstractNumId="14" w15:restartNumberingAfterBreak="0">
    <w:nsid w:val="1021006C"/>
    <w:multiLevelType w:val="hybridMultilevel"/>
    <w:tmpl w:val="A16089C0"/>
    <w:lvl w:ilvl="0" w:tplc="04050001">
      <w:start w:val="1"/>
      <w:numFmt w:val="bullet"/>
      <w:lvlText w:val=""/>
      <w:lvlJc w:val="left"/>
      <w:pPr>
        <w:ind w:left="1429" w:hanging="360"/>
      </w:pPr>
      <w:rPr>
        <w:rFonts w:ascii="Symbol" w:hAnsi="Symbol" w:hint="default"/>
      </w:rPr>
    </w:lvl>
    <w:lvl w:ilvl="1" w:tplc="04050003" w:tentative="1">
      <w:start w:val="1"/>
      <w:numFmt w:val="bullet"/>
      <w:lvlText w:val="o"/>
      <w:lvlJc w:val="left"/>
      <w:pPr>
        <w:ind w:left="2149" w:hanging="360"/>
      </w:pPr>
      <w:rPr>
        <w:rFonts w:ascii="Courier New" w:hAnsi="Courier New" w:cs="Courier New" w:hint="default"/>
      </w:rPr>
    </w:lvl>
    <w:lvl w:ilvl="2" w:tplc="04050005" w:tentative="1">
      <w:start w:val="1"/>
      <w:numFmt w:val="bullet"/>
      <w:lvlText w:val=""/>
      <w:lvlJc w:val="left"/>
      <w:pPr>
        <w:ind w:left="2869" w:hanging="360"/>
      </w:pPr>
      <w:rPr>
        <w:rFonts w:ascii="Wingdings" w:hAnsi="Wingdings" w:hint="default"/>
      </w:rPr>
    </w:lvl>
    <w:lvl w:ilvl="3" w:tplc="04050001" w:tentative="1">
      <w:start w:val="1"/>
      <w:numFmt w:val="bullet"/>
      <w:lvlText w:val=""/>
      <w:lvlJc w:val="left"/>
      <w:pPr>
        <w:ind w:left="3589" w:hanging="360"/>
      </w:pPr>
      <w:rPr>
        <w:rFonts w:ascii="Symbol" w:hAnsi="Symbol" w:hint="default"/>
      </w:rPr>
    </w:lvl>
    <w:lvl w:ilvl="4" w:tplc="04050003" w:tentative="1">
      <w:start w:val="1"/>
      <w:numFmt w:val="bullet"/>
      <w:lvlText w:val="o"/>
      <w:lvlJc w:val="left"/>
      <w:pPr>
        <w:ind w:left="4309" w:hanging="360"/>
      </w:pPr>
      <w:rPr>
        <w:rFonts w:ascii="Courier New" w:hAnsi="Courier New" w:cs="Courier New" w:hint="default"/>
      </w:rPr>
    </w:lvl>
    <w:lvl w:ilvl="5" w:tplc="04050005" w:tentative="1">
      <w:start w:val="1"/>
      <w:numFmt w:val="bullet"/>
      <w:lvlText w:val=""/>
      <w:lvlJc w:val="left"/>
      <w:pPr>
        <w:ind w:left="5029" w:hanging="360"/>
      </w:pPr>
      <w:rPr>
        <w:rFonts w:ascii="Wingdings" w:hAnsi="Wingdings" w:hint="default"/>
      </w:rPr>
    </w:lvl>
    <w:lvl w:ilvl="6" w:tplc="04050001" w:tentative="1">
      <w:start w:val="1"/>
      <w:numFmt w:val="bullet"/>
      <w:lvlText w:val=""/>
      <w:lvlJc w:val="left"/>
      <w:pPr>
        <w:ind w:left="5749" w:hanging="360"/>
      </w:pPr>
      <w:rPr>
        <w:rFonts w:ascii="Symbol" w:hAnsi="Symbol" w:hint="default"/>
      </w:rPr>
    </w:lvl>
    <w:lvl w:ilvl="7" w:tplc="04050003" w:tentative="1">
      <w:start w:val="1"/>
      <w:numFmt w:val="bullet"/>
      <w:lvlText w:val="o"/>
      <w:lvlJc w:val="left"/>
      <w:pPr>
        <w:ind w:left="6469" w:hanging="360"/>
      </w:pPr>
      <w:rPr>
        <w:rFonts w:ascii="Courier New" w:hAnsi="Courier New" w:cs="Courier New" w:hint="default"/>
      </w:rPr>
    </w:lvl>
    <w:lvl w:ilvl="8" w:tplc="04050005" w:tentative="1">
      <w:start w:val="1"/>
      <w:numFmt w:val="bullet"/>
      <w:lvlText w:val=""/>
      <w:lvlJc w:val="left"/>
      <w:pPr>
        <w:ind w:left="7189" w:hanging="360"/>
      </w:pPr>
      <w:rPr>
        <w:rFonts w:ascii="Wingdings" w:hAnsi="Wingdings" w:hint="default"/>
      </w:rPr>
    </w:lvl>
  </w:abstractNum>
  <w:abstractNum w:abstractNumId="15" w15:restartNumberingAfterBreak="0">
    <w:nsid w:val="10BB7DAC"/>
    <w:multiLevelType w:val="hybridMultilevel"/>
    <w:tmpl w:val="E8B4F9CC"/>
    <w:lvl w:ilvl="0" w:tplc="04050001">
      <w:start w:val="1"/>
      <w:numFmt w:val="bullet"/>
      <w:lvlText w:val=""/>
      <w:lvlJc w:val="left"/>
      <w:pPr>
        <w:ind w:left="1429" w:hanging="360"/>
      </w:pPr>
      <w:rPr>
        <w:rFonts w:ascii="Symbol" w:hAnsi="Symbol" w:hint="default"/>
      </w:rPr>
    </w:lvl>
    <w:lvl w:ilvl="1" w:tplc="04050003" w:tentative="1">
      <w:start w:val="1"/>
      <w:numFmt w:val="bullet"/>
      <w:lvlText w:val="o"/>
      <w:lvlJc w:val="left"/>
      <w:pPr>
        <w:ind w:left="2149" w:hanging="360"/>
      </w:pPr>
      <w:rPr>
        <w:rFonts w:ascii="Courier New" w:hAnsi="Courier New" w:cs="Courier New" w:hint="default"/>
      </w:rPr>
    </w:lvl>
    <w:lvl w:ilvl="2" w:tplc="04050005" w:tentative="1">
      <w:start w:val="1"/>
      <w:numFmt w:val="bullet"/>
      <w:lvlText w:val=""/>
      <w:lvlJc w:val="left"/>
      <w:pPr>
        <w:ind w:left="2869" w:hanging="360"/>
      </w:pPr>
      <w:rPr>
        <w:rFonts w:ascii="Wingdings" w:hAnsi="Wingdings" w:hint="default"/>
      </w:rPr>
    </w:lvl>
    <w:lvl w:ilvl="3" w:tplc="04050001" w:tentative="1">
      <w:start w:val="1"/>
      <w:numFmt w:val="bullet"/>
      <w:lvlText w:val=""/>
      <w:lvlJc w:val="left"/>
      <w:pPr>
        <w:ind w:left="3589" w:hanging="360"/>
      </w:pPr>
      <w:rPr>
        <w:rFonts w:ascii="Symbol" w:hAnsi="Symbol" w:hint="default"/>
      </w:rPr>
    </w:lvl>
    <w:lvl w:ilvl="4" w:tplc="04050003" w:tentative="1">
      <w:start w:val="1"/>
      <w:numFmt w:val="bullet"/>
      <w:lvlText w:val="o"/>
      <w:lvlJc w:val="left"/>
      <w:pPr>
        <w:ind w:left="4309" w:hanging="360"/>
      </w:pPr>
      <w:rPr>
        <w:rFonts w:ascii="Courier New" w:hAnsi="Courier New" w:cs="Courier New" w:hint="default"/>
      </w:rPr>
    </w:lvl>
    <w:lvl w:ilvl="5" w:tplc="04050005" w:tentative="1">
      <w:start w:val="1"/>
      <w:numFmt w:val="bullet"/>
      <w:lvlText w:val=""/>
      <w:lvlJc w:val="left"/>
      <w:pPr>
        <w:ind w:left="5029" w:hanging="360"/>
      </w:pPr>
      <w:rPr>
        <w:rFonts w:ascii="Wingdings" w:hAnsi="Wingdings" w:hint="default"/>
      </w:rPr>
    </w:lvl>
    <w:lvl w:ilvl="6" w:tplc="04050001" w:tentative="1">
      <w:start w:val="1"/>
      <w:numFmt w:val="bullet"/>
      <w:lvlText w:val=""/>
      <w:lvlJc w:val="left"/>
      <w:pPr>
        <w:ind w:left="5749" w:hanging="360"/>
      </w:pPr>
      <w:rPr>
        <w:rFonts w:ascii="Symbol" w:hAnsi="Symbol" w:hint="default"/>
      </w:rPr>
    </w:lvl>
    <w:lvl w:ilvl="7" w:tplc="04050003" w:tentative="1">
      <w:start w:val="1"/>
      <w:numFmt w:val="bullet"/>
      <w:lvlText w:val="o"/>
      <w:lvlJc w:val="left"/>
      <w:pPr>
        <w:ind w:left="6469" w:hanging="360"/>
      </w:pPr>
      <w:rPr>
        <w:rFonts w:ascii="Courier New" w:hAnsi="Courier New" w:cs="Courier New" w:hint="default"/>
      </w:rPr>
    </w:lvl>
    <w:lvl w:ilvl="8" w:tplc="04050005" w:tentative="1">
      <w:start w:val="1"/>
      <w:numFmt w:val="bullet"/>
      <w:lvlText w:val=""/>
      <w:lvlJc w:val="left"/>
      <w:pPr>
        <w:ind w:left="7189" w:hanging="360"/>
      </w:pPr>
      <w:rPr>
        <w:rFonts w:ascii="Wingdings" w:hAnsi="Wingdings" w:hint="default"/>
      </w:rPr>
    </w:lvl>
  </w:abstractNum>
  <w:abstractNum w:abstractNumId="16" w15:restartNumberingAfterBreak="0">
    <w:nsid w:val="12090979"/>
    <w:multiLevelType w:val="hybridMultilevel"/>
    <w:tmpl w:val="40CC1D9C"/>
    <w:lvl w:ilvl="0" w:tplc="C4A22E78">
      <w:start w:val="1"/>
      <w:numFmt w:val="decimal"/>
      <w:lvlText w:val=".%1"/>
      <w:lvlJc w:val="left"/>
      <w:pPr>
        <w:ind w:left="1429" w:hanging="360"/>
      </w:pPr>
      <w:rPr>
        <w:rFonts w:hint="default"/>
      </w:rPr>
    </w:lvl>
    <w:lvl w:ilvl="1" w:tplc="04050019" w:tentative="1">
      <w:start w:val="1"/>
      <w:numFmt w:val="lowerLetter"/>
      <w:lvlText w:val="%2."/>
      <w:lvlJc w:val="left"/>
      <w:pPr>
        <w:ind w:left="2149" w:hanging="360"/>
      </w:pPr>
    </w:lvl>
    <w:lvl w:ilvl="2" w:tplc="0405001B" w:tentative="1">
      <w:start w:val="1"/>
      <w:numFmt w:val="lowerRoman"/>
      <w:lvlText w:val="%3."/>
      <w:lvlJc w:val="right"/>
      <w:pPr>
        <w:ind w:left="2869" w:hanging="180"/>
      </w:pPr>
    </w:lvl>
    <w:lvl w:ilvl="3" w:tplc="0405000F" w:tentative="1">
      <w:start w:val="1"/>
      <w:numFmt w:val="decimal"/>
      <w:lvlText w:val="%4."/>
      <w:lvlJc w:val="left"/>
      <w:pPr>
        <w:ind w:left="3589" w:hanging="360"/>
      </w:pPr>
    </w:lvl>
    <w:lvl w:ilvl="4" w:tplc="04050019" w:tentative="1">
      <w:start w:val="1"/>
      <w:numFmt w:val="lowerLetter"/>
      <w:lvlText w:val="%5."/>
      <w:lvlJc w:val="left"/>
      <w:pPr>
        <w:ind w:left="4309" w:hanging="360"/>
      </w:pPr>
    </w:lvl>
    <w:lvl w:ilvl="5" w:tplc="0405001B" w:tentative="1">
      <w:start w:val="1"/>
      <w:numFmt w:val="lowerRoman"/>
      <w:lvlText w:val="%6."/>
      <w:lvlJc w:val="right"/>
      <w:pPr>
        <w:ind w:left="5029" w:hanging="180"/>
      </w:pPr>
    </w:lvl>
    <w:lvl w:ilvl="6" w:tplc="0405000F" w:tentative="1">
      <w:start w:val="1"/>
      <w:numFmt w:val="decimal"/>
      <w:lvlText w:val="%7."/>
      <w:lvlJc w:val="left"/>
      <w:pPr>
        <w:ind w:left="5749" w:hanging="360"/>
      </w:pPr>
    </w:lvl>
    <w:lvl w:ilvl="7" w:tplc="04050019" w:tentative="1">
      <w:start w:val="1"/>
      <w:numFmt w:val="lowerLetter"/>
      <w:lvlText w:val="%8."/>
      <w:lvlJc w:val="left"/>
      <w:pPr>
        <w:ind w:left="6469" w:hanging="360"/>
      </w:pPr>
    </w:lvl>
    <w:lvl w:ilvl="8" w:tplc="0405001B" w:tentative="1">
      <w:start w:val="1"/>
      <w:numFmt w:val="lowerRoman"/>
      <w:lvlText w:val="%9."/>
      <w:lvlJc w:val="right"/>
      <w:pPr>
        <w:ind w:left="7189" w:hanging="180"/>
      </w:pPr>
    </w:lvl>
  </w:abstractNum>
  <w:abstractNum w:abstractNumId="17" w15:restartNumberingAfterBreak="0">
    <w:nsid w:val="12BD0519"/>
    <w:multiLevelType w:val="hybridMultilevel"/>
    <w:tmpl w:val="791817B4"/>
    <w:lvl w:ilvl="0" w:tplc="04050001">
      <w:start w:val="1"/>
      <w:numFmt w:val="bullet"/>
      <w:lvlText w:val=""/>
      <w:lvlJc w:val="left"/>
      <w:pPr>
        <w:ind w:left="1429" w:hanging="360"/>
      </w:pPr>
      <w:rPr>
        <w:rFonts w:ascii="Symbol" w:hAnsi="Symbol" w:hint="default"/>
      </w:rPr>
    </w:lvl>
    <w:lvl w:ilvl="1" w:tplc="04050003" w:tentative="1">
      <w:start w:val="1"/>
      <w:numFmt w:val="bullet"/>
      <w:lvlText w:val="o"/>
      <w:lvlJc w:val="left"/>
      <w:pPr>
        <w:ind w:left="2149" w:hanging="360"/>
      </w:pPr>
      <w:rPr>
        <w:rFonts w:ascii="Courier New" w:hAnsi="Courier New" w:cs="Courier New" w:hint="default"/>
      </w:rPr>
    </w:lvl>
    <w:lvl w:ilvl="2" w:tplc="04050005" w:tentative="1">
      <w:start w:val="1"/>
      <w:numFmt w:val="bullet"/>
      <w:lvlText w:val=""/>
      <w:lvlJc w:val="left"/>
      <w:pPr>
        <w:ind w:left="2869" w:hanging="360"/>
      </w:pPr>
      <w:rPr>
        <w:rFonts w:ascii="Wingdings" w:hAnsi="Wingdings" w:hint="default"/>
      </w:rPr>
    </w:lvl>
    <w:lvl w:ilvl="3" w:tplc="04050001" w:tentative="1">
      <w:start w:val="1"/>
      <w:numFmt w:val="bullet"/>
      <w:lvlText w:val=""/>
      <w:lvlJc w:val="left"/>
      <w:pPr>
        <w:ind w:left="3589" w:hanging="360"/>
      </w:pPr>
      <w:rPr>
        <w:rFonts w:ascii="Symbol" w:hAnsi="Symbol" w:hint="default"/>
      </w:rPr>
    </w:lvl>
    <w:lvl w:ilvl="4" w:tplc="04050003" w:tentative="1">
      <w:start w:val="1"/>
      <w:numFmt w:val="bullet"/>
      <w:lvlText w:val="o"/>
      <w:lvlJc w:val="left"/>
      <w:pPr>
        <w:ind w:left="4309" w:hanging="360"/>
      </w:pPr>
      <w:rPr>
        <w:rFonts w:ascii="Courier New" w:hAnsi="Courier New" w:cs="Courier New" w:hint="default"/>
      </w:rPr>
    </w:lvl>
    <w:lvl w:ilvl="5" w:tplc="04050005" w:tentative="1">
      <w:start w:val="1"/>
      <w:numFmt w:val="bullet"/>
      <w:lvlText w:val=""/>
      <w:lvlJc w:val="left"/>
      <w:pPr>
        <w:ind w:left="5029" w:hanging="360"/>
      </w:pPr>
      <w:rPr>
        <w:rFonts w:ascii="Wingdings" w:hAnsi="Wingdings" w:hint="default"/>
      </w:rPr>
    </w:lvl>
    <w:lvl w:ilvl="6" w:tplc="04050001" w:tentative="1">
      <w:start w:val="1"/>
      <w:numFmt w:val="bullet"/>
      <w:lvlText w:val=""/>
      <w:lvlJc w:val="left"/>
      <w:pPr>
        <w:ind w:left="5749" w:hanging="360"/>
      </w:pPr>
      <w:rPr>
        <w:rFonts w:ascii="Symbol" w:hAnsi="Symbol" w:hint="default"/>
      </w:rPr>
    </w:lvl>
    <w:lvl w:ilvl="7" w:tplc="04050003" w:tentative="1">
      <w:start w:val="1"/>
      <w:numFmt w:val="bullet"/>
      <w:lvlText w:val="o"/>
      <w:lvlJc w:val="left"/>
      <w:pPr>
        <w:ind w:left="6469" w:hanging="360"/>
      </w:pPr>
      <w:rPr>
        <w:rFonts w:ascii="Courier New" w:hAnsi="Courier New" w:cs="Courier New" w:hint="default"/>
      </w:rPr>
    </w:lvl>
    <w:lvl w:ilvl="8" w:tplc="04050005" w:tentative="1">
      <w:start w:val="1"/>
      <w:numFmt w:val="bullet"/>
      <w:lvlText w:val=""/>
      <w:lvlJc w:val="left"/>
      <w:pPr>
        <w:ind w:left="7189" w:hanging="360"/>
      </w:pPr>
      <w:rPr>
        <w:rFonts w:ascii="Wingdings" w:hAnsi="Wingdings" w:hint="default"/>
      </w:rPr>
    </w:lvl>
  </w:abstractNum>
  <w:abstractNum w:abstractNumId="18" w15:restartNumberingAfterBreak="0">
    <w:nsid w:val="13B417BB"/>
    <w:multiLevelType w:val="hybridMultilevel"/>
    <w:tmpl w:val="18C6AFDE"/>
    <w:lvl w:ilvl="0" w:tplc="FFFFFFFF">
      <w:start w:val="1"/>
      <w:numFmt w:val="decimal"/>
      <w:lvlText w:val=".%1"/>
      <w:lvlJc w:val="left"/>
      <w:pPr>
        <w:ind w:left="1429" w:hanging="360"/>
      </w:pPr>
      <w:rPr>
        <w:rFonts w:hint="default"/>
      </w:rPr>
    </w:lvl>
    <w:lvl w:ilvl="1" w:tplc="FFFFFFFF" w:tentative="1">
      <w:start w:val="1"/>
      <w:numFmt w:val="lowerLetter"/>
      <w:lvlText w:val="%2."/>
      <w:lvlJc w:val="left"/>
      <w:pPr>
        <w:ind w:left="2149" w:hanging="360"/>
      </w:pPr>
    </w:lvl>
    <w:lvl w:ilvl="2" w:tplc="FFFFFFFF" w:tentative="1">
      <w:start w:val="1"/>
      <w:numFmt w:val="lowerRoman"/>
      <w:lvlText w:val="%3."/>
      <w:lvlJc w:val="right"/>
      <w:pPr>
        <w:ind w:left="2869" w:hanging="180"/>
      </w:pPr>
    </w:lvl>
    <w:lvl w:ilvl="3" w:tplc="FFFFFFFF" w:tentative="1">
      <w:start w:val="1"/>
      <w:numFmt w:val="decimal"/>
      <w:lvlText w:val="%4."/>
      <w:lvlJc w:val="left"/>
      <w:pPr>
        <w:ind w:left="3589" w:hanging="360"/>
      </w:pPr>
    </w:lvl>
    <w:lvl w:ilvl="4" w:tplc="FFFFFFFF" w:tentative="1">
      <w:start w:val="1"/>
      <w:numFmt w:val="lowerLetter"/>
      <w:lvlText w:val="%5."/>
      <w:lvlJc w:val="left"/>
      <w:pPr>
        <w:ind w:left="4309" w:hanging="360"/>
      </w:pPr>
    </w:lvl>
    <w:lvl w:ilvl="5" w:tplc="FFFFFFFF" w:tentative="1">
      <w:start w:val="1"/>
      <w:numFmt w:val="lowerRoman"/>
      <w:lvlText w:val="%6."/>
      <w:lvlJc w:val="right"/>
      <w:pPr>
        <w:ind w:left="5029" w:hanging="180"/>
      </w:pPr>
    </w:lvl>
    <w:lvl w:ilvl="6" w:tplc="FFFFFFFF" w:tentative="1">
      <w:start w:val="1"/>
      <w:numFmt w:val="decimal"/>
      <w:lvlText w:val="%7."/>
      <w:lvlJc w:val="left"/>
      <w:pPr>
        <w:ind w:left="5749" w:hanging="360"/>
      </w:pPr>
    </w:lvl>
    <w:lvl w:ilvl="7" w:tplc="FFFFFFFF" w:tentative="1">
      <w:start w:val="1"/>
      <w:numFmt w:val="lowerLetter"/>
      <w:lvlText w:val="%8."/>
      <w:lvlJc w:val="left"/>
      <w:pPr>
        <w:ind w:left="6469" w:hanging="360"/>
      </w:pPr>
    </w:lvl>
    <w:lvl w:ilvl="8" w:tplc="FFFFFFFF" w:tentative="1">
      <w:start w:val="1"/>
      <w:numFmt w:val="lowerRoman"/>
      <w:lvlText w:val="%9."/>
      <w:lvlJc w:val="right"/>
      <w:pPr>
        <w:ind w:left="7189" w:hanging="180"/>
      </w:pPr>
    </w:lvl>
  </w:abstractNum>
  <w:abstractNum w:abstractNumId="19" w15:restartNumberingAfterBreak="0">
    <w:nsid w:val="13F12EA3"/>
    <w:multiLevelType w:val="hybridMultilevel"/>
    <w:tmpl w:val="54ACCC4C"/>
    <w:lvl w:ilvl="0" w:tplc="23A02244">
      <w:start w:val="1"/>
      <w:numFmt w:val="decimal"/>
      <w:pStyle w:val="Styl4"/>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0" w15:restartNumberingAfterBreak="0">
    <w:nsid w:val="16875C8A"/>
    <w:multiLevelType w:val="hybridMultilevel"/>
    <w:tmpl w:val="E5BE6534"/>
    <w:lvl w:ilvl="0" w:tplc="FFFFFFFF">
      <w:start w:val="1"/>
      <w:numFmt w:val="decimal"/>
      <w:lvlText w:val=".%1"/>
      <w:lvlJc w:val="left"/>
      <w:pPr>
        <w:ind w:left="1429" w:hanging="360"/>
      </w:pPr>
      <w:rPr>
        <w:rFonts w:hint="default"/>
      </w:rPr>
    </w:lvl>
    <w:lvl w:ilvl="1" w:tplc="FFFFFFFF" w:tentative="1">
      <w:start w:val="1"/>
      <w:numFmt w:val="lowerLetter"/>
      <w:lvlText w:val="%2."/>
      <w:lvlJc w:val="left"/>
      <w:pPr>
        <w:ind w:left="2149" w:hanging="360"/>
      </w:pPr>
    </w:lvl>
    <w:lvl w:ilvl="2" w:tplc="FFFFFFFF" w:tentative="1">
      <w:start w:val="1"/>
      <w:numFmt w:val="lowerRoman"/>
      <w:lvlText w:val="%3."/>
      <w:lvlJc w:val="right"/>
      <w:pPr>
        <w:ind w:left="2869" w:hanging="180"/>
      </w:pPr>
    </w:lvl>
    <w:lvl w:ilvl="3" w:tplc="FFFFFFFF" w:tentative="1">
      <w:start w:val="1"/>
      <w:numFmt w:val="decimal"/>
      <w:lvlText w:val="%4."/>
      <w:lvlJc w:val="left"/>
      <w:pPr>
        <w:ind w:left="3589" w:hanging="360"/>
      </w:pPr>
    </w:lvl>
    <w:lvl w:ilvl="4" w:tplc="FFFFFFFF" w:tentative="1">
      <w:start w:val="1"/>
      <w:numFmt w:val="lowerLetter"/>
      <w:lvlText w:val="%5."/>
      <w:lvlJc w:val="left"/>
      <w:pPr>
        <w:ind w:left="4309" w:hanging="360"/>
      </w:pPr>
    </w:lvl>
    <w:lvl w:ilvl="5" w:tplc="FFFFFFFF" w:tentative="1">
      <w:start w:val="1"/>
      <w:numFmt w:val="lowerRoman"/>
      <w:lvlText w:val="%6."/>
      <w:lvlJc w:val="right"/>
      <w:pPr>
        <w:ind w:left="5029" w:hanging="180"/>
      </w:pPr>
    </w:lvl>
    <w:lvl w:ilvl="6" w:tplc="FFFFFFFF" w:tentative="1">
      <w:start w:val="1"/>
      <w:numFmt w:val="decimal"/>
      <w:lvlText w:val="%7."/>
      <w:lvlJc w:val="left"/>
      <w:pPr>
        <w:ind w:left="5749" w:hanging="360"/>
      </w:pPr>
    </w:lvl>
    <w:lvl w:ilvl="7" w:tplc="FFFFFFFF" w:tentative="1">
      <w:start w:val="1"/>
      <w:numFmt w:val="lowerLetter"/>
      <w:lvlText w:val="%8."/>
      <w:lvlJc w:val="left"/>
      <w:pPr>
        <w:ind w:left="6469" w:hanging="360"/>
      </w:pPr>
    </w:lvl>
    <w:lvl w:ilvl="8" w:tplc="FFFFFFFF" w:tentative="1">
      <w:start w:val="1"/>
      <w:numFmt w:val="lowerRoman"/>
      <w:lvlText w:val="%9."/>
      <w:lvlJc w:val="right"/>
      <w:pPr>
        <w:ind w:left="7189" w:hanging="180"/>
      </w:pPr>
    </w:lvl>
  </w:abstractNum>
  <w:abstractNum w:abstractNumId="21" w15:restartNumberingAfterBreak="0">
    <w:nsid w:val="18B4717C"/>
    <w:multiLevelType w:val="hybridMultilevel"/>
    <w:tmpl w:val="5A803294"/>
    <w:lvl w:ilvl="0" w:tplc="C4A22E78">
      <w:start w:val="1"/>
      <w:numFmt w:val="decimal"/>
      <w:lvlText w:val=".%1"/>
      <w:lvlJc w:val="left"/>
      <w:pPr>
        <w:ind w:left="1429" w:hanging="360"/>
      </w:pPr>
      <w:rPr>
        <w:rFonts w:hint="default"/>
      </w:rPr>
    </w:lvl>
    <w:lvl w:ilvl="1" w:tplc="04050019" w:tentative="1">
      <w:start w:val="1"/>
      <w:numFmt w:val="lowerLetter"/>
      <w:lvlText w:val="%2."/>
      <w:lvlJc w:val="left"/>
      <w:pPr>
        <w:ind w:left="2149" w:hanging="360"/>
      </w:pPr>
    </w:lvl>
    <w:lvl w:ilvl="2" w:tplc="0405001B" w:tentative="1">
      <w:start w:val="1"/>
      <w:numFmt w:val="lowerRoman"/>
      <w:lvlText w:val="%3."/>
      <w:lvlJc w:val="right"/>
      <w:pPr>
        <w:ind w:left="2869" w:hanging="180"/>
      </w:pPr>
    </w:lvl>
    <w:lvl w:ilvl="3" w:tplc="0405000F" w:tentative="1">
      <w:start w:val="1"/>
      <w:numFmt w:val="decimal"/>
      <w:lvlText w:val="%4."/>
      <w:lvlJc w:val="left"/>
      <w:pPr>
        <w:ind w:left="3589" w:hanging="360"/>
      </w:pPr>
    </w:lvl>
    <w:lvl w:ilvl="4" w:tplc="04050019" w:tentative="1">
      <w:start w:val="1"/>
      <w:numFmt w:val="lowerLetter"/>
      <w:lvlText w:val="%5."/>
      <w:lvlJc w:val="left"/>
      <w:pPr>
        <w:ind w:left="4309" w:hanging="360"/>
      </w:pPr>
    </w:lvl>
    <w:lvl w:ilvl="5" w:tplc="0405001B" w:tentative="1">
      <w:start w:val="1"/>
      <w:numFmt w:val="lowerRoman"/>
      <w:lvlText w:val="%6."/>
      <w:lvlJc w:val="right"/>
      <w:pPr>
        <w:ind w:left="5029" w:hanging="180"/>
      </w:pPr>
    </w:lvl>
    <w:lvl w:ilvl="6" w:tplc="0405000F" w:tentative="1">
      <w:start w:val="1"/>
      <w:numFmt w:val="decimal"/>
      <w:lvlText w:val="%7."/>
      <w:lvlJc w:val="left"/>
      <w:pPr>
        <w:ind w:left="5749" w:hanging="360"/>
      </w:pPr>
    </w:lvl>
    <w:lvl w:ilvl="7" w:tplc="04050019" w:tentative="1">
      <w:start w:val="1"/>
      <w:numFmt w:val="lowerLetter"/>
      <w:lvlText w:val="%8."/>
      <w:lvlJc w:val="left"/>
      <w:pPr>
        <w:ind w:left="6469" w:hanging="360"/>
      </w:pPr>
    </w:lvl>
    <w:lvl w:ilvl="8" w:tplc="0405001B" w:tentative="1">
      <w:start w:val="1"/>
      <w:numFmt w:val="lowerRoman"/>
      <w:lvlText w:val="%9."/>
      <w:lvlJc w:val="right"/>
      <w:pPr>
        <w:ind w:left="7189" w:hanging="180"/>
      </w:pPr>
    </w:lvl>
  </w:abstractNum>
  <w:abstractNum w:abstractNumId="22" w15:restartNumberingAfterBreak="0">
    <w:nsid w:val="18F51D3D"/>
    <w:multiLevelType w:val="hybridMultilevel"/>
    <w:tmpl w:val="CF7071A2"/>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3" w15:restartNumberingAfterBreak="0">
    <w:nsid w:val="19212BF6"/>
    <w:multiLevelType w:val="hybridMultilevel"/>
    <w:tmpl w:val="CBE6BC26"/>
    <w:lvl w:ilvl="0" w:tplc="FFFFFFFF">
      <w:start w:val="1"/>
      <w:numFmt w:val="decimal"/>
      <w:lvlText w:val=".%1"/>
      <w:lvlJc w:val="left"/>
      <w:pPr>
        <w:ind w:left="1429" w:hanging="360"/>
      </w:pPr>
      <w:rPr>
        <w:rFonts w:hint="default"/>
      </w:rPr>
    </w:lvl>
    <w:lvl w:ilvl="1" w:tplc="FFFFFFFF" w:tentative="1">
      <w:start w:val="1"/>
      <w:numFmt w:val="lowerLetter"/>
      <w:lvlText w:val="%2."/>
      <w:lvlJc w:val="left"/>
      <w:pPr>
        <w:ind w:left="2149" w:hanging="360"/>
      </w:pPr>
    </w:lvl>
    <w:lvl w:ilvl="2" w:tplc="FFFFFFFF" w:tentative="1">
      <w:start w:val="1"/>
      <w:numFmt w:val="lowerRoman"/>
      <w:lvlText w:val="%3."/>
      <w:lvlJc w:val="right"/>
      <w:pPr>
        <w:ind w:left="2869" w:hanging="180"/>
      </w:pPr>
    </w:lvl>
    <w:lvl w:ilvl="3" w:tplc="FFFFFFFF" w:tentative="1">
      <w:start w:val="1"/>
      <w:numFmt w:val="decimal"/>
      <w:lvlText w:val="%4."/>
      <w:lvlJc w:val="left"/>
      <w:pPr>
        <w:ind w:left="3589" w:hanging="360"/>
      </w:pPr>
    </w:lvl>
    <w:lvl w:ilvl="4" w:tplc="FFFFFFFF" w:tentative="1">
      <w:start w:val="1"/>
      <w:numFmt w:val="lowerLetter"/>
      <w:lvlText w:val="%5."/>
      <w:lvlJc w:val="left"/>
      <w:pPr>
        <w:ind w:left="4309" w:hanging="360"/>
      </w:pPr>
    </w:lvl>
    <w:lvl w:ilvl="5" w:tplc="FFFFFFFF" w:tentative="1">
      <w:start w:val="1"/>
      <w:numFmt w:val="lowerRoman"/>
      <w:lvlText w:val="%6."/>
      <w:lvlJc w:val="right"/>
      <w:pPr>
        <w:ind w:left="5029" w:hanging="180"/>
      </w:pPr>
    </w:lvl>
    <w:lvl w:ilvl="6" w:tplc="FFFFFFFF" w:tentative="1">
      <w:start w:val="1"/>
      <w:numFmt w:val="decimal"/>
      <w:lvlText w:val="%7."/>
      <w:lvlJc w:val="left"/>
      <w:pPr>
        <w:ind w:left="5749" w:hanging="360"/>
      </w:pPr>
    </w:lvl>
    <w:lvl w:ilvl="7" w:tplc="FFFFFFFF" w:tentative="1">
      <w:start w:val="1"/>
      <w:numFmt w:val="lowerLetter"/>
      <w:lvlText w:val="%8."/>
      <w:lvlJc w:val="left"/>
      <w:pPr>
        <w:ind w:left="6469" w:hanging="360"/>
      </w:pPr>
    </w:lvl>
    <w:lvl w:ilvl="8" w:tplc="FFFFFFFF" w:tentative="1">
      <w:start w:val="1"/>
      <w:numFmt w:val="lowerRoman"/>
      <w:lvlText w:val="%9."/>
      <w:lvlJc w:val="right"/>
      <w:pPr>
        <w:ind w:left="7189" w:hanging="180"/>
      </w:pPr>
    </w:lvl>
  </w:abstractNum>
  <w:abstractNum w:abstractNumId="24" w15:restartNumberingAfterBreak="0">
    <w:nsid w:val="194E0780"/>
    <w:multiLevelType w:val="hybridMultilevel"/>
    <w:tmpl w:val="803840FC"/>
    <w:lvl w:ilvl="0" w:tplc="FFFFFFFF">
      <w:start w:val="1"/>
      <w:numFmt w:val="decimal"/>
      <w:lvlText w:val=".%1"/>
      <w:lvlJc w:val="left"/>
      <w:pPr>
        <w:ind w:left="1429" w:hanging="360"/>
      </w:pPr>
      <w:rPr>
        <w:rFonts w:hint="default"/>
      </w:rPr>
    </w:lvl>
    <w:lvl w:ilvl="1" w:tplc="FFFFFFFF" w:tentative="1">
      <w:start w:val="1"/>
      <w:numFmt w:val="lowerLetter"/>
      <w:lvlText w:val="%2."/>
      <w:lvlJc w:val="left"/>
      <w:pPr>
        <w:ind w:left="2149" w:hanging="360"/>
      </w:pPr>
    </w:lvl>
    <w:lvl w:ilvl="2" w:tplc="FFFFFFFF" w:tentative="1">
      <w:start w:val="1"/>
      <w:numFmt w:val="lowerRoman"/>
      <w:lvlText w:val="%3."/>
      <w:lvlJc w:val="right"/>
      <w:pPr>
        <w:ind w:left="2869" w:hanging="180"/>
      </w:pPr>
    </w:lvl>
    <w:lvl w:ilvl="3" w:tplc="FFFFFFFF" w:tentative="1">
      <w:start w:val="1"/>
      <w:numFmt w:val="decimal"/>
      <w:lvlText w:val="%4."/>
      <w:lvlJc w:val="left"/>
      <w:pPr>
        <w:ind w:left="3589" w:hanging="360"/>
      </w:pPr>
    </w:lvl>
    <w:lvl w:ilvl="4" w:tplc="FFFFFFFF" w:tentative="1">
      <w:start w:val="1"/>
      <w:numFmt w:val="lowerLetter"/>
      <w:lvlText w:val="%5."/>
      <w:lvlJc w:val="left"/>
      <w:pPr>
        <w:ind w:left="4309" w:hanging="360"/>
      </w:pPr>
    </w:lvl>
    <w:lvl w:ilvl="5" w:tplc="FFFFFFFF" w:tentative="1">
      <w:start w:val="1"/>
      <w:numFmt w:val="lowerRoman"/>
      <w:lvlText w:val="%6."/>
      <w:lvlJc w:val="right"/>
      <w:pPr>
        <w:ind w:left="5029" w:hanging="180"/>
      </w:pPr>
    </w:lvl>
    <w:lvl w:ilvl="6" w:tplc="FFFFFFFF" w:tentative="1">
      <w:start w:val="1"/>
      <w:numFmt w:val="decimal"/>
      <w:lvlText w:val="%7."/>
      <w:lvlJc w:val="left"/>
      <w:pPr>
        <w:ind w:left="5749" w:hanging="360"/>
      </w:pPr>
    </w:lvl>
    <w:lvl w:ilvl="7" w:tplc="FFFFFFFF" w:tentative="1">
      <w:start w:val="1"/>
      <w:numFmt w:val="lowerLetter"/>
      <w:lvlText w:val="%8."/>
      <w:lvlJc w:val="left"/>
      <w:pPr>
        <w:ind w:left="6469" w:hanging="360"/>
      </w:pPr>
    </w:lvl>
    <w:lvl w:ilvl="8" w:tplc="FFFFFFFF" w:tentative="1">
      <w:start w:val="1"/>
      <w:numFmt w:val="lowerRoman"/>
      <w:lvlText w:val="%9."/>
      <w:lvlJc w:val="right"/>
      <w:pPr>
        <w:ind w:left="7189" w:hanging="180"/>
      </w:pPr>
    </w:lvl>
  </w:abstractNum>
  <w:abstractNum w:abstractNumId="25" w15:restartNumberingAfterBreak="0">
    <w:nsid w:val="199A7121"/>
    <w:multiLevelType w:val="hybridMultilevel"/>
    <w:tmpl w:val="35625804"/>
    <w:lvl w:ilvl="0" w:tplc="FF447372">
      <w:start w:val="201"/>
      <w:numFmt w:val="decimalZero"/>
      <w:pStyle w:val="Nadpiscislovany"/>
      <w:lvlText w:val="%1"/>
      <w:lvlJc w:val="left"/>
      <w:pPr>
        <w:ind w:left="1571"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6" w15:restartNumberingAfterBreak="0">
    <w:nsid w:val="19B60262"/>
    <w:multiLevelType w:val="multilevel"/>
    <w:tmpl w:val="74902A3C"/>
    <w:lvl w:ilvl="0">
      <w:start w:val="1"/>
      <w:numFmt w:val="decimal"/>
      <w:lvlText w:val=".%1"/>
      <w:lvlJc w:val="left"/>
      <w:pPr>
        <w:ind w:left="1080" w:hanging="360"/>
      </w:pPr>
      <w:rPr>
        <w:rFonts w:hint="default"/>
      </w:rPr>
    </w:lvl>
    <w:lvl w:ilvl="1">
      <w:start w:val="1"/>
      <w:numFmt w:val="decimal"/>
      <w:lvlText w:val="%2."/>
      <w:lvlJc w:val="left"/>
      <w:pPr>
        <w:ind w:left="1800" w:hanging="360"/>
      </w:pPr>
      <w:rPr>
        <w:rFonts w:hint="default"/>
      </w:rPr>
    </w:lvl>
    <w:lvl w:ilvl="2">
      <w:start w:val="1"/>
      <w:numFmt w:val="lowerRoman"/>
      <w:lvlText w:val="%3."/>
      <w:lvlJc w:val="right"/>
      <w:pPr>
        <w:ind w:left="2520" w:hanging="180"/>
      </w:pPr>
      <w:rPr>
        <w:rFonts w:hint="default"/>
      </w:rPr>
    </w:lvl>
    <w:lvl w:ilvl="3">
      <w:start w:val="1"/>
      <w:numFmt w:val="decimal"/>
      <w:lvlText w:val="%4."/>
      <w:lvlJc w:val="left"/>
      <w:pPr>
        <w:ind w:left="3240" w:hanging="360"/>
      </w:pPr>
      <w:rPr>
        <w:rFonts w:hint="default"/>
      </w:rPr>
    </w:lvl>
    <w:lvl w:ilvl="4">
      <w:start w:val="1"/>
      <w:numFmt w:val="lowerLetter"/>
      <w:lvlText w:val="%5."/>
      <w:lvlJc w:val="left"/>
      <w:pPr>
        <w:ind w:left="3960" w:hanging="360"/>
      </w:pPr>
      <w:rPr>
        <w:rFonts w:hint="default"/>
      </w:rPr>
    </w:lvl>
    <w:lvl w:ilvl="5">
      <w:start w:val="1"/>
      <w:numFmt w:val="lowerRoman"/>
      <w:lvlText w:val="%6."/>
      <w:lvlJc w:val="right"/>
      <w:pPr>
        <w:ind w:left="4680" w:hanging="180"/>
      </w:pPr>
      <w:rPr>
        <w:rFonts w:hint="default"/>
      </w:rPr>
    </w:lvl>
    <w:lvl w:ilvl="6">
      <w:start w:val="1"/>
      <w:numFmt w:val="decimal"/>
      <w:lvlText w:val="%7."/>
      <w:lvlJc w:val="left"/>
      <w:pPr>
        <w:ind w:left="5400" w:hanging="360"/>
      </w:pPr>
      <w:rPr>
        <w:rFonts w:hint="default"/>
      </w:rPr>
    </w:lvl>
    <w:lvl w:ilvl="7">
      <w:start w:val="1"/>
      <w:numFmt w:val="lowerLetter"/>
      <w:lvlText w:val="%8."/>
      <w:lvlJc w:val="left"/>
      <w:pPr>
        <w:ind w:left="6120" w:hanging="360"/>
      </w:pPr>
      <w:rPr>
        <w:rFonts w:hint="default"/>
      </w:rPr>
    </w:lvl>
    <w:lvl w:ilvl="8">
      <w:start w:val="1"/>
      <w:numFmt w:val="lowerRoman"/>
      <w:lvlText w:val="%9."/>
      <w:lvlJc w:val="right"/>
      <w:pPr>
        <w:ind w:left="6840" w:hanging="180"/>
      </w:pPr>
      <w:rPr>
        <w:rFonts w:hint="default"/>
      </w:rPr>
    </w:lvl>
  </w:abstractNum>
  <w:abstractNum w:abstractNumId="27" w15:restartNumberingAfterBreak="0">
    <w:nsid w:val="1A432DD3"/>
    <w:multiLevelType w:val="hybridMultilevel"/>
    <w:tmpl w:val="18C6AFDE"/>
    <w:lvl w:ilvl="0" w:tplc="FFFFFFFF">
      <w:start w:val="1"/>
      <w:numFmt w:val="decimal"/>
      <w:lvlText w:val=".%1"/>
      <w:lvlJc w:val="left"/>
      <w:pPr>
        <w:ind w:left="1429" w:hanging="360"/>
      </w:pPr>
      <w:rPr>
        <w:rFonts w:hint="default"/>
      </w:rPr>
    </w:lvl>
    <w:lvl w:ilvl="1" w:tplc="FFFFFFFF" w:tentative="1">
      <w:start w:val="1"/>
      <w:numFmt w:val="lowerLetter"/>
      <w:lvlText w:val="%2."/>
      <w:lvlJc w:val="left"/>
      <w:pPr>
        <w:ind w:left="2149" w:hanging="360"/>
      </w:pPr>
    </w:lvl>
    <w:lvl w:ilvl="2" w:tplc="FFFFFFFF" w:tentative="1">
      <w:start w:val="1"/>
      <w:numFmt w:val="lowerRoman"/>
      <w:lvlText w:val="%3."/>
      <w:lvlJc w:val="right"/>
      <w:pPr>
        <w:ind w:left="2869" w:hanging="180"/>
      </w:pPr>
    </w:lvl>
    <w:lvl w:ilvl="3" w:tplc="FFFFFFFF" w:tentative="1">
      <w:start w:val="1"/>
      <w:numFmt w:val="decimal"/>
      <w:lvlText w:val="%4."/>
      <w:lvlJc w:val="left"/>
      <w:pPr>
        <w:ind w:left="3589" w:hanging="360"/>
      </w:pPr>
    </w:lvl>
    <w:lvl w:ilvl="4" w:tplc="FFFFFFFF" w:tentative="1">
      <w:start w:val="1"/>
      <w:numFmt w:val="lowerLetter"/>
      <w:lvlText w:val="%5."/>
      <w:lvlJc w:val="left"/>
      <w:pPr>
        <w:ind w:left="4309" w:hanging="360"/>
      </w:pPr>
    </w:lvl>
    <w:lvl w:ilvl="5" w:tplc="FFFFFFFF" w:tentative="1">
      <w:start w:val="1"/>
      <w:numFmt w:val="lowerRoman"/>
      <w:lvlText w:val="%6."/>
      <w:lvlJc w:val="right"/>
      <w:pPr>
        <w:ind w:left="5029" w:hanging="180"/>
      </w:pPr>
    </w:lvl>
    <w:lvl w:ilvl="6" w:tplc="FFFFFFFF" w:tentative="1">
      <w:start w:val="1"/>
      <w:numFmt w:val="decimal"/>
      <w:lvlText w:val="%7."/>
      <w:lvlJc w:val="left"/>
      <w:pPr>
        <w:ind w:left="5749" w:hanging="360"/>
      </w:pPr>
    </w:lvl>
    <w:lvl w:ilvl="7" w:tplc="FFFFFFFF" w:tentative="1">
      <w:start w:val="1"/>
      <w:numFmt w:val="lowerLetter"/>
      <w:lvlText w:val="%8."/>
      <w:lvlJc w:val="left"/>
      <w:pPr>
        <w:ind w:left="6469" w:hanging="360"/>
      </w:pPr>
    </w:lvl>
    <w:lvl w:ilvl="8" w:tplc="FFFFFFFF" w:tentative="1">
      <w:start w:val="1"/>
      <w:numFmt w:val="lowerRoman"/>
      <w:lvlText w:val="%9."/>
      <w:lvlJc w:val="right"/>
      <w:pPr>
        <w:ind w:left="7189" w:hanging="180"/>
      </w:pPr>
    </w:lvl>
  </w:abstractNum>
  <w:abstractNum w:abstractNumId="28" w15:restartNumberingAfterBreak="0">
    <w:nsid w:val="1B3A4728"/>
    <w:multiLevelType w:val="hybridMultilevel"/>
    <w:tmpl w:val="9C64597E"/>
    <w:lvl w:ilvl="0" w:tplc="FFFFFFFF">
      <w:start w:val="1"/>
      <w:numFmt w:val="lowerLetter"/>
      <w:lvlText w:val="%1)"/>
      <w:lvlJc w:val="left"/>
      <w:pPr>
        <w:ind w:left="2988" w:hanging="360"/>
      </w:pPr>
    </w:lvl>
    <w:lvl w:ilvl="1" w:tplc="FFFFFFFF" w:tentative="1">
      <w:start w:val="1"/>
      <w:numFmt w:val="lowerLetter"/>
      <w:lvlText w:val="%2."/>
      <w:lvlJc w:val="left"/>
      <w:pPr>
        <w:ind w:left="3708" w:hanging="360"/>
      </w:pPr>
    </w:lvl>
    <w:lvl w:ilvl="2" w:tplc="FFFFFFFF" w:tentative="1">
      <w:start w:val="1"/>
      <w:numFmt w:val="lowerRoman"/>
      <w:lvlText w:val="%3."/>
      <w:lvlJc w:val="right"/>
      <w:pPr>
        <w:ind w:left="4428" w:hanging="180"/>
      </w:pPr>
    </w:lvl>
    <w:lvl w:ilvl="3" w:tplc="FFFFFFFF" w:tentative="1">
      <w:start w:val="1"/>
      <w:numFmt w:val="decimal"/>
      <w:lvlText w:val="%4."/>
      <w:lvlJc w:val="left"/>
      <w:pPr>
        <w:ind w:left="5148" w:hanging="360"/>
      </w:pPr>
    </w:lvl>
    <w:lvl w:ilvl="4" w:tplc="FFFFFFFF" w:tentative="1">
      <w:start w:val="1"/>
      <w:numFmt w:val="lowerLetter"/>
      <w:lvlText w:val="%5."/>
      <w:lvlJc w:val="left"/>
      <w:pPr>
        <w:ind w:left="5868" w:hanging="360"/>
      </w:pPr>
    </w:lvl>
    <w:lvl w:ilvl="5" w:tplc="FFFFFFFF" w:tentative="1">
      <w:start w:val="1"/>
      <w:numFmt w:val="lowerRoman"/>
      <w:lvlText w:val="%6."/>
      <w:lvlJc w:val="right"/>
      <w:pPr>
        <w:ind w:left="6588" w:hanging="180"/>
      </w:pPr>
    </w:lvl>
    <w:lvl w:ilvl="6" w:tplc="FFFFFFFF" w:tentative="1">
      <w:start w:val="1"/>
      <w:numFmt w:val="decimal"/>
      <w:lvlText w:val="%7."/>
      <w:lvlJc w:val="left"/>
      <w:pPr>
        <w:ind w:left="7308" w:hanging="360"/>
      </w:pPr>
    </w:lvl>
    <w:lvl w:ilvl="7" w:tplc="FFFFFFFF" w:tentative="1">
      <w:start w:val="1"/>
      <w:numFmt w:val="lowerLetter"/>
      <w:lvlText w:val="%8."/>
      <w:lvlJc w:val="left"/>
      <w:pPr>
        <w:ind w:left="8028" w:hanging="360"/>
      </w:pPr>
    </w:lvl>
    <w:lvl w:ilvl="8" w:tplc="FFFFFFFF" w:tentative="1">
      <w:start w:val="1"/>
      <w:numFmt w:val="lowerRoman"/>
      <w:lvlText w:val="%9."/>
      <w:lvlJc w:val="right"/>
      <w:pPr>
        <w:ind w:left="8748" w:hanging="180"/>
      </w:pPr>
    </w:lvl>
  </w:abstractNum>
  <w:abstractNum w:abstractNumId="29" w15:restartNumberingAfterBreak="0">
    <w:nsid w:val="1C60450D"/>
    <w:multiLevelType w:val="hybridMultilevel"/>
    <w:tmpl w:val="40CC1D9C"/>
    <w:lvl w:ilvl="0" w:tplc="FFFFFFFF">
      <w:start w:val="1"/>
      <w:numFmt w:val="decimal"/>
      <w:lvlText w:val=".%1"/>
      <w:lvlJc w:val="left"/>
      <w:pPr>
        <w:ind w:left="1429" w:hanging="360"/>
      </w:pPr>
      <w:rPr>
        <w:rFonts w:hint="default"/>
      </w:rPr>
    </w:lvl>
    <w:lvl w:ilvl="1" w:tplc="FFFFFFFF" w:tentative="1">
      <w:start w:val="1"/>
      <w:numFmt w:val="lowerLetter"/>
      <w:lvlText w:val="%2."/>
      <w:lvlJc w:val="left"/>
      <w:pPr>
        <w:ind w:left="2149" w:hanging="360"/>
      </w:pPr>
    </w:lvl>
    <w:lvl w:ilvl="2" w:tplc="FFFFFFFF" w:tentative="1">
      <w:start w:val="1"/>
      <w:numFmt w:val="lowerRoman"/>
      <w:lvlText w:val="%3."/>
      <w:lvlJc w:val="right"/>
      <w:pPr>
        <w:ind w:left="2869" w:hanging="180"/>
      </w:pPr>
    </w:lvl>
    <w:lvl w:ilvl="3" w:tplc="FFFFFFFF" w:tentative="1">
      <w:start w:val="1"/>
      <w:numFmt w:val="decimal"/>
      <w:lvlText w:val="%4."/>
      <w:lvlJc w:val="left"/>
      <w:pPr>
        <w:ind w:left="3589" w:hanging="360"/>
      </w:pPr>
    </w:lvl>
    <w:lvl w:ilvl="4" w:tplc="FFFFFFFF" w:tentative="1">
      <w:start w:val="1"/>
      <w:numFmt w:val="lowerLetter"/>
      <w:lvlText w:val="%5."/>
      <w:lvlJc w:val="left"/>
      <w:pPr>
        <w:ind w:left="4309" w:hanging="360"/>
      </w:pPr>
    </w:lvl>
    <w:lvl w:ilvl="5" w:tplc="FFFFFFFF" w:tentative="1">
      <w:start w:val="1"/>
      <w:numFmt w:val="lowerRoman"/>
      <w:lvlText w:val="%6."/>
      <w:lvlJc w:val="right"/>
      <w:pPr>
        <w:ind w:left="5029" w:hanging="180"/>
      </w:pPr>
    </w:lvl>
    <w:lvl w:ilvl="6" w:tplc="FFFFFFFF" w:tentative="1">
      <w:start w:val="1"/>
      <w:numFmt w:val="decimal"/>
      <w:lvlText w:val="%7."/>
      <w:lvlJc w:val="left"/>
      <w:pPr>
        <w:ind w:left="5749" w:hanging="360"/>
      </w:pPr>
    </w:lvl>
    <w:lvl w:ilvl="7" w:tplc="FFFFFFFF" w:tentative="1">
      <w:start w:val="1"/>
      <w:numFmt w:val="lowerLetter"/>
      <w:lvlText w:val="%8."/>
      <w:lvlJc w:val="left"/>
      <w:pPr>
        <w:ind w:left="6469" w:hanging="360"/>
      </w:pPr>
    </w:lvl>
    <w:lvl w:ilvl="8" w:tplc="FFFFFFFF" w:tentative="1">
      <w:start w:val="1"/>
      <w:numFmt w:val="lowerRoman"/>
      <w:lvlText w:val="%9."/>
      <w:lvlJc w:val="right"/>
      <w:pPr>
        <w:ind w:left="7189" w:hanging="180"/>
      </w:pPr>
    </w:lvl>
  </w:abstractNum>
  <w:abstractNum w:abstractNumId="30" w15:restartNumberingAfterBreak="0">
    <w:nsid w:val="1CA63543"/>
    <w:multiLevelType w:val="hybridMultilevel"/>
    <w:tmpl w:val="FCE208B8"/>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1" w15:restartNumberingAfterBreak="0">
    <w:nsid w:val="1CE70175"/>
    <w:multiLevelType w:val="hybridMultilevel"/>
    <w:tmpl w:val="16FC2C58"/>
    <w:lvl w:ilvl="0" w:tplc="04050001">
      <w:start w:val="1"/>
      <w:numFmt w:val="bullet"/>
      <w:lvlText w:val=""/>
      <w:lvlJc w:val="left"/>
      <w:pPr>
        <w:ind w:left="1494" w:hanging="360"/>
      </w:pPr>
      <w:rPr>
        <w:rFonts w:ascii="Symbol" w:hAnsi="Symbol" w:hint="default"/>
      </w:rPr>
    </w:lvl>
    <w:lvl w:ilvl="1" w:tplc="04050003" w:tentative="1">
      <w:start w:val="1"/>
      <w:numFmt w:val="bullet"/>
      <w:lvlText w:val="o"/>
      <w:lvlJc w:val="left"/>
      <w:pPr>
        <w:ind w:left="2214" w:hanging="360"/>
      </w:pPr>
      <w:rPr>
        <w:rFonts w:ascii="Courier New" w:hAnsi="Courier New" w:cs="Courier New" w:hint="default"/>
      </w:rPr>
    </w:lvl>
    <w:lvl w:ilvl="2" w:tplc="04050005" w:tentative="1">
      <w:start w:val="1"/>
      <w:numFmt w:val="bullet"/>
      <w:lvlText w:val=""/>
      <w:lvlJc w:val="left"/>
      <w:pPr>
        <w:ind w:left="2934" w:hanging="360"/>
      </w:pPr>
      <w:rPr>
        <w:rFonts w:ascii="Wingdings" w:hAnsi="Wingdings" w:hint="default"/>
      </w:rPr>
    </w:lvl>
    <w:lvl w:ilvl="3" w:tplc="04050001" w:tentative="1">
      <w:start w:val="1"/>
      <w:numFmt w:val="bullet"/>
      <w:lvlText w:val=""/>
      <w:lvlJc w:val="left"/>
      <w:pPr>
        <w:ind w:left="3654" w:hanging="360"/>
      </w:pPr>
      <w:rPr>
        <w:rFonts w:ascii="Symbol" w:hAnsi="Symbol" w:hint="default"/>
      </w:rPr>
    </w:lvl>
    <w:lvl w:ilvl="4" w:tplc="04050003" w:tentative="1">
      <w:start w:val="1"/>
      <w:numFmt w:val="bullet"/>
      <w:lvlText w:val="o"/>
      <w:lvlJc w:val="left"/>
      <w:pPr>
        <w:ind w:left="4374" w:hanging="360"/>
      </w:pPr>
      <w:rPr>
        <w:rFonts w:ascii="Courier New" w:hAnsi="Courier New" w:cs="Courier New" w:hint="default"/>
      </w:rPr>
    </w:lvl>
    <w:lvl w:ilvl="5" w:tplc="04050005" w:tentative="1">
      <w:start w:val="1"/>
      <w:numFmt w:val="bullet"/>
      <w:lvlText w:val=""/>
      <w:lvlJc w:val="left"/>
      <w:pPr>
        <w:ind w:left="5094" w:hanging="360"/>
      </w:pPr>
      <w:rPr>
        <w:rFonts w:ascii="Wingdings" w:hAnsi="Wingdings" w:hint="default"/>
      </w:rPr>
    </w:lvl>
    <w:lvl w:ilvl="6" w:tplc="04050001" w:tentative="1">
      <w:start w:val="1"/>
      <w:numFmt w:val="bullet"/>
      <w:lvlText w:val=""/>
      <w:lvlJc w:val="left"/>
      <w:pPr>
        <w:ind w:left="5814" w:hanging="360"/>
      </w:pPr>
      <w:rPr>
        <w:rFonts w:ascii="Symbol" w:hAnsi="Symbol" w:hint="default"/>
      </w:rPr>
    </w:lvl>
    <w:lvl w:ilvl="7" w:tplc="04050003" w:tentative="1">
      <w:start w:val="1"/>
      <w:numFmt w:val="bullet"/>
      <w:lvlText w:val="o"/>
      <w:lvlJc w:val="left"/>
      <w:pPr>
        <w:ind w:left="6534" w:hanging="360"/>
      </w:pPr>
      <w:rPr>
        <w:rFonts w:ascii="Courier New" w:hAnsi="Courier New" w:cs="Courier New" w:hint="default"/>
      </w:rPr>
    </w:lvl>
    <w:lvl w:ilvl="8" w:tplc="04050005" w:tentative="1">
      <w:start w:val="1"/>
      <w:numFmt w:val="bullet"/>
      <w:lvlText w:val=""/>
      <w:lvlJc w:val="left"/>
      <w:pPr>
        <w:ind w:left="7254" w:hanging="360"/>
      </w:pPr>
      <w:rPr>
        <w:rFonts w:ascii="Wingdings" w:hAnsi="Wingdings" w:hint="default"/>
      </w:rPr>
    </w:lvl>
  </w:abstractNum>
  <w:abstractNum w:abstractNumId="32" w15:restartNumberingAfterBreak="0">
    <w:nsid w:val="1DD662BD"/>
    <w:multiLevelType w:val="singleLevel"/>
    <w:tmpl w:val="742AE594"/>
    <w:lvl w:ilvl="0">
      <w:start w:val="1"/>
      <w:numFmt w:val="bullet"/>
      <w:pStyle w:val="Seznamsodrkami"/>
      <w:lvlText w:val=""/>
      <w:lvlJc w:val="left"/>
      <w:pPr>
        <w:tabs>
          <w:tab w:val="num" w:pos="360"/>
        </w:tabs>
        <w:ind w:left="360" w:hanging="360"/>
      </w:pPr>
      <w:rPr>
        <w:rFonts w:ascii="Symbol" w:hAnsi="Symbol" w:hint="default"/>
      </w:rPr>
    </w:lvl>
  </w:abstractNum>
  <w:abstractNum w:abstractNumId="33" w15:restartNumberingAfterBreak="0">
    <w:nsid w:val="1F77547B"/>
    <w:multiLevelType w:val="hybridMultilevel"/>
    <w:tmpl w:val="81A63316"/>
    <w:lvl w:ilvl="0" w:tplc="04050001">
      <w:start w:val="1"/>
      <w:numFmt w:val="bullet"/>
      <w:lvlText w:val=""/>
      <w:lvlJc w:val="left"/>
      <w:pPr>
        <w:ind w:left="1429" w:hanging="360"/>
      </w:pPr>
      <w:rPr>
        <w:rFonts w:ascii="Symbol" w:hAnsi="Symbol" w:hint="default"/>
      </w:rPr>
    </w:lvl>
    <w:lvl w:ilvl="1" w:tplc="04050003" w:tentative="1">
      <w:start w:val="1"/>
      <w:numFmt w:val="bullet"/>
      <w:lvlText w:val="o"/>
      <w:lvlJc w:val="left"/>
      <w:pPr>
        <w:ind w:left="2149" w:hanging="360"/>
      </w:pPr>
      <w:rPr>
        <w:rFonts w:ascii="Courier New" w:hAnsi="Courier New" w:cs="Courier New" w:hint="default"/>
      </w:rPr>
    </w:lvl>
    <w:lvl w:ilvl="2" w:tplc="04050005" w:tentative="1">
      <w:start w:val="1"/>
      <w:numFmt w:val="bullet"/>
      <w:lvlText w:val=""/>
      <w:lvlJc w:val="left"/>
      <w:pPr>
        <w:ind w:left="2869" w:hanging="360"/>
      </w:pPr>
      <w:rPr>
        <w:rFonts w:ascii="Wingdings" w:hAnsi="Wingdings" w:hint="default"/>
      </w:rPr>
    </w:lvl>
    <w:lvl w:ilvl="3" w:tplc="04050001" w:tentative="1">
      <w:start w:val="1"/>
      <w:numFmt w:val="bullet"/>
      <w:lvlText w:val=""/>
      <w:lvlJc w:val="left"/>
      <w:pPr>
        <w:ind w:left="3589" w:hanging="360"/>
      </w:pPr>
      <w:rPr>
        <w:rFonts w:ascii="Symbol" w:hAnsi="Symbol" w:hint="default"/>
      </w:rPr>
    </w:lvl>
    <w:lvl w:ilvl="4" w:tplc="04050003" w:tentative="1">
      <w:start w:val="1"/>
      <w:numFmt w:val="bullet"/>
      <w:lvlText w:val="o"/>
      <w:lvlJc w:val="left"/>
      <w:pPr>
        <w:ind w:left="4309" w:hanging="360"/>
      </w:pPr>
      <w:rPr>
        <w:rFonts w:ascii="Courier New" w:hAnsi="Courier New" w:cs="Courier New" w:hint="default"/>
      </w:rPr>
    </w:lvl>
    <w:lvl w:ilvl="5" w:tplc="04050005" w:tentative="1">
      <w:start w:val="1"/>
      <w:numFmt w:val="bullet"/>
      <w:lvlText w:val=""/>
      <w:lvlJc w:val="left"/>
      <w:pPr>
        <w:ind w:left="5029" w:hanging="360"/>
      </w:pPr>
      <w:rPr>
        <w:rFonts w:ascii="Wingdings" w:hAnsi="Wingdings" w:hint="default"/>
      </w:rPr>
    </w:lvl>
    <w:lvl w:ilvl="6" w:tplc="04050001" w:tentative="1">
      <w:start w:val="1"/>
      <w:numFmt w:val="bullet"/>
      <w:lvlText w:val=""/>
      <w:lvlJc w:val="left"/>
      <w:pPr>
        <w:ind w:left="5749" w:hanging="360"/>
      </w:pPr>
      <w:rPr>
        <w:rFonts w:ascii="Symbol" w:hAnsi="Symbol" w:hint="default"/>
      </w:rPr>
    </w:lvl>
    <w:lvl w:ilvl="7" w:tplc="04050003" w:tentative="1">
      <w:start w:val="1"/>
      <w:numFmt w:val="bullet"/>
      <w:lvlText w:val="o"/>
      <w:lvlJc w:val="left"/>
      <w:pPr>
        <w:ind w:left="6469" w:hanging="360"/>
      </w:pPr>
      <w:rPr>
        <w:rFonts w:ascii="Courier New" w:hAnsi="Courier New" w:cs="Courier New" w:hint="default"/>
      </w:rPr>
    </w:lvl>
    <w:lvl w:ilvl="8" w:tplc="04050005" w:tentative="1">
      <w:start w:val="1"/>
      <w:numFmt w:val="bullet"/>
      <w:lvlText w:val=""/>
      <w:lvlJc w:val="left"/>
      <w:pPr>
        <w:ind w:left="7189" w:hanging="360"/>
      </w:pPr>
      <w:rPr>
        <w:rFonts w:ascii="Wingdings" w:hAnsi="Wingdings" w:hint="default"/>
      </w:rPr>
    </w:lvl>
  </w:abstractNum>
  <w:abstractNum w:abstractNumId="34" w15:restartNumberingAfterBreak="0">
    <w:nsid w:val="21CF47D7"/>
    <w:multiLevelType w:val="hybridMultilevel"/>
    <w:tmpl w:val="95C65EF8"/>
    <w:lvl w:ilvl="0" w:tplc="00000005">
      <w:start w:val="3"/>
      <w:numFmt w:val="bullet"/>
      <w:lvlText w:val="-"/>
      <w:lvlJc w:val="left"/>
      <w:pPr>
        <w:ind w:left="1080" w:hanging="360"/>
      </w:pPr>
      <w:rPr>
        <w:rFonts w:ascii="Times New Roman" w:hAnsi="Times New Roman" w:cs="Times New Roman"/>
      </w:rPr>
    </w:lvl>
    <w:lvl w:ilvl="1" w:tplc="04050003" w:tentative="1">
      <w:start w:val="1"/>
      <w:numFmt w:val="bullet"/>
      <w:lvlText w:val="o"/>
      <w:lvlJc w:val="left"/>
      <w:pPr>
        <w:ind w:left="1800" w:hanging="360"/>
      </w:pPr>
      <w:rPr>
        <w:rFonts w:ascii="Courier New" w:hAnsi="Courier New" w:cs="Courier New" w:hint="default"/>
      </w:rPr>
    </w:lvl>
    <w:lvl w:ilvl="2" w:tplc="04050005" w:tentative="1">
      <w:start w:val="1"/>
      <w:numFmt w:val="bullet"/>
      <w:lvlText w:val=""/>
      <w:lvlJc w:val="left"/>
      <w:pPr>
        <w:ind w:left="2520" w:hanging="360"/>
      </w:pPr>
      <w:rPr>
        <w:rFonts w:ascii="Wingdings" w:hAnsi="Wingdings" w:hint="default"/>
      </w:rPr>
    </w:lvl>
    <w:lvl w:ilvl="3" w:tplc="04050001" w:tentative="1">
      <w:start w:val="1"/>
      <w:numFmt w:val="bullet"/>
      <w:lvlText w:val=""/>
      <w:lvlJc w:val="left"/>
      <w:pPr>
        <w:ind w:left="3240" w:hanging="360"/>
      </w:pPr>
      <w:rPr>
        <w:rFonts w:ascii="Symbol" w:hAnsi="Symbol" w:hint="default"/>
      </w:rPr>
    </w:lvl>
    <w:lvl w:ilvl="4" w:tplc="04050003" w:tentative="1">
      <w:start w:val="1"/>
      <w:numFmt w:val="bullet"/>
      <w:lvlText w:val="o"/>
      <w:lvlJc w:val="left"/>
      <w:pPr>
        <w:ind w:left="3960" w:hanging="360"/>
      </w:pPr>
      <w:rPr>
        <w:rFonts w:ascii="Courier New" w:hAnsi="Courier New" w:cs="Courier New" w:hint="default"/>
      </w:rPr>
    </w:lvl>
    <w:lvl w:ilvl="5" w:tplc="04050005" w:tentative="1">
      <w:start w:val="1"/>
      <w:numFmt w:val="bullet"/>
      <w:lvlText w:val=""/>
      <w:lvlJc w:val="left"/>
      <w:pPr>
        <w:ind w:left="4680" w:hanging="360"/>
      </w:pPr>
      <w:rPr>
        <w:rFonts w:ascii="Wingdings" w:hAnsi="Wingdings" w:hint="default"/>
      </w:rPr>
    </w:lvl>
    <w:lvl w:ilvl="6" w:tplc="04050001" w:tentative="1">
      <w:start w:val="1"/>
      <w:numFmt w:val="bullet"/>
      <w:lvlText w:val=""/>
      <w:lvlJc w:val="left"/>
      <w:pPr>
        <w:ind w:left="5400" w:hanging="360"/>
      </w:pPr>
      <w:rPr>
        <w:rFonts w:ascii="Symbol" w:hAnsi="Symbol" w:hint="default"/>
      </w:rPr>
    </w:lvl>
    <w:lvl w:ilvl="7" w:tplc="04050003" w:tentative="1">
      <w:start w:val="1"/>
      <w:numFmt w:val="bullet"/>
      <w:lvlText w:val="o"/>
      <w:lvlJc w:val="left"/>
      <w:pPr>
        <w:ind w:left="6120" w:hanging="360"/>
      </w:pPr>
      <w:rPr>
        <w:rFonts w:ascii="Courier New" w:hAnsi="Courier New" w:cs="Courier New" w:hint="default"/>
      </w:rPr>
    </w:lvl>
    <w:lvl w:ilvl="8" w:tplc="04050005" w:tentative="1">
      <w:start w:val="1"/>
      <w:numFmt w:val="bullet"/>
      <w:lvlText w:val=""/>
      <w:lvlJc w:val="left"/>
      <w:pPr>
        <w:ind w:left="6840" w:hanging="360"/>
      </w:pPr>
      <w:rPr>
        <w:rFonts w:ascii="Wingdings" w:hAnsi="Wingdings" w:hint="default"/>
      </w:rPr>
    </w:lvl>
  </w:abstractNum>
  <w:abstractNum w:abstractNumId="35" w15:restartNumberingAfterBreak="0">
    <w:nsid w:val="21F32633"/>
    <w:multiLevelType w:val="hybridMultilevel"/>
    <w:tmpl w:val="511CF87E"/>
    <w:lvl w:ilvl="0" w:tplc="04050001">
      <w:start w:val="1"/>
      <w:numFmt w:val="bullet"/>
      <w:lvlText w:val=""/>
      <w:lvlJc w:val="left"/>
      <w:pPr>
        <w:ind w:left="1429" w:hanging="360"/>
      </w:pPr>
      <w:rPr>
        <w:rFonts w:ascii="Symbol" w:hAnsi="Symbol" w:hint="default"/>
      </w:rPr>
    </w:lvl>
    <w:lvl w:ilvl="1" w:tplc="04050003" w:tentative="1">
      <w:start w:val="1"/>
      <w:numFmt w:val="bullet"/>
      <w:lvlText w:val="o"/>
      <w:lvlJc w:val="left"/>
      <w:pPr>
        <w:ind w:left="2149" w:hanging="360"/>
      </w:pPr>
      <w:rPr>
        <w:rFonts w:ascii="Courier New" w:hAnsi="Courier New" w:cs="Courier New" w:hint="default"/>
      </w:rPr>
    </w:lvl>
    <w:lvl w:ilvl="2" w:tplc="04050005" w:tentative="1">
      <w:start w:val="1"/>
      <w:numFmt w:val="bullet"/>
      <w:lvlText w:val=""/>
      <w:lvlJc w:val="left"/>
      <w:pPr>
        <w:ind w:left="2869" w:hanging="360"/>
      </w:pPr>
      <w:rPr>
        <w:rFonts w:ascii="Wingdings" w:hAnsi="Wingdings" w:hint="default"/>
      </w:rPr>
    </w:lvl>
    <w:lvl w:ilvl="3" w:tplc="04050001" w:tentative="1">
      <w:start w:val="1"/>
      <w:numFmt w:val="bullet"/>
      <w:lvlText w:val=""/>
      <w:lvlJc w:val="left"/>
      <w:pPr>
        <w:ind w:left="3589" w:hanging="360"/>
      </w:pPr>
      <w:rPr>
        <w:rFonts w:ascii="Symbol" w:hAnsi="Symbol" w:hint="default"/>
      </w:rPr>
    </w:lvl>
    <w:lvl w:ilvl="4" w:tplc="04050003" w:tentative="1">
      <w:start w:val="1"/>
      <w:numFmt w:val="bullet"/>
      <w:lvlText w:val="o"/>
      <w:lvlJc w:val="left"/>
      <w:pPr>
        <w:ind w:left="4309" w:hanging="360"/>
      </w:pPr>
      <w:rPr>
        <w:rFonts w:ascii="Courier New" w:hAnsi="Courier New" w:cs="Courier New" w:hint="default"/>
      </w:rPr>
    </w:lvl>
    <w:lvl w:ilvl="5" w:tplc="04050005" w:tentative="1">
      <w:start w:val="1"/>
      <w:numFmt w:val="bullet"/>
      <w:lvlText w:val=""/>
      <w:lvlJc w:val="left"/>
      <w:pPr>
        <w:ind w:left="5029" w:hanging="360"/>
      </w:pPr>
      <w:rPr>
        <w:rFonts w:ascii="Wingdings" w:hAnsi="Wingdings" w:hint="default"/>
      </w:rPr>
    </w:lvl>
    <w:lvl w:ilvl="6" w:tplc="04050001" w:tentative="1">
      <w:start w:val="1"/>
      <w:numFmt w:val="bullet"/>
      <w:lvlText w:val=""/>
      <w:lvlJc w:val="left"/>
      <w:pPr>
        <w:ind w:left="5749" w:hanging="360"/>
      </w:pPr>
      <w:rPr>
        <w:rFonts w:ascii="Symbol" w:hAnsi="Symbol" w:hint="default"/>
      </w:rPr>
    </w:lvl>
    <w:lvl w:ilvl="7" w:tplc="04050003" w:tentative="1">
      <w:start w:val="1"/>
      <w:numFmt w:val="bullet"/>
      <w:lvlText w:val="o"/>
      <w:lvlJc w:val="left"/>
      <w:pPr>
        <w:ind w:left="6469" w:hanging="360"/>
      </w:pPr>
      <w:rPr>
        <w:rFonts w:ascii="Courier New" w:hAnsi="Courier New" w:cs="Courier New" w:hint="default"/>
      </w:rPr>
    </w:lvl>
    <w:lvl w:ilvl="8" w:tplc="04050005" w:tentative="1">
      <w:start w:val="1"/>
      <w:numFmt w:val="bullet"/>
      <w:lvlText w:val=""/>
      <w:lvlJc w:val="left"/>
      <w:pPr>
        <w:ind w:left="7189" w:hanging="360"/>
      </w:pPr>
      <w:rPr>
        <w:rFonts w:ascii="Wingdings" w:hAnsi="Wingdings" w:hint="default"/>
      </w:rPr>
    </w:lvl>
  </w:abstractNum>
  <w:abstractNum w:abstractNumId="36" w15:restartNumberingAfterBreak="0">
    <w:nsid w:val="232F0328"/>
    <w:multiLevelType w:val="hybridMultilevel"/>
    <w:tmpl w:val="557CDBB4"/>
    <w:lvl w:ilvl="0" w:tplc="9B129270">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37" w15:restartNumberingAfterBreak="0">
    <w:nsid w:val="234D77B6"/>
    <w:multiLevelType w:val="hybridMultilevel"/>
    <w:tmpl w:val="9C64597E"/>
    <w:lvl w:ilvl="0" w:tplc="FFFFFFFF">
      <w:start w:val="1"/>
      <w:numFmt w:val="lowerLetter"/>
      <w:lvlText w:val="%1)"/>
      <w:lvlJc w:val="left"/>
      <w:pPr>
        <w:ind w:left="2988" w:hanging="360"/>
      </w:pPr>
    </w:lvl>
    <w:lvl w:ilvl="1" w:tplc="FFFFFFFF" w:tentative="1">
      <w:start w:val="1"/>
      <w:numFmt w:val="lowerLetter"/>
      <w:lvlText w:val="%2."/>
      <w:lvlJc w:val="left"/>
      <w:pPr>
        <w:ind w:left="3708" w:hanging="360"/>
      </w:pPr>
    </w:lvl>
    <w:lvl w:ilvl="2" w:tplc="FFFFFFFF" w:tentative="1">
      <w:start w:val="1"/>
      <w:numFmt w:val="lowerRoman"/>
      <w:lvlText w:val="%3."/>
      <w:lvlJc w:val="right"/>
      <w:pPr>
        <w:ind w:left="4428" w:hanging="180"/>
      </w:pPr>
    </w:lvl>
    <w:lvl w:ilvl="3" w:tplc="FFFFFFFF" w:tentative="1">
      <w:start w:val="1"/>
      <w:numFmt w:val="decimal"/>
      <w:lvlText w:val="%4."/>
      <w:lvlJc w:val="left"/>
      <w:pPr>
        <w:ind w:left="5148" w:hanging="360"/>
      </w:pPr>
    </w:lvl>
    <w:lvl w:ilvl="4" w:tplc="FFFFFFFF" w:tentative="1">
      <w:start w:val="1"/>
      <w:numFmt w:val="lowerLetter"/>
      <w:lvlText w:val="%5."/>
      <w:lvlJc w:val="left"/>
      <w:pPr>
        <w:ind w:left="5868" w:hanging="360"/>
      </w:pPr>
    </w:lvl>
    <w:lvl w:ilvl="5" w:tplc="FFFFFFFF" w:tentative="1">
      <w:start w:val="1"/>
      <w:numFmt w:val="lowerRoman"/>
      <w:lvlText w:val="%6."/>
      <w:lvlJc w:val="right"/>
      <w:pPr>
        <w:ind w:left="6588" w:hanging="180"/>
      </w:pPr>
    </w:lvl>
    <w:lvl w:ilvl="6" w:tplc="FFFFFFFF" w:tentative="1">
      <w:start w:val="1"/>
      <w:numFmt w:val="decimal"/>
      <w:lvlText w:val="%7."/>
      <w:lvlJc w:val="left"/>
      <w:pPr>
        <w:ind w:left="7308" w:hanging="360"/>
      </w:pPr>
    </w:lvl>
    <w:lvl w:ilvl="7" w:tplc="FFFFFFFF" w:tentative="1">
      <w:start w:val="1"/>
      <w:numFmt w:val="lowerLetter"/>
      <w:lvlText w:val="%8."/>
      <w:lvlJc w:val="left"/>
      <w:pPr>
        <w:ind w:left="8028" w:hanging="360"/>
      </w:pPr>
    </w:lvl>
    <w:lvl w:ilvl="8" w:tplc="FFFFFFFF" w:tentative="1">
      <w:start w:val="1"/>
      <w:numFmt w:val="lowerRoman"/>
      <w:lvlText w:val="%9."/>
      <w:lvlJc w:val="right"/>
      <w:pPr>
        <w:ind w:left="8748" w:hanging="180"/>
      </w:pPr>
    </w:lvl>
  </w:abstractNum>
  <w:abstractNum w:abstractNumId="38" w15:restartNumberingAfterBreak="0">
    <w:nsid w:val="24824919"/>
    <w:multiLevelType w:val="hybridMultilevel"/>
    <w:tmpl w:val="4EF441F4"/>
    <w:lvl w:ilvl="0" w:tplc="838043D4">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39" w15:restartNumberingAfterBreak="0">
    <w:nsid w:val="252D5608"/>
    <w:multiLevelType w:val="hybridMultilevel"/>
    <w:tmpl w:val="803840FC"/>
    <w:lvl w:ilvl="0" w:tplc="C4A22E78">
      <w:start w:val="1"/>
      <w:numFmt w:val="decimal"/>
      <w:lvlText w:val=".%1"/>
      <w:lvlJc w:val="left"/>
      <w:pPr>
        <w:ind w:left="1429" w:hanging="360"/>
      </w:pPr>
      <w:rPr>
        <w:rFonts w:hint="default"/>
      </w:rPr>
    </w:lvl>
    <w:lvl w:ilvl="1" w:tplc="04050019" w:tentative="1">
      <w:start w:val="1"/>
      <w:numFmt w:val="lowerLetter"/>
      <w:lvlText w:val="%2."/>
      <w:lvlJc w:val="left"/>
      <w:pPr>
        <w:ind w:left="2149" w:hanging="360"/>
      </w:pPr>
    </w:lvl>
    <w:lvl w:ilvl="2" w:tplc="0405001B" w:tentative="1">
      <w:start w:val="1"/>
      <w:numFmt w:val="lowerRoman"/>
      <w:lvlText w:val="%3."/>
      <w:lvlJc w:val="right"/>
      <w:pPr>
        <w:ind w:left="2869" w:hanging="180"/>
      </w:pPr>
    </w:lvl>
    <w:lvl w:ilvl="3" w:tplc="0405000F" w:tentative="1">
      <w:start w:val="1"/>
      <w:numFmt w:val="decimal"/>
      <w:lvlText w:val="%4."/>
      <w:lvlJc w:val="left"/>
      <w:pPr>
        <w:ind w:left="3589" w:hanging="360"/>
      </w:pPr>
    </w:lvl>
    <w:lvl w:ilvl="4" w:tplc="04050019" w:tentative="1">
      <w:start w:val="1"/>
      <w:numFmt w:val="lowerLetter"/>
      <w:lvlText w:val="%5."/>
      <w:lvlJc w:val="left"/>
      <w:pPr>
        <w:ind w:left="4309" w:hanging="360"/>
      </w:pPr>
    </w:lvl>
    <w:lvl w:ilvl="5" w:tplc="0405001B" w:tentative="1">
      <w:start w:val="1"/>
      <w:numFmt w:val="lowerRoman"/>
      <w:lvlText w:val="%6."/>
      <w:lvlJc w:val="right"/>
      <w:pPr>
        <w:ind w:left="5029" w:hanging="180"/>
      </w:pPr>
    </w:lvl>
    <w:lvl w:ilvl="6" w:tplc="0405000F" w:tentative="1">
      <w:start w:val="1"/>
      <w:numFmt w:val="decimal"/>
      <w:lvlText w:val="%7."/>
      <w:lvlJc w:val="left"/>
      <w:pPr>
        <w:ind w:left="5749" w:hanging="360"/>
      </w:pPr>
    </w:lvl>
    <w:lvl w:ilvl="7" w:tplc="04050019" w:tentative="1">
      <w:start w:val="1"/>
      <w:numFmt w:val="lowerLetter"/>
      <w:lvlText w:val="%8."/>
      <w:lvlJc w:val="left"/>
      <w:pPr>
        <w:ind w:left="6469" w:hanging="360"/>
      </w:pPr>
    </w:lvl>
    <w:lvl w:ilvl="8" w:tplc="0405001B" w:tentative="1">
      <w:start w:val="1"/>
      <w:numFmt w:val="lowerRoman"/>
      <w:lvlText w:val="%9."/>
      <w:lvlJc w:val="right"/>
      <w:pPr>
        <w:ind w:left="7189" w:hanging="180"/>
      </w:pPr>
    </w:lvl>
  </w:abstractNum>
  <w:abstractNum w:abstractNumId="40" w15:restartNumberingAfterBreak="0">
    <w:nsid w:val="26B34979"/>
    <w:multiLevelType w:val="hybridMultilevel"/>
    <w:tmpl w:val="4EF441F4"/>
    <w:lvl w:ilvl="0" w:tplc="838043D4">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41" w15:restartNumberingAfterBreak="0">
    <w:nsid w:val="26C17481"/>
    <w:multiLevelType w:val="hybridMultilevel"/>
    <w:tmpl w:val="8A462150"/>
    <w:lvl w:ilvl="0" w:tplc="C4A22E78">
      <w:start w:val="1"/>
      <w:numFmt w:val="decimal"/>
      <w:lvlText w:val=".%1"/>
      <w:lvlJc w:val="left"/>
      <w:pPr>
        <w:ind w:left="1429" w:hanging="360"/>
      </w:pPr>
      <w:rPr>
        <w:rFonts w:hint="default"/>
      </w:rPr>
    </w:lvl>
    <w:lvl w:ilvl="1" w:tplc="04050019" w:tentative="1">
      <w:start w:val="1"/>
      <w:numFmt w:val="lowerLetter"/>
      <w:lvlText w:val="%2."/>
      <w:lvlJc w:val="left"/>
      <w:pPr>
        <w:ind w:left="2149" w:hanging="360"/>
      </w:pPr>
    </w:lvl>
    <w:lvl w:ilvl="2" w:tplc="0405001B" w:tentative="1">
      <w:start w:val="1"/>
      <w:numFmt w:val="lowerRoman"/>
      <w:lvlText w:val="%3."/>
      <w:lvlJc w:val="right"/>
      <w:pPr>
        <w:ind w:left="2869" w:hanging="180"/>
      </w:pPr>
    </w:lvl>
    <w:lvl w:ilvl="3" w:tplc="0405000F" w:tentative="1">
      <w:start w:val="1"/>
      <w:numFmt w:val="decimal"/>
      <w:lvlText w:val="%4."/>
      <w:lvlJc w:val="left"/>
      <w:pPr>
        <w:ind w:left="3589" w:hanging="360"/>
      </w:pPr>
    </w:lvl>
    <w:lvl w:ilvl="4" w:tplc="04050019" w:tentative="1">
      <w:start w:val="1"/>
      <w:numFmt w:val="lowerLetter"/>
      <w:lvlText w:val="%5."/>
      <w:lvlJc w:val="left"/>
      <w:pPr>
        <w:ind w:left="4309" w:hanging="360"/>
      </w:pPr>
    </w:lvl>
    <w:lvl w:ilvl="5" w:tplc="0405001B" w:tentative="1">
      <w:start w:val="1"/>
      <w:numFmt w:val="lowerRoman"/>
      <w:lvlText w:val="%6."/>
      <w:lvlJc w:val="right"/>
      <w:pPr>
        <w:ind w:left="5029" w:hanging="180"/>
      </w:pPr>
    </w:lvl>
    <w:lvl w:ilvl="6" w:tplc="0405000F" w:tentative="1">
      <w:start w:val="1"/>
      <w:numFmt w:val="decimal"/>
      <w:lvlText w:val="%7."/>
      <w:lvlJc w:val="left"/>
      <w:pPr>
        <w:ind w:left="5749" w:hanging="360"/>
      </w:pPr>
    </w:lvl>
    <w:lvl w:ilvl="7" w:tplc="04050019" w:tentative="1">
      <w:start w:val="1"/>
      <w:numFmt w:val="lowerLetter"/>
      <w:lvlText w:val="%8."/>
      <w:lvlJc w:val="left"/>
      <w:pPr>
        <w:ind w:left="6469" w:hanging="360"/>
      </w:pPr>
    </w:lvl>
    <w:lvl w:ilvl="8" w:tplc="0405001B" w:tentative="1">
      <w:start w:val="1"/>
      <w:numFmt w:val="lowerRoman"/>
      <w:lvlText w:val="%9."/>
      <w:lvlJc w:val="right"/>
      <w:pPr>
        <w:ind w:left="7189" w:hanging="180"/>
      </w:pPr>
    </w:lvl>
  </w:abstractNum>
  <w:abstractNum w:abstractNumId="42" w15:restartNumberingAfterBreak="0">
    <w:nsid w:val="26E300E8"/>
    <w:multiLevelType w:val="hybridMultilevel"/>
    <w:tmpl w:val="EAE85E54"/>
    <w:lvl w:ilvl="0" w:tplc="C4A22E78">
      <w:start w:val="1"/>
      <w:numFmt w:val="decimal"/>
      <w:lvlText w:val=".%1"/>
      <w:lvlJc w:val="left"/>
      <w:pPr>
        <w:ind w:left="1429" w:hanging="360"/>
      </w:pPr>
      <w:rPr>
        <w:rFonts w:hint="default"/>
      </w:rPr>
    </w:lvl>
    <w:lvl w:ilvl="1" w:tplc="04050019" w:tentative="1">
      <w:start w:val="1"/>
      <w:numFmt w:val="lowerLetter"/>
      <w:lvlText w:val="%2."/>
      <w:lvlJc w:val="left"/>
      <w:pPr>
        <w:ind w:left="2149" w:hanging="360"/>
      </w:pPr>
    </w:lvl>
    <w:lvl w:ilvl="2" w:tplc="0405001B" w:tentative="1">
      <w:start w:val="1"/>
      <w:numFmt w:val="lowerRoman"/>
      <w:lvlText w:val="%3."/>
      <w:lvlJc w:val="right"/>
      <w:pPr>
        <w:ind w:left="2869" w:hanging="180"/>
      </w:pPr>
    </w:lvl>
    <w:lvl w:ilvl="3" w:tplc="0405000F" w:tentative="1">
      <w:start w:val="1"/>
      <w:numFmt w:val="decimal"/>
      <w:lvlText w:val="%4."/>
      <w:lvlJc w:val="left"/>
      <w:pPr>
        <w:ind w:left="3589" w:hanging="360"/>
      </w:pPr>
    </w:lvl>
    <w:lvl w:ilvl="4" w:tplc="04050019" w:tentative="1">
      <w:start w:val="1"/>
      <w:numFmt w:val="lowerLetter"/>
      <w:lvlText w:val="%5."/>
      <w:lvlJc w:val="left"/>
      <w:pPr>
        <w:ind w:left="4309" w:hanging="360"/>
      </w:pPr>
    </w:lvl>
    <w:lvl w:ilvl="5" w:tplc="0405001B" w:tentative="1">
      <w:start w:val="1"/>
      <w:numFmt w:val="lowerRoman"/>
      <w:lvlText w:val="%6."/>
      <w:lvlJc w:val="right"/>
      <w:pPr>
        <w:ind w:left="5029" w:hanging="180"/>
      </w:pPr>
    </w:lvl>
    <w:lvl w:ilvl="6" w:tplc="0405000F" w:tentative="1">
      <w:start w:val="1"/>
      <w:numFmt w:val="decimal"/>
      <w:lvlText w:val="%7."/>
      <w:lvlJc w:val="left"/>
      <w:pPr>
        <w:ind w:left="5749" w:hanging="360"/>
      </w:pPr>
    </w:lvl>
    <w:lvl w:ilvl="7" w:tplc="04050019" w:tentative="1">
      <w:start w:val="1"/>
      <w:numFmt w:val="lowerLetter"/>
      <w:lvlText w:val="%8."/>
      <w:lvlJc w:val="left"/>
      <w:pPr>
        <w:ind w:left="6469" w:hanging="360"/>
      </w:pPr>
    </w:lvl>
    <w:lvl w:ilvl="8" w:tplc="0405001B" w:tentative="1">
      <w:start w:val="1"/>
      <w:numFmt w:val="lowerRoman"/>
      <w:lvlText w:val="%9."/>
      <w:lvlJc w:val="right"/>
      <w:pPr>
        <w:ind w:left="7189" w:hanging="180"/>
      </w:pPr>
    </w:lvl>
  </w:abstractNum>
  <w:abstractNum w:abstractNumId="43" w15:restartNumberingAfterBreak="0">
    <w:nsid w:val="285D3467"/>
    <w:multiLevelType w:val="hybridMultilevel"/>
    <w:tmpl w:val="6C2066B0"/>
    <w:lvl w:ilvl="0" w:tplc="FFFFFFFF">
      <w:start w:val="1"/>
      <w:numFmt w:val="decimal"/>
      <w:lvlText w:val=".%1"/>
      <w:lvlJc w:val="left"/>
      <w:pPr>
        <w:ind w:left="1429" w:hanging="360"/>
      </w:pPr>
      <w:rPr>
        <w:rFonts w:hint="default"/>
      </w:rPr>
    </w:lvl>
    <w:lvl w:ilvl="1" w:tplc="FFFFFFFF" w:tentative="1">
      <w:start w:val="1"/>
      <w:numFmt w:val="lowerLetter"/>
      <w:lvlText w:val="%2."/>
      <w:lvlJc w:val="left"/>
      <w:pPr>
        <w:ind w:left="2149" w:hanging="360"/>
      </w:pPr>
    </w:lvl>
    <w:lvl w:ilvl="2" w:tplc="FFFFFFFF" w:tentative="1">
      <w:start w:val="1"/>
      <w:numFmt w:val="lowerRoman"/>
      <w:lvlText w:val="%3."/>
      <w:lvlJc w:val="right"/>
      <w:pPr>
        <w:ind w:left="2869" w:hanging="180"/>
      </w:pPr>
    </w:lvl>
    <w:lvl w:ilvl="3" w:tplc="FFFFFFFF" w:tentative="1">
      <w:start w:val="1"/>
      <w:numFmt w:val="decimal"/>
      <w:lvlText w:val="%4."/>
      <w:lvlJc w:val="left"/>
      <w:pPr>
        <w:ind w:left="3589" w:hanging="360"/>
      </w:pPr>
    </w:lvl>
    <w:lvl w:ilvl="4" w:tplc="FFFFFFFF" w:tentative="1">
      <w:start w:val="1"/>
      <w:numFmt w:val="lowerLetter"/>
      <w:lvlText w:val="%5."/>
      <w:lvlJc w:val="left"/>
      <w:pPr>
        <w:ind w:left="4309" w:hanging="360"/>
      </w:pPr>
    </w:lvl>
    <w:lvl w:ilvl="5" w:tplc="FFFFFFFF" w:tentative="1">
      <w:start w:val="1"/>
      <w:numFmt w:val="lowerRoman"/>
      <w:lvlText w:val="%6."/>
      <w:lvlJc w:val="right"/>
      <w:pPr>
        <w:ind w:left="5029" w:hanging="180"/>
      </w:pPr>
    </w:lvl>
    <w:lvl w:ilvl="6" w:tplc="FFFFFFFF" w:tentative="1">
      <w:start w:val="1"/>
      <w:numFmt w:val="decimal"/>
      <w:lvlText w:val="%7."/>
      <w:lvlJc w:val="left"/>
      <w:pPr>
        <w:ind w:left="5749" w:hanging="360"/>
      </w:pPr>
    </w:lvl>
    <w:lvl w:ilvl="7" w:tplc="FFFFFFFF" w:tentative="1">
      <w:start w:val="1"/>
      <w:numFmt w:val="lowerLetter"/>
      <w:lvlText w:val="%8."/>
      <w:lvlJc w:val="left"/>
      <w:pPr>
        <w:ind w:left="6469" w:hanging="360"/>
      </w:pPr>
    </w:lvl>
    <w:lvl w:ilvl="8" w:tplc="FFFFFFFF" w:tentative="1">
      <w:start w:val="1"/>
      <w:numFmt w:val="lowerRoman"/>
      <w:lvlText w:val="%9."/>
      <w:lvlJc w:val="right"/>
      <w:pPr>
        <w:ind w:left="7189" w:hanging="180"/>
      </w:pPr>
    </w:lvl>
  </w:abstractNum>
  <w:abstractNum w:abstractNumId="44" w15:restartNumberingAfterBreak="0">
    <w:nsid w:val="28D52CD4"/>
    <w:multiLevelType w:val="hybridMultilevel"/>
    <w:tmpl w:val="F09E883A"/>
    <w:lvl w:ilvl="0" w:tplc="C4A22E78">
      <w:start w:val="1"/>
      <w:numFmt w:val="decimal"/>
      <w:lvlText w:val=".%1"/>
      <w:lvlJc w:val="left"/>
      <w:pPr>
        <w:ind w:left="1571" w:hanging="360"/>
      </w:pPr>
      <w:rPr>
        <w:rFonts w:hint="default"/>
      </w:rPr>
    </w:lvl>
    <w:lvl w:ilvl="1" w:tplc="04050019" w:tentative="1">
      <w:start w:val="1"/>
      <w:numFmt w:val="lowerLetter"/>
      <w:lvlText w:val="%2."/>
      <w:lvlJc w:val="left"/>
      <w:pPr>
        <w:ind w:left="2291" w:hanging="360"/>
      </w:pPr>
    </w:lvl>
    <w:lvl w:ilvl="2" w:tplc="0405001B" w:tentative="1">
      <w:start w:val="1"/>
      <w:numFmt w:val="lowerRoman"/>
      <w:lvlText w:val="%3."/>
      <w:lvlJc w:val="right"/>
      <w:pPr>
        <w:ind w:left="3011" w:hanging="180"/>
      </w:pPr>
    </w:lvl>
    <w:lvl w:ilvl="3" w:tplc="0405000F" w:tentative="1">
      <w:start w:val="1"/>
      <w:numFmt w:val="decimal"/>
      <w:lvlText w:val="%4."/>
      <w:lvlJc w:val="left"/>
      <w:pPr>
        <w:ind w:left="3731" w:hanging="360"/>
      </w:pPr>
    </w:lvl>
    <w:lvl w:ilvl="4" w:tplc="04050019" w:tentative="1">
      <w:start w:val="1"/>
      <w:numFmt w:val="lowerLetter"/>
      <w:lvlText w:val="%5."/>
      <w:lvlJc w:val="left"/>
      <w:pPr>
        <w:ind w:left="4451" w:hanging="360"/>
      </w:pPr>
    </w:lvl>
    <w:lvl w:ilvl="5" w:tplc="0405001B" w:tentative="1">
      <w:start w:val="1"/>
      <w:numFmt w:val="lowerRoman"/>
      <w:lvlText w:val="%6."/>
      <w:lvlJc w:val="right"/>
      <w:pPr>
        <w:ind w:left="5171" w:hanging="180"/>
      </w:pPr>
    </w:lvl>
    <w:lvl w:ilvl="6" w:tplc="0405000F" w:tentative="1">
      <w:start w:val="1"/>
      <w:numFmt w:val="decimal"/>
      <w:lvlText w:val="%7."/>
      <w:lvlJc w:val="left"/>
      <w:pPr>
        <w:ind w:left="5891" w:hanging="360"/>
      </w:pPr>
    </w:lvl>
    <w:lvl w:ilvl="7" w:tplc="04050019" w:tentative="1">
      <w:start w:val="1"/>
      <w:numFmt w:val="lowerLetter"/>
      <w:lvlText w:val="%8."/>
      <w:lvlJc w:val="left"/>
      <w:pPr>
        <w:ind w:left="6611" w:hanging="360"/>
      </w:pPr>
    </w:lvl>
    <w:lvl w:ilvl="8" w:tplc="0405001B" w:tentative="1">
      <w:start w:val="1"/>
      <w:numFmt w:val="lowerRoman"/>
      <w:lvlText w:val="%9."/>
      <w:lvlJc w:val="right"/>
      <w:pPr>
        <w:ind w:left="7331" w:hanging="180"/>
      </w:pPr>
    </w:lvl>
  </w:abstractNum>
  <w:abstractNum w:abstractNumId="45" w15:restartNumberingAfterBreak="0">
    <w:nsid w:val="297B0997"/>
    <w:multiLevelType w:val="hybridMultilevel"/>
    <w:tmpl w:val="5CF49436"/>
    <w:lvl w:ilvl="0" w:tplc="C4A22E78">
      <w:start w:val="1"/>
      <w:numFmt w:val="decimal"/>
      <w:lvlText w:val=".%1"/>
      <w:lvlJc w:val="left"/>
      <w:pPr>
        <w:ind w:left="1429" w:hanging="360"/>
      </w:pPr>
      <w:rPr>
        <w:rFonts w:hint="default"/>
      </w:rPr>
    </w:lvl>
    <w:lvl w:ilvl="1" w:tplc="04050019" w:tentative="1">
      <w:start w:val="1"/>
      <w:numFmt w:val="lowerLetter"/>
      <w:lvlText w:val="%2."/>
      <w:lvlJc w:val="left"/>
      <w:pPr>
        <w:ind w:left="2149" w:hanging="360"/>
      </w:pPr>
    </w:lvl>
    <w:lvl w:ilvl="2" w:tplc="0405001B" w:tentative="1">
      <w:start w:val="1"/>
      <w:numFmt w:val="lowerRoman"/>
      <w:lvlText w:val="%3."/>
      <w:lvlJc w:val="right"/>
      <w:pPr>
        <w:ind w:left="2869" w:hanging="180"/>
      </w:pPr>
    </w:lvl>
    <w:lvl w:ilvl="3" w:tplc="0405000F" w:tentative="1">
      <w:start w:val="1"/>
      <w:numFmt w:val="decimal"/>
      <w:lvlText w:val="%4."/>
      <w:lvlJc w:val="left"/>
      <w:pPr>
        <w:ind w:left="3589" w:hanging="360"/>
      </w:pPr>
    </w:lvl>
    <w:lvl w:ilvl="4" w:tplc="04050019" w:tentative="1">
      <w:start w:val="1"/>
      <w:numFmt w:val="lowerLetter"/>
      <w:lvlText w:val="%5."/>
      <w:lvlJc w:val="left"/>
      <w:pPr>
        <w:ind w:left="4309" w:hanging="360"/>
      </w:pPr>
    </w:lvl>
    <w:lvl w:ilvl="5" w:tplc="0405001B" w:tentative="1">
      <w:start w:val="1"/>
      <w:numFmt w:val="lowerRoman"/>
      <w:lvlText w:val="%6."/>
      <w:lvlJc w:val="right"/>
      <w:pPr>
        <w:ind w:left="5029" w:hanging="180"/>
      </w:pPr>
    </w:lvl>
    <w:lvl w:ilvl="6" w:tplc="0405000F" w:tentative="1">
      <w:start w:val="1"/>
      <w:numFmt w:val="decimal"/>
      <w:lvlText w:val="%7."/>
      <w:lvlJc w:val="left"/>
      <w:pPr>
        <w:ind w:left="5749" w:hanging="360"/>
      </w:pPr>
    </w:lvl>
    <w:lvl w:ilvl="7" w:tplc="04050019" w:tentative="1">
      <w:start w:val="1"/>
      <w:numFmt w:val="lowerLetter"/>
      <w:lvlText w:val="%8."/>
      <w:lvlJc w:val="left"/>
      <w:pPr>
        <w:ind w:left="6469" w:hanging="360"/>
      </w:pPr>
    </w:lvl>
    <w:lvl w:ilvl="8" w:tplc="0405001B" w:tentative="1">
      <w:start w:val="1"/>
      <w:numFmt w:val="lowerRoman"/>
      <w:lvlText w:val="%9."/>
      <w:lvlJc w:val="right"/>
      <w:pPr>
        <w:ind w:left="7189" w:hanging="180"/>
      </w:pPr>
    </w:lvl>
  </w:abstractNum>
  <w:abstractNum w:abstractNumId="46" w15:restartNumberingAfterBreak="0">
    <w:nsid w:val="2A9C6A99"/>
    <w:multiLevelType w:val="hybridMultilevel"/>
    <w:tmpl w:val="18C6AFDE"/>
    <w:lvl w:ilvl="0" w:tplc="FFFFFFFF">
      <w:start w:val="1"/>
      <w:numFmt w:val="decimal"/>
      <w:lvlText w:val=".%1"/>
      <w:lvlJc w:val="left"/>
      <w:pPr>
        <w:ind w:left="1429" w:hanging="360"/>
      </w:pPr>
      <w:rPr>
        <w:rFonts w:hint="default"/>
      </w:rPr>
    </w:lvl>
    <w:lvl w:ilvl="1" w:tplc="FFFFFFFF" w:tentative="1">
      <w:start w:val="1"/>
      <w:numFmt w:val="lowerLetter"/>
      <w:lvlText w:val="%2."/>
      <w:lvlJc w:val="left"/>
      <w:pPr>
        <w:ind w:left="2149" w:hanging="360"/>
      </w:pPr>
    </w:lvl>
    <w:lvl w:ilvl="2" w:tplc="FFFFFFFF" w:tentative="1">
      <w:start w:val="1"/>
      <w:numFmt w:val="lowerRoman"/>
      <w:lvlText w:val="%3."/>
      <w:lvlJc w:val="right"/>
      <w:pPr>
        <w:ind w:left="2869" w:hanging="180"/>
      </w:pPr>
    </w:lvl>
    <w:lvl w:ilvl="3" w:tplc="FFFFFFFF" w:tentative="1">
      <w:start w:val="1"/>
      <w:numFmt w:val="decimal"/>
      <w:lvlText w:val="%4."/>
      <w:lvlJc w:val="left"/>
      <w:pPr>
        <w:ind w:left="3589" w:hanging="360"/>
      </w:pPr>
    </w:lvl>
    <w:lvl w:ilvl="4" w:tplc="FFFFFFFF" w:tentative="1">
      <w:start w:val="1"/>
      <w:numFmt w:val="lowerLetter"/>
      <w:lvlText w:val="%5."/>
      <w:lvlJc w:val="left"/>
      <w:pPr>
        <w:ind w:left="4309" w:hanging="360"/>
      </w:pPr>
    </w:lvl>
    <w:lvl w:ilvl="5" w:tplc="FFFFFFFF" w:tentative="1">
      <w:start w:val="1"/>
      <w:numFmt w:val="lowerRoman"/>
      <w:lvlText w:val="%6."/>
      <w:lvlJc w:val="right"/>
      <w:pPr>
        <w:ind w:left="5029" w:hanging="180"/>
      </w:pPr>
    </w:lvl>
    <w:lvl w:ilvl="6" w:tplc="FFFFFFFF" w:tentative="1">
      <w:start w:val="1"/>
      <w:numFmt w:val="decimal"/>
      <w:lvlText w:val="%7."/>
      <w:lvlJc w:val="left"/>
      <w:pPr>
        <w:ind w:left="5749" w:hanging="360"/>
      </w:pPr>
    </w:lvl>
    <w:lvl w:ilvl="7" w:tplc="FFFFFFFF" w:tentative="1">
      <w:start w:val="1"/>
      <w:numFmt w:val="lowerLetter"/>
      <w:lvlText w:val="%8."/>
      <w:lvlJc w:val="left"/>
      <w:pPr>
        <w:ind w:left="6469" w:hanging="360"/>
      </w:pPr>
    </w:lvl>
    <w:lvl w:ilvl="8" w:tplc="FFFFFFFF" w:tentative="1">
      <w:start w:val="1"/>
      <w:numFmt w:val="lowerRoman"/>
      <w:lvlText w:val="%9."/>
      <w:lvlJc w:val="right"/>
      <w:pPr>
        <w:ind w:left="7189" w:hanging="180"/>
      </w:pPr>
    </w:lvl>
  </w:abstractNum>
  <w:abstractNum w:abstractNumId="47" w15:restartNumberingAfterBreak="0">
    <w:nsid w:val="2BE35BC2"/>
    <w:multiLevelType w:val="hybridMultilevel"/>
    <w:tmpl w:val="B81ED186"/>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8" w15:restartNumberingAfterBreak="0">
    <w:nsid w:val="2E022D16"/>
    <w:multiLevelType w:val="hybridMultilevel"/>
    <w:tmpl w:val="5CF49436"/>
    <w:lvl w:ilvl="0" w:tplc="FFFFFFFF">
      <w:start w:val="1"/>
      <w:numFmt w:val="decimal"/>
      <w:lvlText w:val=".%1"/>
      <w:lvlJc w:val="left"/>
      <w:pPr>
        <w:ind w:left="1429" w:hanging="360"/>
      </w:pPr>
      <w:rPr>
        <w:rFonts w:hint="default"/>
      </w:rPr>
    </w:lvl>
    <w:lvl w:ilvl="1" w:tplc="FFFFFFFF" w:tentative="1">
      <w:start w:val="1"/>
      <w:numFmt w:val="lowerLetter"/>
      <w:lvlText w:val="%2."/>
      <w:lvlJc w:val="left"/>
      <w:pPr>
        <w:ind w:left="2149" w:hanging="360"/>
      </w:pPr>
    </w:lvl>
    <w:lvl w:ilvl="2" w:tplc="FFFFFFFF" w:tentative="1">
      <w:start w:val="1"/>
      <w:numFmt w:val="lowerRoman"/>
      <w:lvlText w:val="%3."/>
      <w:lvlJc w:val="right"/>
      <w:pPr>
        <w:ind w:left="2869" w:hanging="180"/>
      </w:pPr>
    </w:lvl>
    <w:lvl w:ilvl="3" w:tplc="FFFFFFFF" w:tentative="1">
      <w:start w:val="1"/>
      <w:numFmt w:val="decimal"/>
      <w:lvlText w:val="%4."/>
      <w:lvlJc w:val="left"/>
      <w:pPr>
        <w:ind w:left="3589" w:hanging="360"/>
      </w:pPr>
    </w:lvl>
    <w:lvl w:ilvl="4" w:tplc="FFFFFFFF" w:tentative="1">
      <w:start w:val="1"/>
      <w:numFmt w:val="lowerLetter"/>
      <w:lvlText w:val="%5."/>
      <w:lvlJc w:val="left"/>
      <w:pPr>
        <w:ind w:left="4309" w:hanging="360"/>
      </w:pPr>
    </w:lvl>
    <w:lvl w:ilvl="5" w:tplc="FFFFFFFF" w:tentative="1">
      <w:start w:val="1"/>
      <w:numFmt w:val="lowerRoman"/>
      <w:lvlText w:val="%6."/>
      <w:lvlJc w:val="right"/>
      <w:pPr>
        <w:ind w:left="5029" w:hanging="180"/>
      </w:pPr>
    </w:lvl>
    <w:lvl w:ilvl="6" w:tplc="FFFFFFFF" w:tentative="1">
      <w:start w:val="1"/>
      <w:numFmt w:val="decimal"/>
      <w:lvlText w:val="%7."/>
      <w:lvlJc w:val="left"/>
      <w:pPr>
        <w:ind w:left="5749" w:hanging="360"/>
      </w:pPr>
    </w:lvl>
    <w:lvl w:ilvl="7" w:tplc="FFFFFFFF" w:tentative="1">
      <w:start w:val="1"/>
      <w:numFmt w:val="lowerLetter"/>
      <w:lvlText w:val="%8."/>
      <w:lvlJc w:val="left"/>
      <w:pPr>
        <w:ind w:left="6469" w:hanging="360"/>
      </w:pPr>
    </w:lvl>
    <w:lvl w:ilvl="8" w:tplc="FFFFFFFF" w:tentative="1">
      <w:start w:val="1"/>
      <w:numFmt w:val="lowerRoman"/>
      <w:lvlText w:val="%9."/>
      <w:lvlJc w:val="right"/>
      <w:pPr>
        <w:ind w:left="7189" w:hanging="180"/>
      </w:pPr>
    </w:lvl>
  </w:abstractNum>
  <w:abstractNum w:abstractNumId="49" w15:restartNumberingAfterBreak="0">
    <w:nsid w:val="2E6D4CA6"/>
    <w:multiLevelType w:val="hybridMultilevel"/>
    <w:tmpl w:val="558E9696"/>
    <w:lvl w:ilvl="0" w:tplc="C4A22E78">
      <w:start w:val="1"/>
      <w:numFmt w:val="decimal"/>
      <w:lvlText w:val=".%1"/>
      <w:lvlJc w:val="left"/>
      <w:pPr>
        <w:ind w:left="1429" w:hanging="360"/>
      </w:pPr>
      <w:rPr>
        <w:rFonts w:hint="default"/>
      </w:rPr>
    </w:lvl>
    <w:lvl w:ilvl="1" w:tplc="04050019" w:tentative="1">
      <w:start w:val="1"/>
      <w:numFmt w:val="lowerLetter"/>
      <w:lvlText w:val="%2."/>
      <w:lvlJc w:val="left"/>
      <w:pPr>
        <w:ind w:left="2149" w:hanging="360"/>
      </w:pPr>
    </w:lvl>
    <w:lvl w:ilvl="2" w:tplc="0405001B" w:tentative="1">
      <w:start w:val="1"/>
      <w:numFmt w:val="lowerRoman"/>
      <w:lvlText w:val="%3."/>
      <w:lvlJc w:val="right"/>
      <w:pPr>
        <w:ind w:left="2869" w:hanging="180"/>
      </w:pPr>
    </w:lvl>
    <w:lvl w:ilvl="3" w:tplc="0405000F" w:tentative="1">
      <w:start w:val="1"/>
      <w:numFmt w:val="decimal"/>
      <w:lvlText w:val="%4."/>
      <w:lvlJc w:val="left"/>
      <w:pPr>
        <w:ind w:left="3589" w:hanging="360"/>
      </w:pPr>
    </w:lvl>
    <w:lvl w:ilvl="4" w:tplc="04050019" w:tentative="1">
      <w:start w:val="1"/>
      <w:numFmt w:val="lowerLetter"/>
      <w:lvlText w:val="%5."/>
      <w:lvlJc w:val="left"/>
      <w:pPr>
        <w:ind w:left="4309" w:hanging="360"/>
      </w:pPr>
    </w:lvl>
    <w:lvl w:ilvl="5" w:tplc="0405001B" w:tentative="1">
      <w:start w:val="1"/>
      <w:numFmt w:val="lowerRoman"/>
      <w:lvlText w:val="%6."/>
      <w:lvlJc w:val="right"/>
      <w:pPr>
        <w:ind w:left="5029" w:hanging="180"/>
      </w:pPr>
    </w:lvl>
    <w:lvl w:ilvl="6" w:tplc="0405000F" w:tentative="1">
      <w:start w:val="1"/>
      <w:numFmt w:val="decimal"/>
      <w:lvlText w:val="%7."/>
      <w:lvlJc w:val="left"/>
      <w:pPr>
        <w:ind w:left="5749" w:hanging="360"/>
      </w:pPr>
    </w:lvl>
    <w:lvl w:ilvl="7" w:tplc="04050019" w:tentative="1">
      <w:start w:val="1"/>
      <w:numFmt w:val="lowerLetter"/>
      <w:lvlText w:val="%8."/>
      <w:lvlJc w:val="left"/>
      <w:pPr>
        <w:ind w:left="6469" w:hanging="360"/>
      </w:pPr>
    </w:lvl>
    <w:lvl w:ilvl="8" w:tplc="0405001B" w:tentative="1">
      <w:start w:val="1"/>
      <w:numFmt w:val="lowerRoman"/>
      <w:lvlText w:val="%9."/>
      <w:lvlJc w:val="right"/>
      <w:pPr>
        <w:ind w:left="7189" w:hanging="180"/>
      </w:pPr>
    </w:lvl>
  </w:abstractNum>
  <w:abstractNum w:abstractNumId="50" w15:restartNumberingAfterBreak="0">
    <w:nsid w:val="2ED4250B"/>
    <w:multiLevelType w:val="hybridMultilevel"/>
    <w:tmpl w:val="5CF49436"/>
    <w:lvl w:ilvl="0" w:tplc="FFFFFFFF">
      <w:start w:val="1"/>
      <w:numFmt w:val="decimal"/>
      <w:lvlText w:val=".%1"/>
      <w:lvlJc w:val="left"/>
      <w:pPr>
        <w:ind w:left="1429" w:hanging="360"/>
      </w:pPr>
      <w:rPr>
        <w:rFonts w:hint="default"/>
      </w:rPr>
    </w:lvl>
    <w:lvl w:ilvl="1" w:tplc="FFFFFFFF" w:tentative="1">
      <w:start w:val="1"/>
      <w:numFmt w:val="lowerLetter"/>
      <w:lvlText w:val="%2."/>
      <w:lvlJc w:val="left"/>
      <w:pPr>
        <w:ind w:left="2149" w:hanging="360"/>
      </w:pPr>
    </w:lvl>
    <w:lvl w:ilvl="2" w:tplc="FFFFFFFF" w:tentative="1">
      <w:start w:val="1"/>
      <w:numFmt w:val="lowerRoman"/>
      <w:lvlText w:val="%3."/>
      <w:lvlJc w:val="right"/>
      <w:pPr>
        <w:ind w:left="2869" w:hanging="180"/>
      </w:pPr>
    </w:lvl>
    <w:lvl w:ilvl="3" w:tplc="FFFFFFFF" w:tentative="1">
      <w:start w:val="1"/>
      <w:numFmt w:val="decimal"/>
      <w:lvlText w:val="%4."/>
      <w:lvlJc w:val="left"/>
      <w:pPr>
        <w:ind w:left="3589" w:hanging="360"/>
      </w:pPr>
    </w:lvl>
    <w:lvl w:ilvl="4" w:tplc="FFFFFFFF" w:tentative="1">
      <w:start w:val="1"/>
      <w:numFmt w:val="lowerLetter"/>
      <w:lvlText w:val="%5."/>
      <w:lvlJc w:val="left"/>
      <w:pPr>
        <w:ind w:left="4309" w:hanging="360"/>
      </w:pPr>
    </w:lvl>
    <w:lvl w:ilvl="5" w:tplc="FFFFFFFF" w:tentative="1">
      <w:start w:val="1"/>
      <w:numFmt w:val="lowerRoman"/>
      <w:lvlText w:val="%6."/>
      <w:lvlJc w:val="right"/>
      <w:pPr>
        <w:ind w:left="5029" w:hanging="180"/>
      </w:pPr>
    </w:lvl>
    <w:lvl w:ilvl="6" w:tplc="FFFFFFFF" w:tentative="1">
      <w:start w:val="1"/>
      <w:numFmt w:val="decimal"/>
      <w:lvlText w:val="%7."/>
      <w:lvlJc w:val="left"/>
      <w:pPr>
        <w:ind w:left="5749" w:hanging="360"/>
      </w:pPr>
    </w:lvl>
    <w:lvl w:ilvl="7" w:tplc="FFFFFFFF" w:tentative="1">
      <w:start w:val="1"/>
      <w:numFmt w:val="lowerLetter"/>
      <w:lvlText w:val="%8."/>
      <w:lvlJc w:val="left"/>
      <w:pPr>
        <w:ind w:left="6469" w:hanging="360"/>
      </w:pPr>
    </w:lvl>
    <w:lvl w:ilvl="8" w:tplc="FFFFFFFF" w:tentative="1">
      <w:start w:val="1"/>
      <w:numFmt w:val="lowerRoman"/>
      <w:lvlText w:val="%9."/>
      <w:lvlJc w:val="right"/>
      <w:pPr>
        <w:ind w:left="7189" w:hanging="180"/>
      </w:pPr>
    </w:lvl>
  </w:abstractNum>
  <w:abstractNum w:abstractNumId="51" w15:restartNumberingAfterBreak="0">
    <w:nsid w:val="2FA20F36"/>
    <w:multiLevelType w:val="hybridMultilevel"/>
    <w:tmpl w:val="4EF441F4"/>
    <w:lvl w:ilvl="0" w:tplc="9B129270">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52" w15:restartNumberingAfterBreak="0">
    <w:nsid w:val="300276C1"/>
    <w:multiLevelType w:val="hybridMultilevel"/>
    <w:tmpl w:val="803840FC"/>
    <w:lvl w:ilvl="0" w:tplc="FFFFFFFF">
      <w:start w:val="1"/>
      <w:numFmt w:val="decimal"/>
      <w:lvlText w:val=".%1"/>
      <w:lvlJc w:val="left"/>
      <w:pPr>
        <w:ind w:left="1429" w:hanging="360"/>
      </w:pPr>
      <w:rPr>
        <w:rFonts w:hint="default"/>
      </w:rPr>
    </w:lvl>
    <w:lvl w:ilvl="1" w:tplc="FFFFFFFF" w:tentative="1">
      <w:start w:val="1"/>
      <w:numFmt w:val="lowerLetter"/>
      <w:lvlText w:val="%2."/>
      <w:lvlJc w:val="left"/>
      <w:pPr>
        <w:ind w:left="2149" w:hanging="360"/>
      </w:pPr>
    </w:lvl>
    <w:lvl w:ilvl="2" w:tplc="FFFFFFFF" w:tentative="1">
      <w:start w:val="1"/>
      <w:numFmt w:val="lowerRoman"/>
      <w:lvlText w:val="%3."/>
      <w:lvlJc w:val="right"/>
      <w:pPr>
        <w:ind w:left="2869" w:hanging="180"/>
      </w:pPr>
    </w:lvl>
    <w:lvl w:ilvl="3" w:tplc="FFFFFFFF" w:tentative="1">
      <w:start w:val="1"/>
      <w:numFmt w:val="decimal"/>
      <w:lvlText w:val="%4."/>
      <w:lvlJc w:val="left"/>
      <w:pPr>
        <w:ind w:left="3589" w:hanging="360"/>
      </w:pPr>
    </w:lvl>
    <w:lvl w:ilvl="4" w:tplc="FFFFFFFF" w:tentative="1">
      <w:start w:val="1"/>
      <w:numFmt w:val="lowerLetter"/>
      <w:lvlText w:val="%5."/>
      <w:lvlJc w:val="left"/>
      <w:pPr>
        <w:ind w:left="4309" w:hanging="360"/>
      </w:pPr>
    </w:lvl>
    <w:lvl w:ilvl="5" w:tplc="FFFFFFFF" w:tentative="1">
      <w:start w:val="1"/>
      <w:numFmt w:val="lowerRoman"/>
      <w:lvlText w:val="%6."/>
      <w:lvlJc w:val="right"/>
      <w:pPr>
        <w:ind w:left="5029" w:hanging="180"/>
      </w:pPr>
    </w:lvl>
    <w:lvl w:ilvl="6" w:tplc="FFFFFFFF" w:tentative="1">
      <w:start w:val="1"/>
      <w:numFmt w:val="decimal"/>
      <w:lvlText w:val="%7."/>
      <w:lvlJc w:val="left"/>
      <w:pPr>
        <w:ind w:left="5749" w:hanging="360"/>
      </w:pPr>
    </w:lvl>
    <w:lvl w:ilvl="7" w:tplc="FFFFFFFF" w:tentative="1">
      <w:start w:val="1"/>
      <w:numFmt w:val="lowerLetter"/>
      <w:lvlText w:val="%8."/>
      <w:lvlJc w:val="left"/>
      <w:pPr>
        <w:ind w:left="6469" w:hanging="360"/>
      </w:pPr>
    </w:lvl>
    <w:lvl w:ilvl="8" w:tplc="FFFFFFFF" w:tentative="1">
      <w:start w:val="1"/>
      <w:numFmt w:val="lowerRoman"/>
      <w:lvlText w:val="%9."/>
      <w:lvlJc w:val="right"/>
      <w:pPr>
        <w:ind w:left="7189" w:hanging="180"/>
      </w:pPr>
    </w:lvl>
  </w:abstractNum>
  <w:abstractNum w:abstractNumId="53" w15:restartNumberingAfterBreak="0">
    <w:nsid w:val="35194F0E"/>
    <w:multiLevelType w:val="hybridMultilevel"/>
    <w:tmpl w:val="30684C48"/>
    <w:lvl w:ilvl="0" w:tplc="9BF8FF72">
      <w:start w:val="1"/>
      <w:numFmt w:val="bullet"/>
      <w:lvlText w:val="•"/>
      <w:lvlJc w:val="left"/>
      <w:pPr>
        <w:ind w:left="1429" w:hanging="360"/>
      </w:pPr>
      <w:rPr>
        <w:rFonts w:hint="default"/>
      </w:rPr>
    </w:lvl>
    <w:lvl w:ilvl="1" w:tplc="FFFFFFFF" w:tentative="1">
      <w:start w:val="1"/>
      <w:numFmt w:val="bullet"/>
      <w:lvlText w:val="o"/>
      <w:lvlJc w:val="left"/>
      <w:pPr>
        <w:ind w:left="2149" w:hanging="360"/>
      </w:pPr>
      <w:rPr>
        <w:rFonts w:ascii="Courier New" w:hAnsi="Courier New" w:cs="Courier New" w:hint="default"/>
      </w:rPr>
    </w:lvl>
    <w:lvl w:ilvl="2" w:tplc="FFFFFFFF" w:tentative="1">
      <w:start w:val="1"/>
      <w:numFmt w:val="bullet"/>
      <w:lvlText w:val=""/>
      <w:lvlJc w:val="left"/>
      <w:pPr>
        <w:ind w:left="2869" w:hanging="360"/>
      </w:pPr>
      <w:rPr>
        <w:rFonts w:ascii="Wingdings" w:hAnsi="Wingdings" w:hint="default"/>
      </w:rPr>
    </w:lvl>
    <w:lvl w:ilvl="3" w:tplc="FFFFFFFF" w:tentative="1">
      <w:start w:val="1"/>
      <w:numFmt w:val="bullet"/>
      <w:lvlText w:val=""/>
      <w:lvlJc w:val="left"/>
      <w:pPr>
        <w:ind w:left="3589" w:hanging="360"/>
      </w:pPr>
      <w:rPr>
        <w:rFonts w:ascii="Symbol" w:hAnsi="Symbol" w:hint="default"/>
      </w:rPr>
    </w:lvl>
    <w:lvl w:ilvl="4" w:tplc="FFFFFFFF" w:tentative="1">
      <w:start w:val="1"/>
      <w:numFmt w:val="bullet"/>
      <w:lvlText w:val="o"/>
      <w:lvlJc w:val="left"/>
      <w:pPr>
        <w:ind w:left="4309" w:hanging="360"/>
      </w:pPr>
      <w:rPr>
        <w:rFonts w:ascii="Courier New" w:hAnsi="Courier New" w:cs="Courier New" w:hint="default"/>
      </w:rPr>
    </w:lvl>
    <w:lvl w:ilvl="5" w:tplc="FFFFFFFF" w:tentative="1">
      <w:start w:val="1"/>
      <w:numFmt w:val="bullet"/>
      <w:lvlText w:val=""/>
      <w:lvlJc w:val="left"/>
      <w:pPr>
        <w:ind w:left="5029" w:hanging="360"/>
      </w:pPr>
      <w:rPr>
        <w:rFonts w:ascii="Wingdings" w:hAnsi="Wingdings" w:hint="default"/>
      </w:rPr>
    </w:lvl>
    <w:lvl w:ilvl="6" w:tplc="FFFFFFFF" w:tentative="1">
      <w:start w:val="1"/>
      <w:numFmt w:val="bullet"/>
      <w:lvlText w:val=""/>
      <w:lvlJc w:val="left"/>
      <w:pPr>
        <w:ind w:left="5749" w:hanging="360"/>
      </w:pPr>
      <w:rPr>
        <w:rFonts w:ascii="Symbol" w:hAnsi="Symbol" w:hint="default"/>
      </w:rPr>
    </w:lvl>
    <w:lvl w:ilvl="7" w:tplc="FFFFFFFF" w:tentative="1">
      <w:start w:val="1"/>
      <w:numFmt w:val="bullet"/>
      <w:lvlText w:val="o"/>
      <w:lvlJc w:val="left"/>
      <w:pPr>
        <w:ind w:left="6469" w:hanging="360"/>
      </w:pPr>
      <w:rPr>
        <w:rFonts w:ascii="Courier New" w:hAnsi="Courier New" w:cs="Courier New" w:hint="default"/>
      </w:rPr>
    </w:lvl>
    <w:lvl w:ilvl="8" w:tplc="FFFFFFFF" w:tentative="1">
      <w:start w:val="1"/>
      <w:numFmt w:val="bullet"/>
      <w:lvlText w:val=""/>
      <w:lvlJc w:val="left"/>
      <w:pPr>
        <w:ind w:left="7189" w:hanging="360"/>
      </w:pPr>
      <w:rPr>
        <w:rFonts w:ascii="Wingdings" w:hAnsi="Wingdings" w:hint="default"/>
      </w:rPr>
    </w:lvl>
  </w:abstractNum>
  <w:abstractNum w:abstractNumId="54" w15:restartNumberingAfterBreak="0">
    <w:nsid w:val="3572017C"/>
    <w:multiLevelType w:val="hybridMultilevel"/>
    <w:tmpl w:val="5D6A3B48"/>
    <w:lvl w:ilvl="0" w:tplc="04050001">
      <w:start w:val="1"/>
      <w:numFmt w:val="bullet"/>
      <w:lvlText w:val=""/>
      <w:lvlJc w:val="left"/>
      <w:pPr>
        <w:ind w:left="1429" w:hanging="360"/>
      </w:pPr>
      <w:rPr>
        <w:rFonts w:ascii="Symbol" w:hAnsi="Symbol" w:hint="default"/>
      </w:rPr>
    </w:lvl>
    <w:lvl w:ilvl="1" w:tplc="04050003" w:tentative="1">
      <w:start w:val="1"/>
      <w:numFmt w:val="bullet"/>
      <w:lvlText w:val="o"/>
      <w:lvlJc w:val="left"/>
      <w:pPr>
        <w:ind w:left="2149" w:hanging="360"/>
      </w:pPr>
      <w:rPr>
        <w:rFonts w:ascii="Courier New" w:hAnsi="Courier New" w:cs="Courier New" w:hint="default"/>
      </w:rPr>
    </w:lvl>
    <w:lvl w:ilvl="2" w:tplc="04050005" w:tentative="1">
      <w:start w:val="1"/>
      <w:numFmt w:val="bullet"/>
      <w:lvlText w:val=""/>
      <w:lvlJc w:val="left"/>
      <w:pPr>
        <w:ind w:left="2869" w:hanging="360"/>
      </w:pPr>
      <w:rPr>
        <w:rFonts w:ascii="Wingdings" w:hAnsi="Wingdings" w:hint="default"/>
      </w:rPr>
    </w:lvl>
    <w:lvl w:ilvl="3" w:tplc="04050001" w:tentative="1">
      <w:start w:val="1"/>
      <w:numFmt w:val="bullet"/>
      <w:lvlText w:val=""/>
      <w:lvlJc w:val="left"/>
      <w:pPr>
        <w:ind w:left="3589" w:hanging="360"/>
      </w:pPr>
      <w:rPr>
        <w:rFonts w:ascii="Symbol" w:hAnsi="Symbol" w:hint="default"/>
      </w:rPr>
    </w:lvl>
    <w:lvl w:ilvl="4" w:tplc="04050003" w:tentative="1">
      <w:start w:val="1"/>
      <w:numFmt w:val="bullet"/>
      <w:lvlText w:val="o"/>
      <w:lvlJc w:val="left"/>
      <w:pPr>
        <w:ind w:left="4309" w:hanging="360"/>
      </w:pPr>
      <w:rPr>
        <w:rFonts w:ascii="Courier New" w:hAnsi="Courier New" w:cs="Courier New" w:hint="default"/>
      </w:rPr>
    </w:lvl>
    <w:lvl w:ilvl="5" w:tplc="04050005" w:tentative="1">
      <w:start w:val="1"/>
      <w:numFmt w:val="bullet"/>
      <w:lvlText w:val=""/>
      <w:lvlJc w:val="left"/>
      <w:pPr>
        <w:ind w:left="5029" w:hanging="360"/>
      </w:pPr>
      <w:rPr>
        <w:rFonts w:ascii="Wingdings" w:hAnsi="Wingdings" w:hint="default"/>
      </w:rPr>
    </w:lvl>
    <w:lvl w:ilvl="6" w:tplc="04050001" w:tentative="1">
      <w:start w:val="1"/>
      <w:numFmt w:val="bullet"/>
      <w:lvlText w:val=""/>
      <w:lvlJc w:val="left"/>
      <w:pPr>
        <w:ind w:left="5749" w:hanging="360"/>
      </w:pPr>
      <w:rPr>
        <w:rFonts w:ascii="Symbol" w:hAnsi="Symbol" w:hint="default"/>
      </w:rPr>
    </w:lvl>
    <w:lvl w:ilvl="7" w:tplc="04050003" w:tentative="1">
      <w:start w:val="1"/>
      <w:numFmt w:val="bullet"/>
      <w:lvlText w:val="o"/>
      <w:lvlJc w:val="left"/>
      <w:pPr>
        <w:ind w:left="6469" w:hanging="360"/>
      </w:pPr>
      <w:rPr>
        <w:rFonts w:ascii="Courier New" w:hAnsi="Courier New" w:cs="Courier New" w:hint="default"/>
      </w:rPr>
    </w:lvl>
    <w:lvl w:ilvl="8" w:tplc="04050005" w:tentative="1">
      <w:start w:val="1"/>
      <w:numFmt w:val="bullet"/>
      <w:lvlText w:val=""/>
      <w:lvlJc w:val="left"/>
      <w:pPr>
        <w:ind w:left="7189" w:hanging="360"/>
      </w:pPr>
      <w:rPr>
        <w:rFonts w:ascii="Wingdings" w:hAnsi="Wingdings" w:hint="default"/>
      </w:rPr>
    </w:lvl>
  </w:abstractNum>
  <w:abstractNum w:abstractNumId="55" w15:restartNumberingAfterBreak="0">
    <w:nsid w:val="384603FD"/>
    <w:multiLevelType w:val="hybridMultilevel"/>
    <w:tmpl w:val="63C4B31C"/>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6" w15:restartNumberingAfterBreak="0">
    <w:nsid w:val="388F06A2"/>
    <w:multiLevelType w:val="hybridMultilevel"/>
    <w:tmpl w:val="4EF441F4"/>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7" w15:restartNumberingAfterBreak="0">
    <w:nsid w:val="38B95B98"/>
    <w:multiLevelType w:val="hybridMultilevel"/>
    <w:tmpl w:val="4CD625D8"/>
    <w:lvl w:ilvl="0" w:tplc="04050001">
      <w:start w:val="1"/>
      <w:numFmt w:val="bullet"/>
      <w:lvlText w:val=""/>
      <w:lvlJc w:val="left"/>
      <w:pPr>
        <w:ind w:left="1494" w:hanging="360"/>
      </w:pPr>
      <w:rPr>
        <w:rFonts w:ascii="Symbol" w:hAnsi="Symbol" w:hint="default"/>
      </w:rPr>
    </w:lvl>
    <w:lvl w:ilvl="1" w:tplc="04050003" w:tentative="1">
      <w:start w:val="1"/>
      <w:numFmt w:val="bullet"/>
      <w:lvlText w:val="o"/>
      <w:lvlJc w:val="left"/>
      <w:pPr>
        <w:ind w:left="2214" w:hanging="360"/>
      </w:pPr>
      <w:rPr>
        <w:rFonts w:ascii="Courier New" w:hAnsi="Courier New" w:cs="Courier New" w:hint="default"/>
      </w:rPr>
    </w:lvl>
    <w:lvl w:ilvl="2" w:tplc="04050005" w:tentative="1">
      <w:start w:val="1"/>
      <w:numFmt w:val="bullet"/>
      <w:lvlText w:val=""/>
      <w:lvlJc w:val="left"/>
      <w:pPr>
        <w:ind w:left="2934" w:hanging="360"/>
      </w:pPr>
      <w:rPr>
        <w:rFonts w:ascii="Wingdings" w:hAnsi="Wingdings" w:hint="default"/>
      </w:rPr>
    </w:lvl>
    <w:lvl w:ilvl="3" w:tplc="04050001" w:tentative="1">
      <w:start w:val="1"/>
      <w:numFmt w:val="bullet"/>
      <w:lvlText w:val=""/>
      <w:lvlJc w:val="left"/>
      <w:pPr>
        <w:ind w:left="3654" w:hanging="360"/>
      </w:pPr>
      <w:rPr>
        <w:rFonts w:ascii="Symbol" w:hAnsi="Symbol" w:hint="default"/>
      </w:rPr>
    </w:lvl>
    <w:lvl w:ilvl="4" w:tplc="04050003" w:tentative="1">
      <w:start w:val="1"/>
      <w:numFmt w:val="bullet"/>
      <w:lvlText w:val="o"/>
      <w:lvlJc w:val="left"/>
      <w:pPr>
        <w:ind w:left="4374" w:hanging="360"/>
      </w:pPr>
      <w:rPr>
        <w:rFonts w:ascii="Courier New" w:hAnsi="Courier New" w:cs="Courier New" w:hint="default"/>
      </w:rPr>
    </w:lvl>
    <w:lvl w:ilvl="5" w:tplc="04050005" w:tentative="1">
      <w:start w:val="1"/>
      <w:numFmt w:val="bullet"/>
      <w:lvlText w:val=""/>
      <w:lvlJc w:val="left"/>
      <w:pPr>
        <w:ind w:left="5094" w:hanging="360"/>
      </w:pPr>
      <w:rPr>
        <w:rFonts w:ascii="Wingdings" w:hAnsi="Wingdings" w:hint="default"/>
      </w:rPr>
    </w:lvl>
    <w:lvl w:ilvl="6" w:tplc="04050001" w:tentative="1">
      <w:start w:val="1"/>
      <w:numFmt w:val="bullet"/>
      <w:lvlText w:val=""/>
      <w:lvlJc w:val="left"/>
      <w:pPr>
        <w:ind w:left="5814" w:hanging="360"/>
      </w:pPr>
      <w:rPr>
        <w:rFonts w:ascii="Symbol" w:hAnsi="Symbol" w:hint="default"/>
      </w:rPr>
    </w:lvl>
    <w:lvl w:ilvl="7" w:tplc="04050003" w:tentative="1">
      <w:start w:val="1"/>
      <w:numFmt w:val="bullet"/>
      <w:lvlText w:val="o"/>
      <w:lvlJc w:val="left"/>
      <w:pPr>
        <w:ind w:left="6534" w:hanging="360"/>
      </w:pPr>
      <w:rPr>
        <w:rFonts w:ascii="Courier New" w:hAnsi="Courier New" w:cs="Courier New" w:hint="default"/>
      </w:rPr>
    </w:lvl>
    <w:lvl w:ilvl="8" w:tplc="04050005" w:tentative="1">
      <w:start w:val="1"/>
      <w:numFmt w:val="bullet"/>
      <w:lvlText w:val=""/>
      <w:lvlJc w:val="left"/>
      <w:pPr>
        <w:ind w:left="7254" w:hanging="360"/>
      </w:pPr>
      <w:rPr>
        <w:rFonts w:ascii="Wingdings" w:hAnsi="Wingdings" w:hint="default"/>
      </w:rPr>
    </w:lvl>
  </w:abstractNum>
  <w:abstractNum w:abstractNumId="58" w15:restartNumberingAfterBreak="0">
    <w:nsid w:val="39176CC5"/>
    <w:multiLevelType w:val="hybridMultilevel"/>
    <w:tmpl w:val="9C64597E"/>
    <w:lvl w:ilvl="0" w:tplc="FFFFFFFF">
      <w:start w:val="1"/>
      <w:numFmt w:val="lowerLetter"/>
      <w:lvlText w:val="%1)"/>
      <w:lvlJc w:val="left"/>
      <w:pPr>
        <w:ind w:left="2988" w:hanging="360"/>
      </w:pPr>
    </w:lvl>
    <w:lvl w:ilvl="1" w:tplc="FFFFFFFF" w:tentative="1">
      <w:start w:val="1"/>
      <w:numFmt w:val="lowerLetter"/>
      <w:lvlText w:val="%2."/>
      <w:lvlJc w:val="left"/>
      <w:pPr>
        <w:ind w:left="3708" w:hanging="360"/>
      </w:pPr>
    </w:lvl>
    <w:lvl w:ilvl="2" w:tplc="FFFFFFFF" w:tentative="1">
      <w:start w:val="1"/>
      <w:numFmt w:val="lowerRoman"/>
      <w:lvlText w:val="%3."/>
      <w:lvlJc w:val="right"/>
      <w:pPr>
        <w:ind w:left="4428" w:hanging="180"/>
      </w:pPr>
    </w:lvl>
    <w:lvl w:ilvl="3" w:tplc="FFFFFFFF" w:tentative="1">
      <w:start w:val="1"/>
      <w:numFmt w:val="decimal"/>
      <w:lvlText w:val="%4."/>
      <w:lvlJc w:val="left"/>
      <w:pPr>
        <w:ind w:left="5148" w:hanging="360"/>
      </w:pPr>
    </w:lvl>
    <w:lvl w:ilvl="4" w:tplc="FFFFFFFF" w:tentative="1">
      <w:start w:val="1"/>
      <w:numFmt w:val="lowerLetter"/>
      <w:lvlText w:val="%5."/>
      <w:lvlJc w:val="left"/>
      <w:pPr>
        <w:ind w:left="5868" w:hanging="360"/>
      </w:pPr>
    </w:lvl>
    <w:lvl w:ilvl="5" w:tplc="FFFFFFFF" w:tentative="1">
      <w:start w:val="1"/>
      <w:numFmt w:val="lowerRoman"/>
      <w:lvlText w:val="%6."/>
      <w:lvlJc w:val="right"/>
      <w:pPr>
        <w:ind w:left="6588" w:hanging="180"/>
      </w:pPr>
    </w:lvl>
    <w:lvl w:ilvl="6" w:tplc="FFFFFFFF" w:tentative="1">
      <w:start w:val="1"/>
      <w:numFmt w:val="decimal"/>
      <w:lvlText w:val="%7."/>
      <w:lvlJc w:val="left"/>
      <w:pPr>
        <w:ind w:left="7308" w:hanging="360"/>
      </w:pPr>
    </w:lvl>
    <w:lvl w:ilvl="7" w:tplc="FFFFFFFF" w:tentative="1">
      <w:start w:val="1"/>
      <w:numFmt w:val="lowerLetter"/>
      <w:lvlText w:val="%8."/>
      <w:lvlJc w:val="left"/>
      <w:pPr>
        <w:ind w:left="8028" w:hanging="360"/>
      </w:pPr>
    </w:lvl>
    <w:lvl w:ilvl="8" w:tplc="FFFFFFFF" w:tentative="1">
      <w:start w:val="1"/>
      <w:numFmt w:val="lowerRoman"/>
      <w:lvlText w:val="%9."/>
      <w:lvlJc w:val="right"/>
      <w:pPr>
        <w:ind w:left="8748" w:hanging="180"/>
      </w:pPr>
    </w:lvl>
  </w:abstractNum>
  <w:abstractNum w:abstractNumId="59" w15:restartNumberingAfterBreak="0">
    <w:nsid w:val="3A4533F2"/>
    <w:multiLevelType w:val="hybridMultilevel"/>
    <w:tmpl w:val="18C6AFDE"/>
    <w:lvl w:ilvl="0" w:tplc="FFFFFFFF">
      <w:start w:val="1"/>
      <w:numFmt w:val="decimal"/>
      <w:lvlText w:val=".%1"/>
      <w:lvlJc w:val="left"/>
      <w:pPr>
        <w:ind w:left="1429" w:hanging="360"/>
      </w:pPr>
      <w:rPr>
        <w:rFonts w:hint="default"/>
      </w:rPr>
    </w:lvl>
    <w:lvl w:ilvl="1" w:tplc="FFFFFFFF" w:tentative="1">
      <w:start w:val="1"/>
      <w:numFmt w:val="lowerLetter"/>
      <w:lvlText w:val="%2."/>
      <w:lvlJc w:val="left"/>
      <w:pPr>
        <w:ind w:left="2149" w:hanging="360"/>
      </w:pPr>
    </w:lvl>
    <w:lvl w:ilvl="2" w:tplc="FFFFFFFF" w:tentative="1">
      <w:start w:val="1"/>
      <w:numFmt w:val="lowerRoman"/>
      <w:lvlText w:val="%3."/>
      <w:lvlJc w:val="right"/>
      <w:pPr>
        <w:ind w:left="2869" w:hanging="180"/>
      </w:pPr>
    </w:lvl>
    <w:lvl w:ilvl="3" w:tplc="FFFFFFFF" w:tentative="1">
      <w:start w:val="1"/>
      <w:numFmt w:val="decimal"/>
      <w:lvlText w:val="%4."/>
      <w:lvlJc w:val="left"/>
      <w:pPr>
        <w:ind w:left="3589" w:hanging="360"/>
      </w:pPr>
    </w:lvl>
    <w:lvl w:ilvl="4" w:tplc="FFFFFFFF" w:tentative="1">
      <w:start w:val="1"/>
      <w:numFmt w:val="lowerLetter"/>
      <w:lvlText w:val="%5."/>
      <w:lvlJc w:val="left"/>
      <w:pPr>
        <w:ind w:left="4309" w:hanging="360"/>
      </w:pPr>
    </w:lvl>
    <w:lvl w:ilvl="5" w:tplc="FFFFFFFF" w:tentative="1">
      <w:start w:val="1"/>
      <w:numFmt w:val="lowerRoman"/>
      <w:lvlText w:val="%6."/>
      <w:lvlJc w:val="right"/>
      <w:pPr>
        <w:ind w:left="5029" w:hanging="180"/>
      </w:pPr>
    </w:lvl>
    <w:lvl w:ilvl="6" w:tplc="FFFFFFFF" w:tentative="1">
      <w:start w:val="1"/>
      <w:numFmt w:val="decimal"/>
      <w:lvlText w:val="%7."/>
      <w:lvlJc w:val="left"/>
      <w:pPr>
        <w:ind w:left="5749" w:hanging="360"/>
      </w:pPr>
    </w:lvl>
    <w:lvl w:ilvl="7" w:tplc="FFFFFFFF" w:tentative="1">
      <w:start w:val="1"/>
      <w:numFmt w:val="lowerLetter"/>
      <w:lvlText w:val="%8."/>
      <w:lvlJc w:val="left"/>
      <w:pPr>
        <w:ind w:left="6469" w:hanging="360"/>
      </w:pPr>
    </w:lvl>
    <w:lvl w:ilvl="8" w:tplc="FFFFFFFF" w:tentative="1">
      <w:start w:val="1"/>
      <w:numFmt w:val="lowerRoman"/>
      <w:lvlText w:val="%9."/>
      <w:lvlJc w:val="right"/>
      <w:pPr>
        <w:ind w:left="7189" w:hanging="180"/>
      </w:pPr>
    </w:lvl>
  </w:abstractNum>
  <w:abstractNum w:abstractNumId="60" w15:restartNumberingAfterBreak="0">
    <w:nsid w:val="3B3A6326"/>
    <w:multiLevelType w:val="hybridMultilevel"/>
    <w:tmpl w:val="C32AC1F2"/>
    <w:lvl w:ilvl="0" w:tplc="C07A9D62">
      <w:start w:val="1"/>
      <w:numFmt w:val="decimal"/>
      <w:lvlText w:val=".%1"/>
      <w:lvlJc w:val="left"/>
      <w:pPr>
        <w:ind w:left="2988" w:hanging="360"/>
      </w:pPr>
      <w:rPr>
        <w:rFonts w:hint="default"/>
      </w:rPr>
    </w:lvl>
    <w:lvl w:ilvl="1" w:tplc="04050019" w:tentative="1">
      <w:start w:val="1"/>
      <w:numFmt w:val="lowerLetter"/>
      <w:lvlText w:val="%2."/>
      <w:lvlJc w:val="left"/>
      <w:pPr>
        <w:ind w:left="3708" w:hanging="360"/>
      </w:pPr>
    </w:lvl>
    <w:lvl w:ilvl="2" w:tplc="0405001B" w:tentative="1">
      <w:start w:val="1"/>
      <w:numFmt w:val="lowerRoman"/>
      <w:lvlText w:val="%3."/>
      <w:lvlJc w:val="right"/>
      <w:pPr>
        <w:ind w:left="4428" w:hanging="180"/>
      </w:pPr>
    </w:lvl>
    <w:lvl w:ilvl="3" w:tplc="0405000F" w:tentative="1">
      <w:start w:val="1"/>
      <w:numFmt w:val="decimal"/>
      <w:lvlText w:val="%4."/>
      <w:lvlJc w:val="left"/>
      <w:pPr>
        <w:ind w:left="5148" w:hanging="360"/>
      </w:pPr>
    </w:lvl>
    <w:lvl w:ilvl="4" w:tplc="04050019" w:tentative="1">
      <w:start w:val="1"/>
      <w:numFmt w:val="lowerLetter"/>
      <w:lvlText w:val="%5."/>
      <w:lvlJc w:val="left"/>
      <w:pPr>
        <w:ind w:left="5868" w:hanging="360"/>
      </w:pPr>
    </w:lvl>
    <w:lvl w:ilvl="5" w:tplc="0405001B" w:tentative="1">
      <w:start w:val="1"/>
      <w:numFmt w:val="lowerRoman"/>
      <w:lvlText w:val="%6."/>
      <w:lvlJc w:val="right"/>
      <w:pPr>
        <w:ind w:left="6588" w:hanging="180"/>
      </w:pPr>
    </w:lvl>
    <w:lvl w:ilvl="6" w:tplc="0405000F" w:tentative="1">
      <w:start w:val="1"/>
      <w:numFmt w:val="decimal"/>
      <w:lvlText w:val="%7."/>
      <w:lvlJc w:val="left"/>
      <w:pPr>
        <w:ind w:left="7308" w:hanging="360"/>
      </w:pPr>
    </w:lvl>
    <w:lvl w:ilvl="7" w:tplc="04050019" w:tentative="1">
      <w:start w:val="1"/>
      <w:numFmt w:val="lowerLetter"/>
      <w:lvlText w:val="%8."/>
      <w:lvlJc w:val="left"/>
      <w:pPr>
        <w:ind w:left="8028" w:hanging="360"/>
      </w:pPr>
    </w:lvl>
    <w:lvl w:ilvl="8" w:tplc="0405001B" w:tentative="1">
      <w:start w:val="1"/>
      <w:numFmt w:val="lowerRoman"/>
      <w:lvlText w:val="%9."/>
      <w:lvlJc w:val="right"/>
      <w:pPr>
        <w:ind w:left="8748" w:hanging="180"/>
      </w:pPr>
    </w:lvl>
  </w:abstractNum>
  <w:abstractNum w:abstractNumId="61" w15:restartNumberingAfterBreak="0">
    <w:nsid w:val="3C20616A"/>
    <w:multiLevelType w:val="hybridMultilevel"/>
    <w:tmpl w:val="18C6AFDE"/>
    <w:lvl w:ilvl="0" w:tplc="FFFFFFFF">
      <w:start w:val="1"/>
      <w:numFmt w:val="decimal"/>
      <w:lvlText w:val=".%1"/>
      <w:lvlJc w:val="left"/>
      <w:pPr>
        <w:ind w:left="1429" w:hanging="360"/>
      </w:pPr>
      <w:rPr>
        <w:rFonts w:hint="default"/>
      </w:rPr>
    </w:lvl>
    <w:lvl w:ilvl="1" w:tplc="FFFFFFFF" w:tentative="1">
      <w:start w:val="1"/>
      <w:numFmt w:val="lowerLetter"/>
      <w:lvlText w:val="%2."/>
      <w:lvlJc w:val="left"/>
      <w:pPr>
        <w:ind w:left="2149" w:hanging="360"/>
      </w:pPr>
    </w:lvl>
    <w:lvl w:ilvl="2" w:tplc="FFFFFFFF" w:tentative="1">
      <w:start w:val="1"/>
      <w:numFmt w:val="lowerRoman"/>
      <w:lvlText w:val="%3."/>
      <w:lvlJc w:val="right"/>
      <w:pPr>
        <w:ind w:left="2869" w:hanging="180"/>
      </w:pPr>
    </w:lvl>
    <w:lvl w:ilvl="3" w:tplc="FFFFFFFF" w:tentative="1">
      <w:start w:val="1"/>
      <w:numFmt w:val="decimal"/>
      <w:lvlText w:val="%4."/>
      <w:lvlJc w:val="left"/>
      <w:pPr>
        <w:ind w:left="3589" w:hanging="360"/>
      </w:pPr>
    </w:lvl>
    <w:lvl w:ilvl="4" w:tplc="FFFFFFFF" w:tentative="1">
      <w:start w:val="1"/>
      <w:numFmt w:val="lowerLetter"/>
      <w:lvlText w:val="%5."/>
      <w:lvlJc w:val="left"/>
      <w:pPr>
        <w:ind w:left="4309" w:hanging="360"/>
      </w:pPr>
    </w:lvl>
    <w:lvl w:ilvl="5" w:tplc="FFFFFFFF" w:tentative="1">
      <w:start w:val="1"/>
      <w:numFmt w:val="lowerRoman"/>
      <w:lvlText w:val="%6."/>
      <w:lvlJc w:val="right"/>
      <w:pPr>
        <w:ind w:left="5029" w:hanging="180"/>
      </w:pPr>
    </w:lvl>
    <w:lvl w:ilvl="6" w:tplc="FFFFFFFF" w:tentative="1">
      <w:start w:val="1"/>
      <w:numFmt w:val="decimal"/>
      <w:lvlText w:val="%7."/>
      <w:lvlJc w:val="left"/>
      <w:pPr>
        <w:ind w:left="5749" w:hanging="360"/>
      </w:pPr>
    </w:lvl>
    <w:lvl w:ilvl="7" w:tplc="FFFFFFFF" w:tentative="1">
      <w:start w:val="1"/>
      <w:numFmt w:val="lowerLetter"/>
      <w:lvlText w:val="%8."/>
      <w:lvlJc w:val="left"/>
      <w:pPr>
        <w:ind w:left="6469" w:hanging="360"/>
      </w:pPr>
    </w:lvl>
    <w:lvl w:ilvl="8" w:tplc="FFFFFFFF" w:tentative="1">
      <w:start w:val="1"/>
      <w:numFmt w:val="lowerRoman"/>
      <w:lvlText w:val="%9."/>
      <w:lvlJc w:val="right"/>
      <w:pPr>
        <w:ind w:left="7189" w:hanging="180"/>
      </w:pPr>
    </w:lvl>
  </w:abstractNum>
  <w:abstractNum w:abstractNumId="62" w15:restartNumberingAfterBreak="0">
    <w:nsid w:val="3D1930B6"/>
    <w:multiLevelType w:val="hybridMultilevel"/>
    <w:tmpl w:val="4C6420F4"/>
    <w:lvl w:ilvl="0" w:tplc="877C0152">
      <w:start w:val="1"/>
      <w:numFmt w:val="decimal"/>
      <w:pStyle w:val="normalni-cisla"/>
      <w:lvlText w:val=".%1"/>
      <w:lvlJc w:val="left"/>
      <w:pPr>
        <w:ind w:left="2628" w:hanging="360"/>
      </w:pPr>
      <w:rPr>
        <w:rFonts w:hint="default"/>
      </w:rPr>
    </w:lvl>
    <w:lvl w:ilvl="1" w:tplc="04050019" w:tentative="1">
      <w:start w:val="1"/>
      <w:numFmt w:val="lowerLetter"/>
      <w:lvlText w:val="%2."/>
      <w:lvlJc w:val="left"/>
      <w:pPr>
        <w:ind w:left="3348" w:hanging="360"/>
      </w:pPr>
    </w:lvl>
    <w:lvl w:ilvl="2" w:tplc="0405001B" w:tentative="1">
      <w:start w:val="1"/>
      <w:numFmt w:val="lowerRoman"/>
      <w:lvlText w:val="%3."/>
      <w:lvlJc w:val="right"/>
      <w:pPr>
        <w:ind w:left="4068" w:hanging="180"/>
      </w:pPr>
    </w:lvl>
    <w:lvl w:ilvl="3" w:tplc="0405000F" w:tentative="1">
      <w:start w:val="1"/>
      <w:numFmt w:val="decimal"/>
      <w:lvlText w:val="%4."/>
      <w:lvlJc w:val="left"/>
      <w:pPr>
        <w:ind w:left="4788" w:hanging="360"/>
      </w:pPr>
    </w:lvl>
    <w:lvl w:ilvl="4" w:tplc="04050019" w:tentative="1">
      <w:start w:val="1"/>
      <w:numFmt w:val="lowerLetter"/>
      <w:lvlText w:val="%5."/>
      <w:lvlJc w:val="left"/>
      <w:pPr>
        <w:ind w:left="5508" w:hanging="360"/>
      </w:pPr>
    </w:lvl>
    <w:lvl w:ilvl="5" w:tplc="0405001B" w:tentative="1">
      <w:start w:val="1"/>
      <w:numFmt w:val="lowerRoman"/>
      <w:lvlText w:val="%6."/>
      <w:lvlJc w:val="right"/>
      <w:pPr>
        <w:ind w:left="6228" w:hanging="180"/>
      </w:pPr>
    </w:lvl>
    <w:lvl w:ilvl="6" w:tplc="0405000F" w:tentative="1">
      <w:start w:val="1"/>
      <w:numFmt w:val="decimal"/>
      <w:lvlText w:val="%7."/>
      <w:lvlJc w:val="left"/>
      <w:pPr>
        <w:ind w:left="6948" w:hanging="360"/>
      </w:pPr>
    </w:lvl>
    <w:lvl w:ilvl="7" w:tplc="04050019" w:tentative="1">
      <w:start w:val="1"/>
      <w:numFmt w:val="lowerLetter"/>
      <w:lvlText w:val="%8."/>
      <w:lvlJc w:val="left"/>
      <w:pPr>
        <w:ind w:left="7668" w:hanging="360"/>
      </w:pPr>
    </w:lvl>
    <w:lvl w:ilvl="8" w:tplc="0405001B" w:tentative="1">
      <w:start w:val="1"/>
      <w:numFmt w:val="lowerRoman"/>
      <w:lvlText w:val="%9."/>
      <w:lvlJc w:val="right"/>
      <w:pPr>
        <w:ind w:left="8388" w:hanging="180"/>
      </w:pPr>
    </w:lvl>
  </w:abstractNum>
  <w:abstractNum w:abstractNumId="63" w15:restartNumberingAfterBreak="0">
    <w:nsid w:val="3DAB7DEF"/>
    <w:multiLevelType w:val="hybridMultilevel"/>
    <w:tmpl w:val="2A240644"/>
    <w:lvl w:ilvl="0" w:tplc="C4A22E78">
      <w:start w:val="1"/>
      <w:numFmt w:val="decimal"/>
      <w:lvlText w:val=".%1"/>
      <w:lvlJc w:val="left"/>
      <w:pPr>
        <w:ind w:left="1429" w:hanging="360"/>
      </w:pPr>
      <w:rPr>
        <w:rFonts w:hint="default"/>
      </w:rPr>
    </w:lvl>
    <w:lvl w:ilvl="1" w:tplc="04050019" w:tentative="1">
      <w:start w:val="1"/>
      <w:numFmt w:val="lowerLetter"/>
      <w:lvlText w:val="%2."/>
      <w:lvlJc w:val="left"/>
      <w:pPr>
        <w:ind w:left="2149" w:hanging="360"/>
      </w:pPr>
    </w:lvl>
    <w:lvl w:ilvl="2" w:tplc="0405001B" w:tentative="1">
      <w:start w:val="1"/>
      <w:numFmt w:val="lowerRoman"/>
      <w:lvlText w:val="%3."/>
      <w:lvlJc w:val="right"/>
      <w:pPr>
        <w:ind w:left="2869" w:hanging="180"/>
      </w:pPr>
    </w:lvl>
    <w:lvl w:ilvl="3" w:tplc="0405000F" w:tentative="1">
      <w:start w:val="1"/>
      <w:numFmt w:val="decimal"/>
      <w:lvlText w:val="%4."/>
      <w:lvlJc w:val="left"/>
      <w:pPr>
        <w:ind w:left="3589" w:hanging="360"/>
      </w:pPr>
    </w:lvl>
    <w:lvl w:ilvl="4" w:tplc="04050019" w:tentative="1">
      <w:start w:val="1"/>
      <w:numFmt w:val="lowerLetter"/>
      <w:lvlText w:val="%5."/>
      <w:lvlJc w:val="left"/>
      <w:pPr>
        <w:ind w:left="4309" w:hanging="360"/>
      </w:pPr>
    </w:lvl>
    <w:lvl w:ilvl="5" w:tplc="0405001B" w:tentative="1">
      <w:start w:val="1"/>
      <w:numFmt w:val="lowerRoman"/>
      <w:lvlText w:val="%6."/>
      <w:lvlJc w:val="right"/>
      <w:pPr>
        <w:ind w:left="5029" w:hanging="180"/>
      </w:pPr>
    </w:lvl>
    <w:lvl w:ilvl="6" w:tplc="0405000F" w:tentative="1">
      <w:start w:val="1"/>
      <w:numFmt w:val="decimal"/>
      <w:lvlText w:val="%7."/>
      <w:lvlJc w:val="left"/>
      <w:pPr>
        <w:ind w:left="5749" w:hanging="360"/>
      </w:pPr>
    </w:lvl>
    <w:lvl w:ilvl="7" w:tplc="04050019" w:tentative="1">
      <w:start w:val="1"/>
      <w:numFmt w:val="lowerLetter"/>
      <w:lvlText w:val="%8."/>
      <w:lvlJc w:val="left"/>
      <w:pPr>
        <w:ind w:left="6469" w:hanging="360"/>
      </w:pPr>
    </w:lvl>
    <w:lvl w:ilvl="8" w:tplc="0405001B" w:tentative="1">
      <w:start w:val="1"/>
      <w:numFmt w:val="lowerRoman"/>
      <w:lvlText w:val="%9."/>
      <w:lvlJc w:val="right"/>
      <w:pPr>
        <w:ind w:left="7189" w:hanging="180"/>
      </w:pPr>
    </w:lvl>
  </w:abstractNum>
  <w:abstractNum w:abstractNumId="64" w15:restartNumberingAfterBreak="0">
    <w:nsid w:val="3F2B2543"/>
    <w:multiLevelType w:val="hybridMultilevel"/>
    <w:tmpl w:val="789A087E"/>
    <w:lvl w:ilvl="0" w:tplc="1A42D518">
      <w:start w:val="1"/>
      <w:numFmt w:val="bullet"/>
      <w:pStyle w:val="StylPed0bZa0b3"/>
      <w:lvlText w:val=""/>
      <w:lvlJc w:val="left"/>
      <w:pPr>
        <w:ind w:left="1620" w:hanging="360"/>
      </w:pPr>
      <w:rPr>
        <w:rFonts w:ascii="Symbol" w:hAnsi="Symbol" w:hint="default"/>
        <w:color w:val="auto"/>
      </w:rPr>
    </w:lvl>
    <w:lvl w:ilvl="1" w:tplc="04050001">
      <w:start w:val="1"/>
      <w:numFmt w:val="bullet"/>
      <w:lvlText w:val=""/>
      <w:lvlJc w:val="left"/>
      <w:pPr>
        <w:tabs>
          <w:tab w:val="num" w:pos="1440"/>
        </w:tabs>
        <w:ind w:left="1440" w:hanging="360"/>
      </w:pPr>
      <w:rPr>
        <w:rFonts w:ascii="Symbol" w:hAnsi="Symbol" w:hint="default"/>
        <w:color w:val="auto"/>
      </w:rPr>
    </w:lvl>
    <w:lvl w:ilvl="2" w:tplc="04050005" w:tentative="1">
      <w:start w:val="1"/>
      <w:numFmt w:val="bullet"/>
      <w:lvlText w:val=""/>
      <w:lvlJc w:val="left"/>
      <w:pPr>
        <w:ind w:left="2160" w:hanging="360"/>
      </w:pPr>
      <w:rPr>
        <w:rFonts w:ascii="Wingdings" w:hAnsi="Wingdings" w:hint="default"/>
      </w:rPr>
    </w:lvl>
    <w:lvl w:ilvl="3" w:tplc="04050001">
      <w:start w:val="1"/>
      <w:numFmt w:val="bullet"/>
      <w:lvlText w:val=""/>
      <w:lvlJc w:val="left"/>
      <w:pPr>
        <w:tabs>
          <w:tab w:val="num" w:pos="2880"/>
        </w:tabs>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65" w15:restartNumberingAfterBreak="0">
    <w:nsid w:val="3FF84696"/>
    <w:multiLevelType w:val="hybridMultilevel"/>
    <w:tmpl w:val="41ACE568"/>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66" w15:restartNumberingAfterBreak="0">
    <w:nsid w:val="401D5BB8"/>
    <w:multiLevelType w:val="hybridMultilevel"/>
    <w:tmpl w:val="FA72B478"/>
    <w:lvl w:ilvl="0" w:tplc="C4A22E78">
      <w:start w:val="1"/>
      <w:numFmt w:val="decimal"/>
      <w:lvlText w:val=".%1"/>
      <w:lvlJc w:val="left"/>
      <w:pPr>
        <w:ind w:left="1429" w:hanging="360"/>
      </w:pPr>
      <w:rPr>
        <w:rFonts w:hint="default"/>
      </w:rPr>
    </w:lvl>
    <w:lvl w:ilvl="1" w:tplc="04050019" w:tentative="1">
      <w:start w:val="1"/>
      <w:numFmt w:val="lowerLetter"/>
      <w:lvlText w:val="%2."/>
      <w:lvlJc w:val="left"/>
      <w:pPr>
        <w:ind w:left="2149" w:hanging="360"/>
      </w:pPr>
    </w:lvl>
    <w:lvl w:ilvl="2" w:tplc="0405001B" w:tentative="1">
      <w:start w:val="1"/>
      <w:numFmt w:val="lowerRoman"/>
      <w:lvlText w:val="%3."/>
      <w:lvlJc w:val="right"/>
      <w:pPr>
        <w:ind w:left="2869" w:hanging="180"/>
      </w:pPr>
    </w:lvl>
    <w:lvl w:ilvl="3" w:tplc="0405000F" w:tentative="1">
      <w:start w:val="1"/>
      <w:numFmt w:val="decimal"/>
      <w:lvlText w:val="%4."/>
      <w:lvlJc w:val="left"/>
      <w:pPr>
        <w:ind w:left="3589" w:hanging="360"/>
      </w:pPr>
    </w:lvl>
    <w:lvl w:ilvl="4" w:tplc="04050019" w:tentative="1">
      <w:start w:val="1"/>
      <w:numFmt w:val="lowerLetter"/>
      <w:lvlText w:val="%5."/>
      <w:lvlJc w:val="left"/>
      <w:pPr>
        <w:ind w:left="4309" w:hanging="360"/>
      </w:pPr>
    </w:lvl>
    <w:lvl w:ilvl="5" w:tplc="0405001B" w:tentative="1">
      <w:start w:val="1"/>
      <w:numFmt w:val="lowerRoman"/>
      <w:lvlText w:val="%6."/>
      <w:lvlJc w:val="right"/>
      <w:pPr>
        <w:ind w:left="5029" w:hanging="180"/>
      </w:pPr>
    </w:lvl>
    <w:lvl w:ilvl="6" w:tplc="0405000F" w:tentative="1">
      <w:start w:val="1"/>
      <w:numFmt w:val="decimal"/>
      <w:lvlText w:val="%7."/>
      <w:lvlJc w:val="left"/>
      <w:pPr>
        <w:ind w:left="5749" w:hanging="360"/>
      </w:pPr>
    </w:lvl>
    <w:lvl w:ilvl="7" w:tplc="04050019" w:tentative="1">
      <w:start w:val="1"/>
      <w:numFmt w:val="lowerLetter"/>
      <w:lvlText w:val="%8."/>
      <w:lvlJc w:val="left"/>
      <w:pPr>
        <w:ind w:left="6469" w:hanging="360"/>
      </w:pPr>
    </w:lvl>
    <w:lvl w:ilvl="8" w:tplc="0405001B" w:tentative="1">
      <w:start w:val="1"/>
      <w:numFmt w:val="lowerRoman"/>
      <w:lvlText w:val="%9."/>
      <w:lvlJc w:val="right"/>
      <w:pPr>
        <w:ind w:left="7189" w:hanging="180"/>
      </w:pPr>
    </w:lvl>
  </w:abstractNum>
  <w:abstractNum w:abstractNumId="67" w15:restartNumberingAfterBreak="0">
    <w:nsid w:val="41E230E5"/>
    <w:multiLevelType w:val="hybridMultilevel"/>
    <w:tmpl w:val="F6444600"/>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68" w15:restartNumberingAfterBreak="0">
    <w:nsid w:val="44BD4D10"/>
    <w:multiLevelType w:val="hybridMultilevel"/>
    <w:tmpl w:val="9C64597E"/>
    <w:lvl w:ilvl="0" w:tplc="FFFFFFFF">
      <w:start w:val="1"/>
      <w:numFmt w:val="lowerLetter"/>
      <w:lvlText w:val="%1)"/>
      <w:lvlJc w:val="left"/>
      <w:pPr>
        <w:ind w:left="2988" w:hanging="360"/>
      </w:pPr>
    </w:lvl>
    <w:lvl w:ilvl="1" w:tplc="FFFFFFFF" w:tentative="1">
      <w:start w:val="1"/>
      <w:numFmt w:val="lowerLetter"/>
      <w:lvlText w:val="%2."/>
      <w:lvlJc w:val="left"/>
      <w:pPr>
        <w:ind w:left="3708" w:hanging="360"/>
      </w:pPr>
    </w:lvl>
    <w:lvl w:ilvl="2" w:tplc="FFFFFFFF" w:tentative="1">
      <w:start w:val="1"/>
      <w:numFmt w:val="lowerRoman"/>
      <w:lvlText w:val="%3."/>
      <w:lvlJc w:val="right"/>
      <w:pPr>
        <w:ind w:left="4428" w:hanging="180"/>
      </w:pPr>
    </w:lvl>
    <w:lvl w:ilvl="3" w:tplc="FFFFFFFF" w:tentative="1">
      <w:start w:val="1"/>
      <w:numFmt w:val="decimal"/>
      <w:lvlText w:val="%4."/>
      <w:lvlJc w:val="left"/>
      <w:pPr>
        <w:ind w:left="5148" w:hanging="360"/>
      </w:pPr>
    </w:lvl>
    <w:lvl w:ilvl="4" w:tplc="FFFFFFFF" w:tentative="1">
      <w:start w:val="1"/>
      <w:numFmt w:val="lowerLetter"/>
      <w:lvlText w:val="%5."/>
      <w:lvlJc w:val="left"/>
      <w:pPr>
        <w:ind w:left="5868" w:hanging="360"/>
      </w:pPr>
    </w:lvl>
    <w:lvl w:ilvl="5" w:tplc="FFFFFFFF" w:tentative="1">
      <w:start w:val="1"/>
      <w:numFmt w:val="lowerRoman"/>
      <w:lvlText w:val="%6."/>
      <w:lvlJc w:val="right"/>
      <w:pPr>
        <w:ind w:left="6588" w:hanging="180"/>
      </w:pPr>
    </w:lvl>
    <w:lvl w:ilvl="6" w:tplc="FFFFFFFF" w:tentative="1">
      <w:start w:val="1"/>
      <w:numFmt w:val="decimal"/>
      <w:lvlText w:val="%7."/>
      <w:lvlJc w:val="left"/>
      <w:pPr>
        <w:ind w:left="7308" w:hanging="360"/>
      </w:pPr>
    </w:lvl>
    <w:lvl w:ilvl="7" w:tplc="FFFFFFFF" w:tentative="1">
      <w:start w:val="1"/>
      <w:numFmt w:val="lowerLetter"/>
      <w:lvlText w:val="%8."/>
      <w:lvlJc w:val="left"/>
      <w:pPr>
        <w:ind w:left="8028" w:hanging="360"/>
      </w:pPr>
    </w:lvl>
    <w:lvl w:ilvl="8" w:tplc="FFFFFFFF" w:tentative="1">
      <w:start w:val="1"/>
      <w:numFmt w:val="lowerRoman"/>
      <w:lvlText w:val="%9."/>
      <w:lvlJc w:val="right"/>
      <w:pPr>
        <w:ind w:left="8748" w:hanging="180"/>
      </w:pPr>
    </w:lvl>
  </w:abstractNum>
  <w:abstractNum w:abstractNumId="69" w15:restartNumberingAfterBreak="0">
    <w:nsid w:val="468E0670"/>
    <w:multiLevelType w:val="hybridMultilevel"/>
    <w:tmpl w:val="18C6AFDE"/>
    <w:lvl w:ilvl="0" w:tplc="FFFFFFFF">
      <w:start w:val="1"/>
      <w:numFmt w:val="decimal"/>
      <w:lvlText w:val=".%1"/>
      <w:lvlJc w:val="left"/>
      <w:pPr>
        <w:ind w:left="1429" w:hanging="360"/>
      </w:pPr>
      <w:rPr>
        <w:rFonts w:hint="default"/>
      </w:rPr>
    </w:lvl>
    <w:lvl w:ilvl="1" w:tplc="FFFFFFFF" w:tentative="1">
      <w:start w:val="1"/>
      <w:numFmt w:val="lowerLetter"/>
      <w:lvlText w:val="%2."/>
      <w:lvlJc w:val="left"/>
      <w:pPr>
        <w:ind w:left="2149" w:hanging="360"/>
      </w:pPr>
    </w:lvl>
    <w:lvl w:ilvl="2" w:tplc="FFFFFFFF" w:tentative="1">
      <w:start w:val="1"/>
      <w:numFmt w:val="lowerRoman"/>
      <w:lvlText w:val="%3."/>
      <w:lvlJc w:val="right"/>
      <w:pPr>
        <w:ind w:left="2869" w:hanging="180"/>
      </w:pPr>
    </w:lvl>
    <w:lvl w:ilvl="3" w:tplc="FFFFFFFF" w:tentative="1">
      <w:start w:val="1"/>
      <w:numFmt w:val="decimal"/>
      <w:lvlText w:val="%4."/>
      <w:lvlJc w:val="left"/>
      <w:pPr>
        <w:ind w:left="3589" w:hanging="360"/>
      </w:pPr>
    </w:lvl>
    <w:lvl w:ilvl="4" w:tplc="FFFFFFFF" w:tentative="1">
      <w:start w:val="1"/>
      <w:numFmt w:val="lowerLetter"/>
      <w:lvlText w:val="%5."/>
      <w:lvlJc w:val="left"/>
      <w:pPr>
        <w:ind w:left="4309" w:hanging="360"/>
      </w:pPr>
    </w:lvl>
    <w:lvl w:ilvl="5" w:tplc="FFFFFFFF" w:tentative="1">
      <w:start w:val="1"/>
      <w:numFmt w:val="lowerRoman"/>
      <w:lvlText w:val="%6."/>
      <w:lvlJc w:val="right"/>
      <w:pPr>
        <w:ind w:left="5029" w:hanging="180"/>
      </w:pPr>
    </w:lvl>
    <w:lvl w:ilvl="6" w:tplc="FFFFFFFF" w:tentative="1">
      <w:start w:val="1"/>
      <w:numFmt w:val="decimal"/>
      <w:lvlText w:val="%7."/>
      <w:lvlJc w:val="left"/>
      <w:pPr>
        <w:ind w:left="5749" w:hanging="360"/>
      </w:pPr>
    </w:lvl>
    <w:lvl w:ilvl="7" w:tplc="FFFFFFFF" w:tentative="1">
      <w:start w:val="1"/>
      <w:numFmt w:val="lowerLetter"/>
      <w:lvlText w:val="%8."/>
      <w:lvlJc w:val="left"/>
      <w:pPr>
        <w:ind w:left="6469" w:hanging="360"/>
      </w:pPr>
    </w:lvl>
    <w:lvl w:ilvl="8" w:tplc="FFFFFFFF" w:tentative="1">
      <w:start w:val="1"/>
      <w:numFmt w:val="lowerRoman"/>
      <w:lvlText w:val="%9."/>
      <w:lvlJc w:val="right"/>
      <w:pPr>
        <w:ind w:left="7189" w:hanging="180"/>
      </w:pPr>
    </w:lvl>
  </w:abstractNum>
  <w:abstractNum w:abstractNumId="70" w15:restartNumberingAfterBreak="0">
    <w:nsid w:val="47683423"/>
    <w:multiLevelType w:val="hybridMultilevel"/>
    <w:tmpl w:val="558E9696"/>
    <w:lvl w:ilvl="0" w:tplc="FFFFFFFF">
      <w:start w:val="1"/>
      <w:numFmt w:val="decimal"/>
      <w:lvlText w:val=".%1"/>
      <w:lvlJc w:val="left"/>
      <w:pPr>
        <w:ind w:left="1429" w:hanging="360"/>
      </w:pPr>
      <w:rPr>
        <w:rFonts w:hint="default"/>
      </w:rPr>
    </w:lvl>
    <w:lvl w:ilvl="1" w:tplc="FFFFFFFF" w:tentative="1">
      <w:start w:val="1"/>
      <w:numFmt w:val="lowerLetter"/>
      <w:lvlText w:val="%2."/>
      <w:lvlJc w:val="left"/>
      <w:pPr>
        <w:ind w:left="2149" w:hanging="360"/>
      </w:pPr>
    </w:lvl>
    <w:lvl w:ilvl="2" w:tplc="FFFFFFFF" w:tentative="1">
      <w:start w:val="1"/>
      <w:numFmt w:val="lowerRoman"/>
      <w:lvlText w:val="%3."/>
      <w:lvlJc w:val="right"/>
      <w:pPr>
        <w:ind w:left="2869" w:hanging="180"/>
      </w:pPr>
    </w:lvl>
    <w:lvl w:ilvl="3" w:tplc="FFFFFFFF" w:tentative="1">
      <w:start w:val="1"/>
      <w:numFmt w:val="decimal"/>
      <w:lvlText w:val="%4."/>
      <w:lvlJc w:val="left"/>
      <w:pPr>
        <w:ind w:left="3589" w:hanging="360"/>
      </w:pPr>
    </w:lvl>
    <w:lvl w:ilvl="4" w:tplc="FFFFFFFF" w:tentative="1">
      <w:start w:val="1"/>
      <w:numFmt w:val="lowerLetter"/>
      <w:lvlText w:val="%5."/>
      <w:lvlJc w:val="left"/>
      <w:pPr>
        <w:ind w:left="4309" w:hanging="360"/>
      </w:pPr>
    </w:lvl>
    <w:lvl w:ilvl="5" w:tplc="FFFFFFFF" w:tentative="1">
      <w:start w:val="1"/>
      <w:numFmt w:val="lowerRoman"/>
      <w:lvlText w:val="%6."/>
      <w:lvlJc w:val="right"/>
      <w:pPr>
        <w:ind w:left="5029" w:hanging="180"/>
      </w:pPr>
    </w:lvl>
    <w:lvl w:ilvl="6" w:tplc="FFFFFFFF" w:tentative="1">
      <w:start w:val="1"/>
      <w:numFmt w:val="decimal"/>
      <w:lvlText w:val="%7."/>
      <w:lvlJc w:val="left"/>
      <w:pPr>
        <w:ind w:left="5749" w:hanging="360"/>
      </w:pPr>
    </w:lvl>
    <w:lvl w:ilvl="7" w:tplc="FFFFFFFF" w:tentative="1">
      <w:start w:val="1"/>
      <w:numFmt w:val="lowerLetter"/>
      <w:lvlText w:val="%8."/>
      <w:lvlJc w:val="left"/>
      <w:pPr>
        <w:ind w:left="6469" w:hanging="360"/>
      </w:pPr>
    </w:lvl>
    <w:lvl w:ilvl="8" w:tplc="FFFFFFFF" w:tentative="1">
      <w:start w:val="1"/>
      <w:numFmt w:val="lowerRoman"/>
      <w:lvlText w:val="%9."/>
      <w:lvlJc w:val="right"/>
      <w:pPr>
        <w:ind w:left="7189" w:hanging="180"/>
      </w:pPr>
    </w:lvl>
  </w:abstractNum>
  <w:abstractNum w:abstractNumId="71" w15:restartNumberingAfterBreak="0">
    <w:nsid w:val="4ABB22B2"/>
    <w:multiLevelType w:val="hybridMultilevel"/>
    <w:tmpl w:val="5CF49436"/>
    <w:lvl w:ilvl="0" w:tplc="FFFFFFFF">
      <w:start w:val="1"/>
      <w:numFmt w:val="decimal"/>
      <w:lvlText w:val=".%1"/>
      <w:lvlJc w:val="left"/>
      <w:pPr>
        <w:ind w:left="1429" w:hanging="360"/>
      </w:pPr>
      <w:rPr>
        <w:rFonts w:hint="default"/>
      </w:rPr>
    </w:lvl>
    <w:lvl w:ilvl="1" w:tplc="FFFFFFFF" w:tentative="1">
      <w:start w:val="1"/>
      <w:numFmt w:val="lowerLetter"/>
      <w:lvlText w:val="%2."/>
      <w:lvlJc w:val="left"/>
      <w:pPr>
        <w:ind w:left="2149" w:hanging="360"/>
      </w:pPr>
    </w:lvl>
    <w:lvl w:ilvl="2" w:tplc="FFFFFFFF" w:tentative="1">
      <w:start w:val="1"/>
      <w:numFmt w:val="lowerRoman"/>
      <w:lvlText w:val="%3."/>
      <w:lvlJc w:val="right"/>
      <w:pPr>
        <w:ind w:left="2869" w:hanging="180"/>
      </w:pPr>
    </w:lvl>
    <w:lvl w:ilvl="3" w:tplc="FFFFFFFF" w:tentative="1">
      <w:start w:val="1"/>
      <w:numFmt w:val="decimal"/>
      <w:lvlText w:val="%4."/>
      <w:lvlJc w:val="left"/>
      <w:pPr>
        <w:ind w:left="3589" w:hanging="360"/>
      </w:pPr>
    </w:lvl>
    <w:lvl w:ilvl="4" w:tplc="FFFFFFFF" w:tentative="1">
      <w:start w:val="1"/>
      <w:numFmt w:val="lowerLetter"/>
      <w:lvlText w:val="%5."/>
      <w:lvlJc w:val="left"/>
      <w:pPr>
        <w:ind w:left="4309" w:hanging="360"/>
      </w:pPr>
    </w:lvl>
    <w:lvl w:ilvl="5" w:tplc="FFFFFFFF" w:tentative="1">
      <w:start w:val="1"/>
      <w:numFmt w:val="lowerRoman"/>
      <w:lvlText w:val="%6."/>
      <w:lvlJc w:val="right"/>
      <w:pPr>
        <w:ind w:left="5029" w:hanging="180"/>
      </w:pPr>
    </w:lvl>
    <w:lvl w:ilvl="6" w:tplc="FFFFFFFF" w:tentative="1">
      <w:start w:val="1"/>
      <w:numFmt w:val="decimal"/>
      <w:lvlText w:val="%7."/>
      <w:lvlJc w:val="left"/>
      <w:pPr>
        <w:ind w:left="5749" w:hanging="360"/>
      </w:pPr>
    </w:lvl>
    <w:lvl w:ilvl="7" w:tplc="FFFFFFFF" w:tentative="1">
      <w:start w:val="1"/>
      <w:numFmt w:val="lowerLetter"/>
      <w:lvlText w:val="%8."/>
      <w:lvlJc w:val="left"/>
      <w:pPr>
        <w:ind w:left="6469" w:hanging="360"/>
      </w:pPr>
    </w:lvl>
    <w:lvl w:ilvl="8" w:tplc="FFFFFFFF" w:tentative="1">
      <w:start w:val="1"/>
      <w:numFmt w:val="lowerRoman"/>
      <w:lvlText w:val="%9."/>
      <w:lvlJc w:val="right"/>
      <w:pPr>
        <w:ind w:left="7189" w:hanging="180"/>
      </w:pPr>
    </w:lvl>
  </w:abstractNum>
  <w:abstractNum w:abstractNumId="72" w15:restartNumberingAfterBreak="0">
    <w:nsid w:val="4B5123D2"/>
    <w:multiLevelType w:val="hybridMultilevel"/>
    <w:tmpl w:val="18C6AFDE"/>
    <w:lvl w:ilvl="0" w:tplc="FFFFFFFF">
      <w:start w:val="1"/>
      <w:numFmt w:val="decimal"/>
      <w:lvlText w:val=".%1"/>
      <w:lvlJc w:val="left"/>
      <w:pPr>
        <w:ind w:left="1429" w:hanging="360"/>
      </w:pPr>
      <w:rPr>
        <w:rFonts w:hint="default"/>
      </w:rPr>
    </w:lvl>
    <w:lvl w:ilvl="1" w:tplc="FFFFFFFF" w:tentative="1">
      <w:start w:val="1"/>
      <w:numFmt w:val="lowerLetter"/>
      <w:lvlText w:val="%2."/>
      <w:lvlJc w:val="left"/>
      <w:pPr>
        <w:ind w:left="2149" w:hanging="360"/>
      </w:pPr>
    </w:lvl>
    <w:lvl w:ilvl="2" w:tplc="FFFFFFFF" w:tentative="1">
      <w:start w:val="1"/>
      <w:numFmt w:val="lowerRoman"/>
      <w:lvlText w:val="%3."/>
      <w:lvlJc w:val="right"/>
      <w:pPr>
        <w:ind w:left="2869" w:hanging="180"/>
      </w:pPr>
    </w:lvl>
    <w:lvl w:ilvl="3" w:tplc="FFFFFFFF" w:tentative="1">
      <w:start w:val="1"/>
      <w:numFmt w:val="decimal"/>
      <w:lvlText w:val="%4."/>
      <w:lvlJc w:val="left"/>
      <w:pPr>
        <w:ind w:left="3589" w:hanging="360"/>
      </w:pPr>
    </w:lvl>
    <w:lvl w:ilvl="4" w:tplc="FFFFFFFF" w:tentative="1">
      <w:start w:val="1"/>
      <w:numFmt w:val="lowerLetter"/>
      <w:lvlText w:val="%5."/>
      <w:lvlJc w:val="left"/>
      <w:pPr>
        <w:ind w:left="4309" w:hanging="360"/>
      </w:pPr>
    </w:lvl>
    <w:lvl w:ilvl="5" w:tplc="FFFFFFFF" w:tentative="1">
      <w:start w:val="1"/>
      <w:numFmt w:val="lowerRoman"/>
      <w:lvlText w:val="%6."/>
      <w:lvlJc w:val="right"/>
      <w:pPr>
        <w:ind w:left="5029" w:hanging="180"/>
      </w:pPr>
    </w:lvl>
    <w:lvl w:ilvl="6" w:tplc="FFFFFFFF" w:tentative="1">
      <w:start w:val="1"/>
      <w:numFmt w:val="decimal"/>
      <w:lvlText w:val="%7."/>
      <w:lvlJc w:val="left"/>
      <w:pPr>
        <w:ind w:left="5749" w:hanging="360"/>
      </w:pPr>
    </w:lvl>
    <w:lvl w:ilvl="7" w:tplc="FFFFFFFF" w:tentative="1">
      <w:start w:val="1"/>
      <w:numFmt w:val="lowerLetter"/>
      <w:lvlText w:val="%8."/>
      <w:lvlJc w:val="left"/>
      <w:pPr>
        <w:ind w:left="6469" w:hanging="360"/>
      </w:pPr>
    </w:lvl>
    <w:lvl w:ilvl="8" w:tplc="FFFFFFFF" w:tentative="1">
      <w:start w:val="1"/>
      <w:numFmt w:val="lowerRoman"/>
      <w:lvlText w:val="%9."/>
      <w:lvlJc w:val="right"/>
      <w:pPr>
        <w:ind w:left="7189" w:hanging="180"/>
      </w:pPr>
    </w:lvl>
  </w:abstractNum>
  <w:abstractNum w:abstractNumId="73" w15:restartNumberingAfterBreak="0">
    <w:nsid w:val="4C9E09D9"/>
    <w:multiLevelType w:val="hybridMultilevel"/>
    <w:tmpl w:val="FE545F6C"/>
    <w:lvl w:ilvl="0" w:tplc="04050001">
      <w:start w:val="1"/>
      <w:numFmt w:val="bullet"/>
      <w:lvlText w:val=""/>
      <w:lvlJc w:val="left"/>
      <w:pPr>
        <w:ind w:left="1429" w:hanging="360"/>
      </w:pPr>
      <w:rPr>
        <w:rFonts w:ascii="Symbol" w:hAnsi="Symbol" w:hint="default"/>
      </w:rPr>
    </w:lvl>
    <w:lvl w:ilvl="1" w:tplc="04050003" w:tentative="1">
      <w:start w:val="1"/>
      <w:numFmt w:val="bullet"/>
      <w:lvlText w:val="o"/>
      <w:lvlJc w:val="left"/>
      <w:pPr>
        <w:ind w:left="2149" w:hanging="360"/>
      </w:pPr>
      <w:rPr>
        <w:rFonts w:ascii="Courier New" w:hAnsi="Courier New" w:cs="Courier New" w:hint="default"/>
      </w:rPr>
    </w:lvl>
    <w:lvl w:ilvl="2" w:tplc="04050005" w:tentative="1">
      <w:start w:val="1"/>
      <w:numFmt w:val="bullet"/>
      <w:lvlText w:val=""/>
      <w:lvlJc w:val="left"/>
      <w:pPr>
        <w:ind w:left="2869" w:hanging="360"/>
      </w:pPr>
      <w:rPr>
        <w:rFonts w:ascii="Wingdings" w:hAnsi="Wingdings" w:hint="default"/>
      </w:rPr>
    </w:lvl>
    <w:lvl w:ilvl="3" w:tplc="04050001" w:tentative="1">
      <w:start w:val="1"/>
      <w:numFmt w:val="bullet"/>
      <w:lvlText w:val=""/>
      <w:lvlJc w:val="left"/>
      <w:pPr>
        <w:ind w:left="3589" w:hanging="360"/>
      </w:pPr>
      <w:rPr>
        <w:rFonts w:ascii="Symbol" w:hAnsi="Symbol" w:hint="default"/>
      </w:rPr>
    </w:lvl>
    <w:lvl w:ilvl="4" w:tplc="04050003" w:tentative="1">
      <w:start w:val="1"/>
      <w:numFmt w:val="bullet"/>
      <w:lvlText w:val="o"/>
      <w:lvlJc w:val="left"/>
      <w:pPr>
        <w:ind w:left="4309" w:hanging="360"/>
      </w:pPr>
      <w:rPr>
        <w:rFonts w:ascii="Courier New" w:hAnsi="Courier New" w:cs="Courier New" w:hint="default"/>
      </w:rPr>
    </w:lvl>
    <w:lvl w:ilvl="5" w:tplc="04050005" w:tentative="1">
      <w:start w:val="1"/>
      <w:numFmt w:val="bullet"/>
      <w:lvlText w:val=""/>
      <w:lvlJc w:val="left"/>
      <w:pPr>
        <w:ind w:left="5029" w:hanging="360"/>
      </w:pPr>
      <w:rPr>
        <w:rFonts w:ascii="Wingdings" w:hAnsi="Wingdings" w:hint="default"/>
      </w:rPr>
    </w:lvl>
    <w:lvl w:ilvl="6" w:tplc="04050001" w:tentative="1">
      <w:start w:val="1"/>
      <w:numFmt w:val="bullet"/>
      <w:lvlText w:val=""/>
      <w:lvlJc w:val="left"/>
      <w:pPr>
        <w:ind w:left="5749" w:hanging="360"/>
      </w:pPr>
      <w:rPr>
        <w:rFonts w:ascii="Symbol" w:hAnsi="Symbol" w:hint="default"/>
      </w:rPr>
    </w:lvl>
    <w:lvl w:ilvl="7" w:tplc="04050003" w:tentative="1">
      <w:start w:val="1"/>
      <w:numFmt w:val="bullet"/>
      <w:lvlText w:val="o"/>
      <w:lvlJc w:val="left"/>
      <w:pPr>
        <w:ind w:left="6469" w:hanging="360"/>
      </w:pPr>
      <w:rPr>
        <w:rFonts w:ascii="Courier New" w:hAnsi="Courier New" w:cs="Courier New" w:hint="default"/>
      </w:rPr>
    </w:lvl>
    <w:lvl w:ilvl="8" w:tplc="04050005" w:tentative="1">
      <w:start w:val="1"/>
      <w:numFmt w:val="bullet"/>
      <w:lvlText w:val=""/>
      <w:lvlJc w:val="left"/>
      <w:pPr>
        <w:ind w:left="7189" w:hanging="360"/>
      </w:pPr>
      <w:rPr>
        <w:rFonts w:ascii="Wingdings" w:hAnsi="Wingdings" w:hint="default"/>
      </w:rPr>
    </w:lvl>
  </w:abstractNum>
  <w:abstractNum w:abstractNumId="74" w15:restartNumberingAfterBreak="0">
    <w:nsid w:val="4CEA698C"/>
    <w:multiLevelType w:val="hybridMultilevel"/>
    <w:tmpl w:val="EAE85E54"/>
    <w:lvl w:ilvl="0" w:tplc="FFFFFFFF">
      <w:start w:val="1"/>
      <w:numFmt w:val="decimal"/>
      <w:lvlText w:val=".%1"/>
      <w:lvlJc w:val="left"/>
      <w:pPr>
        <w:ind w:left="1429" w:hanging="360"/>
      </w:pPr>
      <w:rPr>
        <w:rFonts w:hint="default"/>
      </w:rPr>
    </w:lvl>
    <w:lvl w:ilvl="1" w:tplc="FFFFFFFF" w:tentative="1">
      <w:start w:val="1"/>
      <w:numFmt w:val="lowerLetter"/>
      <w:lvlText w:val="%2."/>
      <w:lvlJc w:val="left"/>
      <w:pPr>
        <w:ind w:left="2149" w:hanging="360"/>
      </w:pPr>
    </w:lvl>
    <w:lvl w:ilvl="2" w:tplc="FFFFFFFF" w:tentative="1">
      <w:start w:val="1"/>
      <w:numFmt w:val="lowerRoman"/>
      <w:lvlText w:val="%3."/>
      <w:lvlJc w:val="right"/>
      <w:pPr>
        <w:ind w:left="2869" w:hanging="180"/>
      </w:pPr>
    </w:lvl>
    <w:lvl w:ilvl="3" w:tplc="FFFFFFFF" w:tentative="1">
      <w:start w:val="1"/>
      <w:numFmt w:val="decimal"/>
      <w:lvlText w:val="%4."/>
      <w:lvlJc w:val="left"/>
      <w:pPr>
        <w:ind w:left="3589" w:hanging="360"/>
      </w:pPr>
    </w:lvl>
    <w:lvl w:ilvl="4" w:tplc="FFFFFFFF" w:tentative="1">
      <w:start w:val="1"/>
      <w:numFmt w:val="lowerLetter"/>
      <w:lvlText w:val="%5."/>
      <w:lvlJc w:val="left"/>
      <w:pPr>
        <w:ind w:left="4309" w:hanging="360"/>
      </w:pPr>
    </w:lvl>
    <w:lvl w:ilvl="5" w:tplc="FFFFFFFF" w:tentative="1">
      <w:start w:val="1"/>
      <w:numFmt w:val="lowerRoman"/>
      <w:lvlText w:val="%6."/>
      <w:lvlJc w:val="right"/>
      <w:pPr>
        <w:ind w:left="5029" w:hanging="180"/>
      </w:pPr>
    </w:lvl>
    <w:lvl w:ilvl="6" w:tplc="FFFFFFFF" w:tentative="1">
      <w:start w:val="1"/>
      <w:numFmt w:val="decimal"/>
      <w:lvlText w:val="%7."/>
      <w:lvlJc w:val="left"/>
      <w:pPr>
        <w:ind w:left="5749" w:hanging="360"/>
      </w:pPr>
    </w:lvl>
    <w:lvl w:ilvl="7" w:tplc="FFFFFFFF" w:tentative="1">
      <w:start w:val="1"/>
      <w:numFmt w:val="lowerLetter"/>
      <w:lvlText w:val="%8."/>
      <w:lvlJc w:val="left"/>
      <w:pPr>
        <w:ind w:left="6469" w:hanging="360"/>
      </w:pPr>
    </w:lvl>
    <w:lvl w:ilvl="8" w:tplc="FFFFFFFF" w:tentative="1">
      <w:start w:val="1"/>
      <w:numFmt w:val="lowerRoman"/>
      <w:lvlText w:val="%9."/>
      <w:lvlJc w:val="right"/>
      <w:pPr>
        <w:ind w:left="7189" w:hanging="180"/>
      </w:pPr>
    </w:lvl>
  </w:abstractNum>
  <w:abstractNum w:abstractNumId="75" w15:restartNumberingAfterBreak="0">
    <w:nsid w:val="4DBB39F3"/>
    <w:multiLevelType w:val="hybridMultilevel"/>
    <w:tmpl w:val="557CDBB4"/>
    <w:lvl w:ilvl="0" w:tplc="9B129270">
      <w:start w:val="1"/>
      <w:numFmt w:val="decimal"/>
      <w:lvlText w:val=".%1"/>
      <w:lvlJc w:val="left"/>
      <w:pPr>
        <w:ind w:left="720" w:hanging="360"/>
      </w:pPr>
      <w:rPr>
        <w:rFonts w:hint="default"/>
      </w:rPr>
    </w:lvl>
    <w:lvl w:ilvl="1" w:tplc="04050019">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76" w15:restartNumberingAfterBreak="0">
    <w:nsid w:val="50A104E4"/>
    <w:multiLevelType w:val="hybridMultilevel"/>
    <w:tmpl w:val="4AF891B2"/>
    <w:lvl w:ilvl="0" w:tplc="FFFFFFFF">
      <w:start w:val="1"/>
      <w:numFmt w:val="decimal"/>
      <w:lvlText w:val=".%1"/>
      <w:lvlJc w:val="left"/>
      <w:pPr>
        <w:ind w:left="1429" w:hanging="360"/>
      </w:pPr>
      <w:rPr>
        <w:rFonts w:hint="default"/>
      </w:rPr>
    </w:lvl>
    <w:lvl w:ilvl="1" w:tplc="FFFFFFFF" w:tentative="1">
      <w:start w:val="1"/>
      <w:numFmt w:val="lowerLetter"/>
      <w:lvlText w:val="%2."/>
      <w:lvlJc w:val="left"/>
      <w:pPr>
        <w:ind w:left="2149" w:hanging="360"/>
      </w:pPr>
    </w:lvl>
    <w:lvl w:ilvl="2" w:tplc="FFFFFFFF" w:tentative="1">
      <w:start w:val="1"/>
      <w:numFmt w:val="lowerRoman"/>
      <w:lvlText w:val="%3."/>
      <w:lvlJc w:val="right"/>
      <w:pPr>
        <w:ind w:left="2869" w:hanging="180"/>
      </w:pPr>
    </w:lvl>
    <w:lvl w:ilvl="3" w:tplc="FFFFFFFF" w:tentative="1">
      <w:start w:val="1"/>
      <w:numFmt w:val="decimal"/>
      <w:lvlText w:val="%4."/>
      <w:lvlJc w:val="left"/>
      <w:pPr>
        <w:ind w:left="3589" w:hanging="360"/>
      </w:pPr>
    </w:lvl>
    <w:lvl w:ilvl="4" w:tplc="FFFFFFFF" w:tentative="1">
      <w:start w:val="1"/>
      <w:numFmt w:val="lowerLetter"/>
      <w:lvlText w:val="%5."/>
      <w:lvlJc w:val="left"/>
      <w:pPr>
        <w:ind w:left="4309" w:hanging="360"/>
      </w:pPr>
    </w:lvl>
    <w:lvl w:ilvl="5" w:tplc="FFFFFFFF" w:tentative="1">
      <w:start w:val="1"/>
      <w:numFmt w:val="lowerRoman"/>
      <w:lvlText w:val="%6."/>
      <w:lvlJc w:val="right"/>
      <w:pPr>
        <w:ind w:left="5029" w:hanging="180"/>
      </w:pPr>
    </w:lvl>
    <w:lvl w:ilvl="6" w:tplc="FFFFFFFF" w:tentative="1">
      <w:start w:val="1"/>
      <w:numFmt w:val="decimal"/>
      <w:lvlText w:val="%7."/>
      <w:lvlJc w:val="left"/>
      <w:pPr>
        <w:ind w:left="5749" w:hanging="360"/>
      </w:pPr>
    </w:lvl>
    <w:lvl w:ilvl="7" w:tplc="FFFFFFFF" w:tentative="1">
      <w:start w:val="1"/>
      <w:numFmt w:val="lowerLetter"/>
      <w:lvlText w:val="%8."/>
      <w:lvlJc w:val="left"/>
      <w:pPr>
        <w:ind w:left="6469" w:hanging="360"/>
      </w:pPr>
    </w:lvl>
    <w:lvl w:ilvl="8" w:tplc="FFFFFFFF" w:tentative="1">
      <w:start w:val="1"/>
      <w:numFmt w:val="lowerRoman"/>
      <w:lvlText w:val="%9."/>
      <w:lvlJc w:val="right"/>
      <w:pPr>
        <w:ind w:left="7189" w:hanging="180"/>
      </w:pPr>
    </w:lvl>
  </w:abstractNum>
  <w:abstractNum w:abstractNumId="77" w15:restartNumberingAfterBreak="0">
    <w:nsid w:val="521F47A7"/>
    <w:multiLevelType w:val="hybridMultilevel"/>
    <w:tmpl w:val="9C64597E"/>
    <w:lvl w:ilvl="0" w:tplc="FFFFFFFF">
      <w:start w:val="1"/>
      <w:numFmt w:val="lowerLetter"/>
      <w:lvlText w:val="%1)"/>
      <w:lvlJc w:val="left"/>
      <w:pPr>
        <w:ind w:left="2988" w:hanging="360"/>
      </w:pPr>
    </w:lvl>
    <w:lvl w:ilvl="1" w:tplc="FFFFFFFF" w:tentative="1">
      <w:start w:val="1"/>
      <w:numFmt w:val="lowerLetter"/>
      <w:lvlText w:val="%2."/>
      <w:lvlJc w:val="left"/>
      <w:pPr>
        <w:ind w:left="3708" w:hanging="360"/>
      </w:pPr>
    </w:lvl>
    <w:lvl w:ilvl="2" w:tplc="FFFFFFFF" w:tentative="1">
      <w:start w:val="1"/>
      <w:numFmt w:val="lowerRoman"/>
      <w:lvlText w:val="%3."/>
      <w:lvlJc w:val="right"/>
      <w:pPr>
        <w:ind w:left="4428" w:hanging="180"/>
      </w:pPr>
    </w:lvl>
    <w:lvl w:ilvl="3" w:tplc="FFFFFFFF" w:tentative="1">
      <w:start w:val="1"/>
      <w:numFmt w:val="decimal"/>
      <w:lvlText w:val="%4."/>
      <w:lvlJc w:val="left"/>
      <w:pPr>
        <w:ind w:left="5148" w:hanging="360"/>
      </w:pPr>
    </w:lvl>
    <w:lvl w:ilvl="4" w:tplc="FFFFFFFF" w:tentative="1">
      <w:start w:val="1"/>
      <w:numFmt w:val="lowerLetter"/>
      <w:lvlText w:val="%5."/>
      <w:lvlJc w:val="left"/>
      <w:pPr>
        <w:ind w:left="5868" w:hanging="360"/>
      </w:pPr>
    </w:lvl>
    <w:lvl w:ilvl="5" w:tplc="FFFFFFFF" w:tentative="1">
      <w:start w:val="1"/>
      <w:numFmt w:val="lowerRoman"/>
      <w:lvlText w:val="%6."/>
      <w:lvlJc w:val="right"/>
      <w:pPr>
        <w:ind w:left="6588" w:hanging="180"/>
      </w:pPr>
    </w:lvl>
    <w:lvl w:ilvl="6" w:tplc="FFFFFFFF" w:tentative="1">
      <w:start w:val="1"/>
      <w:numFmt w:val="decimal"/>
      <w:lvlText w:val="%7."/>
      <w:lvlJc w:val="left"/>
      <w:pPr>
        <w:ind w:left="7308" w:hanging="360"/>
      </w:pPr>
    </w:lvl>
    <w:lvl w:ilvl="7" w:tplc="FFFFFFFF" w:tentative="1">
      <w:start w:val="1"/>
      <w:numFmt w:val="lowerLetter"/>
      <w:lvlText w:val="%8."/>
      <w:lvlJc w:val="left"/>
      <w:pPr>
        <w:ind w:left="8028" w:hanging="360"/>
      </w:pPr>
    </w:lvl>
    <w:lvl w:ilvl="8" w:tplc="FFFFFFFF" w:tentative="1">
      <w:start w:val="1"/>
      <w:numFmt w:val="lowerRoman"/>
      <w:lvlText w:val="%9."/>
      <w:lvlJc w:val="right"/>
      <w:pPr>
        <w:ind w:left="8748" w:hanging="180"/>
      </w:pPr>
    </w:lvl>
  </w:abstractNum>
  <w:abstractNum w:abstractNumId="78" w15:restartNumberingAfterBreak="0">
    <w:nsid w:val="52CE0160"/>
    <w:multiLevelType w:val="hybridMultilevel"/>
    <w:tmpl w:val="C3204F66"/>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79" w15:restartNumberingAfterBreak="0">
    <w:nsid w:val="535D6440"/>
    <w:multiLevelType w:val="hybridMultilevel"/>
    <w:tmpl w:val="18C6AFDE"/>
    <w:lvl w:ilvl="0" w:tplc="FFFFFFFF">
      <w:start w:val="1"/>
      <w:numFmt w:val="decimal"/>
      <w:lvlText w:val=".%1"/>
      <w:lvlJc w:val="left"/>
      <w:pPr>
        <w:ind w:left="1429" w:hanging="360"/>
      </w:pPr>
      <w:rPr>
        <w:rFonts w:hint="default"/>
      </w:rPr>
    </w:lvl>
    <w:lvl w:ilvl="1" w:tplc="FFFFFFFF" w:tentative="1">
      <w:start w:val="1"/>
      <w:numFmt w:val="lowerLetter"/>
      <w:lvlText w:val="%2."/>
      <w:lvlJc w:val="left"/>
      <w:pPr>
        <w:ind w:left="2149" w:hanging="360"/>
      </w:pPr>
    </w:lvl>
    <w:lvl w:ilvl="2" w:tplc="FFFFFFFF" w:tentative="1">
      <w:start w:val="1"/>
      <w:numFmt w:val="lowerRoman"/>
      <w:lvlText w:val="%3."/>
      <w:lvlJc w:val="right"/>
      <w:pPr>
        <w:ind w:left="2869" w:hanging="180"/>
      </w:pPr>
    </w:lvl>
    <w:lvl w:ilvl="3" w:tplc="FFFFFFFF" w:tentative="1">
      <w:start w:val="1"/>
      <w:numFmt w:val="decimal"/>
      <w:lvlText w:val="%4."/>
      <w:lvlJc w:val="left"/>
      <w:pPr>
        <w:ind w:left="3589" w:hanging="360"/>
      </w:pPr>
    </w:lvl>
    <w:lvl w:ilvl="4" w:tplc="FFFFFFFF" w:tentative="1">
      <w:start w:val="1"/>
      <w:numFmt w:val="lowerLetter"/>
      <w:lvlText w:val="%5."/>
      <w:lvlJc w:val="left"/>
      <w:pPr>
        <w:ind w:left="4309" w:hanging="360"/>
      </w:pPr>
    </w:lvl>
    <w:lvl w:ilvl="5" w:tplc="FFFFFFFF" w:tentative="1">
      <w:start w:val="1"/>
      <w:numFmt w:val="lowerRoman"/>
      <w:lvlText w:val="%6."/>
      <w:lvlJc w:val="right"/>
      <w:pPr>
        <w:ind w:left="5029" w:hanging="180"/>
      </w:pPr>
    </w:lvl>
    <w:lvl w:ilvl="6" w:tplc="FFFFFFFF" w:tentative="1">
      <w:start w:val="1"/>
      <w:numFmt w:val="decimal"/>
      <w:lvlText w:val="%7."/>
      <w:lvlJc w:val="left"/>
      <w:pPr>
        <w:ind w:left="5749" w:hanging="360"/>
      </w:pPr>
    </w:lvl>
    <w:lvl w:ilvl="7" w:tplc="FFFFFFFF" w:tentative="1">
      <w:start w:val="1"/>
      <w:numFmt w:val="lowerLetter"/>
      <w:lvlText w:val="%8."/>
      <w:lvlJc w:val="left"/>
      <w:pPr>
        <w:ind w:left="6469" w:hanging="360"/>
      </w:pPr>
    </w:lvl>
    <w:lvl w:ilvl="8" w:tplc="FFFFFFFF" w:tentative="1">
      <w:start w:val="1"/>
      <w:numFmt w:val="lowerRoman"/>
      <w:lvlText w:val="%9."/>
      <w:lvlJc w:val="right"/>
      <w:pPr>
        <w:ind w:left="7189" w:hanging="180"/>
      </w:pPr>
    </w:lvl>
  </w:abstractNum>
  <w:abstractNum w:abstractNumId="80" w15:restartNumberingAfterBreak="0">
    <w:nsid w:val="547564E8"/>
    <w:multiLevelType w:val="hybridMultilevel"/>
    <w:tmpl w:val="1D28F78E"/>
    <w:lvl w:ilvl="0" w:tplc="C4A22E78">
      <w:start w:val="1"/>
      <w:numFmt w:val="decimal"/>
      <w:lvlText w:val=".%1"/>
      <w:lvlJc w:val="left"/>
      <w:pPr>
        <w:ind w:left="1429" w:hanging="360"/>
      </w:pPr>
      <w:rPr>
        <w:rFonts w:hint="default"/>
      </w:rPr>
    </w:lvl>
    <w:lvl w:ilvl="1" w:tplc="04050019" w:tentative="1">
      <w:start w:val="1"/>
      <w:numFmt w:val="lowerLetter"/>
      <w:lvlText w:val="%2."/>
      <w:lvlJc w:val="left"/>
      <w:pPr>
        <w:ind w:left="2149" w:hanging="360"/>
      </w:pPr>
    </w:lvl>
    <w:lvl w:ilvl="2" w:tplc="0405001B" w:tentative="1">
      <w:start w:val="1"/>
      <w:numFmt w:val="lowerRoman"/>
      <w:lvlText w:val="%3."/>
      <w:lvlJc w:val="right"/>
      <w:pPr>
        <w:ind w:left="2869" w:hanging="180"/>
      </w:pPr>
    </w:lvl>
    <w:lvl w:ilvl="3" w:tplc="0405000F" w:tentative="1">
      <w:start w:val="1"/>
      <w:numFmt w:val="decimal"/>
      <w:lvlText w:val="%4."/>
      <w:lvlJc w:val="left"/>
      <w:pPr>
        <w:ind w:left="3589" w:hanging="360"/>
      </w:pPr>
    </w:lvl>
    <w:lvl w:ilvl="4" w:tplc="04050019" w:tentative="1">
      <w:start w:val="1"/>
      <w:numFmt w:val="lowerLetter"/>
      <w:lvlText w:val="%5."/>
      <w:lvlJc w:val="left"/>
      <w:pPr>
        <w:ind w:left="4309" w:hanging="360"/>
      </w:pPr>
    </w:lvl>
    <w:lvl w:ilvl="5" w:tplc="0405001B" w:tentative="1">
      <w:start w:val="1"/>
      <w:numFmt w:val="lowerRoman"/>
      <w:lvlText w:val="%6."/>
      <w:lvlJc w:val="right"/>
      <w:pPr>
        <w:ind w:left="5029" w:hanging="180"/>
      </w:pPr>
    </w:lvl>
    <w:lvl w:ilvl="6" w:tplc="0405000F" w:tentative="1">
      <w:start w:val="1"/>
      <w:numFmt w:val="decimal"/>
      <w:lvlText w:val="%7."/>
      <w:lvlJc w:val="left"/>
      <w:pPr>
        <w:ind w:left="5749" w:hanging="360"/>
      </w:pPr>
    </w:lvl>
    <w:lvl w:ilvl="7" w:tplc="04050019" w:tentative="1">
      <w:start w:val="1"/>
      <w:numFmt w:val="lowerLetter"/>
      <w:lvlText w:val="%8."/>
      <w:lvlJc w:val="left"/>
      <w:pPr>
        <w:ind w:left="6469" w:hanging="360"/>
      </w:pPr>
    </w:lvl>
    <w:lvl w:ilvl="8" w:tplc="0405001B" w:tentative="1">
      <w:start w:val="1"/>
      <w:numFmt w:val="lowerRoman"/>
      <w:lvlText w:val="%9."/>
      <w:lvlJc w:val="right"/>
      <w:pPr>
        <w:ind w:left="7189" w:hanging="180"/>
      </w:pPr>
    </w:lvl>
  </w:abstractNum>
  <w:abstractNum w:abstractNumId="81" w15:restartNumberingAfterBreak="0">
    <w:nsid w:val="54877503"/>
    <w:multiLevelType w:val="hybridMultilevel"/>
    <w:tmpl w:val="EAE85E54"/>
    <w:lvl w:ilvl="0" w:tplc="FFFFFFFF">
      <w:start w:val="1"/>
      <w:numFmt w:val="decimal"/>
      <w:lvlText w:val=".%1"/>
      <w:lvlJc w:val="left"/>
      <w:pPr>
        <w:ind w:left="1429" w:hanging="360"/>
      </w:pPr>
      <w:rPr>
        <w:rFonts w:hint="default"/>
      </w:rPr>
    </w:lvl>
    <w:lvl w:ilvl="1" w:tplc="FFFFFFFF" w:tentative="1">
      <w:start w:val="1"/>
      <w:numFmt w:val="lowerLetter"/>
      <w:lvlText w:val="%2."/>
      <w:lvlJc w:val="left"/>
      <w:pPr>
        <w:ind w:left="2149" w:hanging="360"/>
      </w:pPr>
    </w:lvl>
    <w:lvl w:ilvl="2" w:tplc="FFFFFFFF" w:tentative="1">
      <w:start w:val="1"/>
      <w:numFmt w:val="lowerRoman"/>
      <w:lvlText w:val="%3."/>
      <w:lvlJc w:val="right"/>
      <w:pPr>
        <w:ind w:left="2869" w:hanging="180"/>
      </w:pPr>
    </w:lvl>
    <w:lvl w:ilvl="3" w:tplc="FFFFFFFF" w:tentative="1">
      <w:start w:val="1"/>
      <w:numFmt w:val="decimal"/>
      <w:lvlText w:val="%4."/>
      <w:lvlJc w:val="left"/>
      <w:pPr>
        <w:ind w:left="3589" w:hanging="360"/>
      </w:pPr>
    </w:lvl>
    <w:lvl w:ilvl="4" w:tplc="FFFFFFFF" w:tentative="1">
      <w:start w:val="1"/>
      <w:numFmt w:val="lowerLetter"/>
      <w:lvlText w:val="%5."/>
      <w:lvlJc w:val="left"/>
      <w:pPr>
        <w:ind w:left="4309" w:hanging="360"/>
      </w:pPr>
    </w:lvl>
    <w:lvl w:ilvl="5" w:tplc="FFFFFFFF" w:tentative="1">
      <w:start w:val="1"/>
      <w:numFmt w:val="lowerRoman"/>
      <w:lvlText w:val="%6."/>
      <w:lvlJc w:val="right"/>
      <w:pPr>
        <w:ind w:left="5029" w:hanging="180"/>
      </w:pPr>
    </w:lvl>
    <w:lvl w:ilvl="6" w:tplc="FFFFFFFF" w:tentative="1">
      <w:start w:val="1"/>
      <w:numFmt w:val="decimal"/>
      <w:lvlText w:val="%7."/>
      <w:lvlJc w:val="left"/>
      <w:pPr>
        <w:ind w:left="5749" w:hanging="360"/>
      </w:pPr>
    </w:lvl>
    <w:lvl w:ilvl="7" w:tplc="FFFFFFFF" w:tentative="1">
      <w:start w:val="1"/>
      <w:numFmt w:val="lowerLetter"/>
      <w:lvlText w:val="%8."/>
      <w:lvlJc w:val="left"/>
      <w:pPr>
        <w:ind w:left="6469" w:hanging="360"/>
      </w:pPr>
    </w:lvl>
    <w:lvl w:ilvl="8" w:tplc="FFFFFFFF" w:tentative="1">
      <w:start w:val="1"/>
      <w:numFmt w:val="lowerRoman"/>
      <w:lvlText w:val="%9."/>
      <w:lvlJc w:val="right"/>
      <w:pPr>
        <w:ind w:left="7189" w:hanging="180"/>
      </w:pPr>
    </w:lvl>
  </w:abstractNum>
  <w:abstractNum w:abstractNumId="82" w15:restartNumberingAfterBreak="0">
    <w:nsid w:val="59CC4211"/>
    <w:multiLevelType w:val="hybridMultilevel"/>
    <w:tmpl w:val="A07E8C9C"/>
    <w:lvl w:ilvl="0" w:tplc="D26AC792">
      <w:start w:val="1"/>
      <w:numFmt w:val="bullet"/>
      <w:pStyle w:val="DOorganizace"/>
      <w:lvlText w:val="­"/>
      <w:lvlJc w:val="left"/>
      <w:pPr>
        <w:ind w:left="720" w:hanging="360"/>
      </w:pPr>
      <w:rPr>
        <w:rFonts w:ascii="Courier New" w:hAnsi="Courier New"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83" w15:restartNumberingAfterBreak="0">
    <w:nsid w:val="5C2F2EA1"/>
    <w:multiLevelType w:val="hybridMultilevel"/>
    <w:tmpl w:val="10642938"/>
    <w:lvl w:ilvl="0" w:tplc="C4A22E78">
      <w:start w:val="1"/>
      <w:numFmt w:val="decimal"/>
      <w:lvlText w:val=".%1"/>
      <w:lvlJc w:val="left"/>
      <w:pPr>
        <w:ind w:left="1429" w:hanging="360"/>
      </w:pPr>
      <w:rPr>
        <w:rFonts w:hint="default"/>
      </w:rPr>
    </w:lvl>
    <w:lvl w:ilvl="1" w:tplc="04050019" w:tentative="1">
      <w:start w:val="1"/>
      <w:numFmt w:val="lowerLetter"/>
      <w:lvlText w:val="%2."/>
      <w:lvlJc w:val="left"/>
      <w:pPr>
        <w:ind w:left="2149" w:hanging="360"/>
      </w:pPr>
    </w:lvl>
    <w:lvl w:ilvl="2" w:tplc="0405001B" w:tentative="1">
      <w:start w:val="1"/>
      <w:numFmt w:val="lowerRoman"/>
      <w:lvlText w:val="%3."/>
      <w:lvlJc w:val="right"/>
      <w:pPr>
        <w:ind w:left="2869" w:hanging="180"/>
      </w:pPr>
    </w:lvl>
    <w:lvl w:ilvl="3" w:tplc="0405000F" w:tentative="1">
      <w:start w:val="1"/>
      <w:numFmt w:val="decimal"/>
      <w:lvlText w:val="%4."/>
      <w:lvlJc w:val="left"/>
      <w:pPr>
        <w:ind w:left="3589" w:hanging="360"/>
      </w:pPr>
    </w:lvl>
    <w:lvl w:ilvl="4" w:tplc="04050019" w:tentative="1">
      <w:start w:val="1"/>
      <w:numFmt w:val="lowerLetter"/>
      <w:lvlText w:val="%5."/>
      <w:lvlJc w:val="left"/>
      <w:pPr>
        <w:ind w:left="4309" w:hanging="360"/>
      </w:pPr>
    </w:lvl>
    <w:lvl w:ilvl="5" w:tplc="0405001B" w:tentative="1">
      <w:start w:val="1"/>
      <w:numFmt w:val="lowerRoman"/>
      <w:lvlText w:val="%6."/>
      <w:lvlJc w:val="right"/>
      <w:pPr>
        <w:ind w:left="5029" w:hanging="180"/>
      </w:pPr>
    </w:lvl>
    <w:lvl w:ilvl="6" w:tplc="0405000F" w:tentative="1">
      <w:start w:val="1"/>
      <w:numFmt w:val="decimal"/>
      <w:lvlText w:val="%7."/>
      <w:lvlJc w:val="left"/>
      <w:pPr>
        <w:ind w:left="5749" w:hanging="360"/>
      </w:pPr>
    </w:lvl>
    <w:lvl w:ilvl="7" w:tplc="04050019" w:tentative="1">
      <w:start w:val="1"/>
      <w:numFmt w:val="lowerLetter"/>
      <w:lvlText w:val="%8."/>
      <w:lvlJc w:val="left"/>
      <w:pPr>
        <w:ind w:left="6469" w:hanging="360"/>
      </w:pPr>
    </w:lvl>
    <w:lvl w:ilvl="8" w:tplc="0405001B" w:tentative="1">
      <w:start w:val="1"/>
      <w:numFmt w:val="lowerRoman"/>
      <w:lvlText w:val="%9."/>
      <w:lvlJc w:val="right"/>
      <w:pPr>
        <w:ind w:left="7189" w:hanging="180"/>
      </w:pPr>
    </w:lvl>
  </w:abstractNum>
  <w:abstractNum w:abstractNumId="84" w15:restartNumberingAfterBreak="0">
    <w:nsid w:val="5D62345D"/>
    <w:multiLevelType w:val="hybridMultilevel"/>
    <w:tmpl w:val="5CF49436"/>
    <w:lvl w:ilvl="0" w:tplc="FFFFFFFF">
      <w:start w:val="1"/>
      <w:numFmt w:val="decimal"/>
      <w:lvlText w:val=".%1"/>
      <w:lvlJc w:val="left"/>
      <w:pPr>
        <w:ind w:left="1429" w:hanging="360"/>
      </w:pPr>
      <w:rPr>
        <w:rFonts w:hint="default"/>
      </w:rPr>
    </w:lvl>
    <w:lvl w:ilvl="1" w:tplc="FFFFFFFF" w:tentative="1">
      <w:start w:val="1"/>
      <w:numFmt w:val="lowerLetter"/>
      <w:lvlText w:val="%2."/>
      <w:lvlJc w:val="left"/>
      <w:pPr>
        <w:ind w:left="2149" w:hanging="360"/>
      </w:pPr>
    </w:lvl>
    <w:lvl w:ilvl="2" w:tplc="FFFFFFFF" w:tentative="1">
      <w:start w:val="1"/>
      <w:numFmt w:val="lowerRoman"/>
      <w:lvlText w:val="%3."/>
      <w:lvlJc w:val="right"/>
      <w:pPr>
        <w:ind w:left="2869" w:hanging="180"/>
      </w:pPr>
    </w:lvl>
    <w:lvl w:ilvl="3" w:tplc="FFFFFFFF" w:tentative="1">
      <w:start w:val="1"/>
      <w:numFmt w:val="decimal"/>
      <w:lvlText w:val="%4."/>
      <w:lvlJc w:val="left"/>
      <w:pPr>
        <w:ind w:left="3589" w:hanging="360"/>
      </w:pPr>
    </w:lvl>
    <w:lvl w:ilvl="4" w:tplc="FFFFFFFF" w:tentative="1">
      <w:start w:val="1"/>
      <w:numFmt w:val="lowerLetter"/>
      <w:lvlText w:val="%5."/>
      <w:lvlJc w:val="left"/>
      <w:pPr>
        <w:ind w:left="4309" w:hanging="360"/>
      </w:pPr>
    </w:lvl>
    <w:lvl w:ilvl="5" w:tplc="FFFFFFFF" w:tentative="1">
      <w:start w:val="1"/>
      <w:numFmt w:val="lowerRoman"/>
      <w:lvlText w:val="%6."/>
      <w:lvlJc w:val="right"/>
      <w:pPr>
        <w:ind w:left="5029" w:hanging="180"/>
      </w:pPr>
    </w:lvl>
    <w:lvl w:ilvl="6" w:tplc="FFFFFFFF" w:tentative="1">
      <w:start w:val="1"/>
      <w:numFmt w:val="decimal"/>
      <w:lvlText w:val="%7."/>
      <w:lvlJc w:val="left"/>
      <w:pPr>
        <w:ind w:left="5749" w:hanging="360"/>
      </w:pPr>
    </w:lvl>
    <w:lvl w:ilvl="7" w:tplc="FFFFFFFF" w:tentative="1">
      <w:start w:val="1"/>
      <w:numFmt w:val="lowerLetter"/>
      <w:lvlText w:val="%8."/>
      <w:lvlJc w:val="left"/>
      <w:pPr>
        <w:ind w:left="6469" w:hanging="360"/>
      </w:pPr>
    </w:lvl>
    <w:lvl w:ilvl="8" w:tplc="FFFFFFFF" w:tentative="1">
      <w:start w:val="1"/>
      <w:numFmt w:val="lowerRoman"/>
      <w:lvlText w:val="%9."/>
      <w:lvlJc w:val="right"/>
      <w:pPr>
        <w:ind w:left="7189" w:hanging="180"/>
      </w:pPr>
    </w:lvl>
  </w:abstractNum>
  <w:abstractNum w:abstractNumId="85" w15:restartNumberingAfterBreak="0">
    <w:nsid w:val="5E436FA2"/>
    <w:multiLevelType w:val="hybridMultilevel"/>
    <w:tmpl w:val="F3442964"/>
    <w:lvl w:ilvl="0" w:tplc="C4A22E78">
      <w:start w:val="1"/>
      <w:numFmt w:val="decimal"/>
      <w:lvlText w:val=".%1"/>
      <w:lvlJc w:val="left"/>
      <w:pPr>
        <w:ind w:left="1429" w:hanging="360"/>
      </w:pPr>
      <w:rPr>
        <w:rFonts w:hint="default"/>
      </w:rPr>
    </w:lvl>
    <w:lvl w:ilvl="1" w:tplc="04050019" w:tentative="1">
      <w:start w:val="1"/>
      <w:numFmt w:val="lowerLetter"/>
      <w:lvlText w:val="%2."/>
      <w:lvlJc w:val="left"/>
      <w:pPr>
        <w:ind w:left="2149" w:hanging="360"/>
      </w:pPr>
    </w:lvl>
    <w:lvl w:ilvl="2" w:tplc="0405001B" w:tentative="1">
      <w:start w:val="1"/>
      <w:numFmt w:val="lowerRoman"/>
      <w:lvlText w:val="%3."/>
      <w:lvlJc w:val="right"/>
      <w:pPr>
        <w:ind w:left="2869" w:hanging="180"/>
      </w:pPr>
    </w:lvl>
    <w:lvl w:ilvl="3" w:tplc="0405000F" w:tentative="1">
      <w:start w:val="1"/>
      <w:numFmt w:val="decimal"/>
      <w:lvlText w:val="%4."/>
      <w:lvlJc w:val="left"/>
      <w:pPr>
        <w:ind w:left="3589" w:hanging="360"/>
      </w:pPr>
    </w:lvl>
    <w:lvl w:ilvl="4" w:tplc="04050019" w:tentative="1">
      <w:start w:val="1"/>
      <w:numFmt w:val="lowerLetter"/>
      <w:lvlText w:val="%5."/>
      <w:lvlJc w:val="left"/>
      <w:pPr>
        <w:ind w:left="4309" w:hanging="360"/>
      </w:pPr>
    </w:lvl>
    <w:lvl w:ilvl="5" w:tplc="0405001B" w:tentative="1">
      <w:start w:val="1"/>
      <w:numFmt w:val="lowerRoman"/>
      <w:lvlText w:val="%6."/>
      <w:lvlJc w:val="right"/>
      <w:pPr>
        <w:ind w:left="5029" w:hanging="180"/>
      </w:pPr>
    </w:lvl>
    <w:lvl w:ilvl="6" w:tplc="0405000F" w:tentative="1">
      <w:start w:val="1"/>
      <w:numFmt w:val="decimal"/>
      <w:lvlText w:val="%7."/>
      <w:lvlJc w:val="left"/>
      <w:pPr>
        <w:ind w:left="5749" w:hanging="360"/>
      </w:pPr>
    </w:lvl>
    <w:lvl w:ilvl="7" w:tplc="04050019" w:tentative="1">
      <w:start w:val="1"/>
      <w:numFmt w:val="lowerLetter"/>
      <w:lvlText w:val="%8."/>
      <w:lvlJc w:val="left"/>
      <w:pPr>
        <w:ind w:left="6469" w:hanging="360"/>
      </w:pPr>
    </w:lvl>
    <w:lvl w:ilvl="8" w:tplc="0405001B" w:tentative="1">
      <w:start w:val="1"/>
      <w:numFmt w:val="lowerRoman"/>
      <w:lvlText w:val="%9."/>
      <w:lvlJc w:val="right"/>
      <w:pPr>
        <w:ind w:left="7189" w:hanging="180"/>
      </w:pPr>
    </w:lvl>
  </w:abstractNum>
  <w:abstractNum w:abstractNumId="86" w15:restartNumberingAfterBreak="0">
    <w:nsid w:val="5E813E43"/>
    <w:multiLevelType w:val="hybridMultilevel"/>
    <w:tmpl w:val="AB6CCD2C"/>
    <w:lvl w:ilvl="0" w:tplc="04050001">
      <w:start w:val="1"/>
      <w:numFmt w:val="bullet"/>
      <w:lvlText w:val=""/>
      <w:lvlJc w:val="left"/>
      <w:pPr>
        <w:ind w:left="1494" w:hanging="360"/>
      </w:pPr>
      <w:rPr>
        <w:rFonts w:ascii="Symbol" w:hAnsi="Symbol" w:hint="default"/>
      </w:rPr>
    </w:lvl>
    <w:lvl w:ilvl="1" w:tplc="04050003" w:tentative="1">
      <w:start w:val="1"/>
      <w:numFmt w:val="bullet"/>
      <w:lvlText w:val="o"/>
      <w:lvlJc w:val="left"/>
      <w:pPr>
        <w:ind w:left="2214" w:hanging="360"/>
      </w:pPr>
      <w:rPr>
        <w:rFonts w:ascii="Courier New" w:hAnsi="Courier New" w:cs="Courier New" w:hint="default"/>
      </w:rPr>
    </w:lvl>
    <w:lvl w:ilvl="2" w:tplc="04050005" w:tentative="1">
      <w:start w:val="1"/>
      <w:numFmt w:val="bullet"/>
      <w:lvlText w:val=""/>
      <w:lvlJc w:val="left"/>
      <w:pPr>
        <w:ind w:left="2934" w:hanging="360"/>
      </w:pPr>
      <w:rPr>
        <w:rFonts w:ascii="Wingdings" w:hAnsi="Wingdings" w:hint="default"/>
      </w:rPr>
    </w:lvl>
    <w:lvl w:ilvl="3" w:tplc="04050001" w:tentative="1">
      <w:start w:val="1"/>
      <w:numFmt w:val="bullet"/>
      <w:lvlText w:val=""/>
      <w:lvlJc w:val="left"/>
      <w:pPr>
        <w:ind w:left="3654" w:hanging="360"/>
      </w:pPr>
      <w:rPr>
        <w:rFonts w:ascii="Symbol" w:hAnsi="Symbol" w:hint="default"/>
      </w:rPr>
    </w:lvl>
    <w:lvl w:ilvl="4" w:tplc="04050003" w:tentative="1">
      <w:start w:val="1"/>
      <w:numFmt w:val="bullet"/>
      <w:lvlText w:val="o"/>
      <w:lvlJc w:val="left"/>
      <w:pPr>
        <w:ind w:left="4374" w:hanging="360"/>
      </w:pPr>
      <w:rPr>
        <w:rFonts w:ascii="Courier New" w:hAnsi="Courier New" w:cs="Courier New" w:hint="default"/>
      </w:rPr>
    </w:lvl>
    <w:lvl w:ilvl="5" w:tplc="04050005" w:tentative="1">
      <w:start w:val="1"/>
      <w:numFmt w:val="bullet"/>
      <w:lvlText w:val=""/>
      <w:lvlJc w:val="left"/>
      <w:pPr>
        <w:ind w:left="5094" w:hanging="360"/>
      </w:pPr>
      <w:rPr>
        <w:rFonts w:ascii="Wingdings" w:hAnsi="Wingdings" w:hint="default"/>
      </w:rPr>
    </w:lvl>
    <w:lvl w:ilvl="6" w:tplc="04050001" w:tentative="1">
      <w:start w:val="1"/>
      <w:numFmt w:val="bullet"/>
      <w:lvlText w:val=""/>
      <w:lvlJc w:val="left"/>
      <w:pPr>
        <w:ind w:left="5814" w:hanging="360"/>
      </w:pPr>
      <w:rPr>
        <w:rFonts w:ascii="Symbol" w:hAnsi="Symbol" w:hint="default"/>
      </w:rPr>
    </w:lvl>
    <w:lvl w:ilvl="7" w:tplc="04050003" w:tentative="1">
      <w:start w:val="1"/>
      <w:numFmt w:val="bullet"/>
      <w:lvlText w:val="o"/>
      <w:lvlJc w:val="left"/>
      <w:pPr>
        <w:ind w:left="6534" w:hanging="360"/>
      </w:pPr>
      <w:rPr>
        <w:rFonts w:ascii="Courier New" w:hAnsi="Courier New" w:cs="Courier New" w:hint="default"/>
      </w:rPr>
    </w:lvl>
    <w:lvl w:ilvl="8" w:tplc="04050005" w:tentative="1">
      <w:start w:val="1"/>
      <w:numFmt w:val="bullet"/>
      <w:lvlText w:val=""/>
      <w:lvlJc w:val="left"/>
      <w:pPr>
        <w:ind w:left="7254" w:hanging="360"/>
      </w:pPr>
      <w:rPr>
        <w:rFonts w:ascii="Wingdings" w:hAnsi="Wingdings" w:hint="default"/>
      </w:rPr>
    </w:lvl>
  </w:abstractNum>
  <w:abstractNum w:abstractNumId="87" w15:restartNumberingAfterBreak="0">
    <w:nsid w:val="62A22F6F"/>
    <w:multiLevelType w:val="hybridMultilevel"/>
    <w:tmpl w:val="4EF441F4"/>
    <w:lvl w:ilvl="0" w:tplc="9B129270">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88" w15:restartNumberingAfterBreak="0">
    <w:nsid w:val="646C50E2"/>
    <w:multiLevelType w:val="hybridMultilevel"/>
    <w:tmpl w:val="557CDBB4"/>
    <w:lvl w:ilvl="0" w:tplc="9B129270">
      <w:start w:val="1"/>
      <w:numFmt w:val="decimal"/>
      <w:lvlText w:val=".%1"/>
      <w:lvlJc w:val="left"/>
      <w:pPr>
        <w:ind w:left="720" w:hanging="360"/>
      </w:pPr>
      <w:rPr>
        <w:rFonts w:hint="default"/>
      </w:rPr>
    </w:lvl>
    <w:lvl w:ilvl="1" w:tplc="04050019">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89" w15:restartNumberingAfterBreak="0">
    <w:nsid w:val="66DC53BB"/>
    <w:multiLevelType w:val="hybridMultilevel"/>
    <w:tmpl w:val="C910F6DA"/>
    <w:lvl w:ilvl="0" w:tplc="B89CBD0E">
      <w:start w:val="1"/>
      <w:numFmt w:val="bullet"/>
      <w:pStyle w:val="bodk"/>
      <w:lvlText w:val="o"/>
      <w:lvlJc w:val="left"/>
      <w:pPr>
        <w:ind w:left="2487" w:hanging="360"/>
      </w:pPr>
      <w:rPr>
        <w:rFonts w:ascii="Courier New" w:hAnsi="Courier New" w:cs="Courier New"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90" w15:restartNumberingAfterBreak="0">
    <w:nsid w:val="68640742"/>
    <w:multiLevelType w:val="hybridMultilevel"/>
    <w:tmpl w:val="52563206"/>
    <w:lvl w:ilvl="0" w:tplc="4E7C6194">
      <w:start w:val="3"/>
      <w:numFmt w:val="lowerLetter"/>
      <w:lvlText w:val="%1)"/>
      <w:lvlJc w:val="left"/>
      <w:pPr>
        <w:ind w:left="2988"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91" w15:restartNumberingAfterBreak="0">
    <w:nsid w:val="693F51E2"/>
    <w:multiLevelType w:val="multilevel"/>
    <w:tmpl w:val="169A71F4"/>
    <w:lvl w:ilvl="0">
      <w:start w:val="1"/>
      <w:numFmt w:val="upperRoman"/>
      <w:pStyle w:val="Nadpis1"/>
      <w:lvlText w:val="%1"/>
      <w:lvlJc w:val="left"/>
      <w:pPr>
        <w:ind w:left="765" w:hanging="765"/>
      </w:pPr>
      <w:rPr>
        <w:rFonts w:hint="default"/>
      </w:rPr>
    </w:lvl>
    <w:lvl w:ilvl="1">
      <w:start w:val="1"/>
      <w:numFmt w:val="lowerLetter"/>
      <w:pStyle w:val="Nadpis2"/>
      <w:lvlText w:val="%1.%2"/>
      <w:lvlJc w:val="left"/>
      <w:pPr>
        <w:ind w:left="765" w:hanging="765"/>
      </w:pPr>
      <w:rPr>
        <w:rFonts w:hint="default"/>
      </w:rPr>
    </w:lvl>
    <w:lvl w:ilvl="2">
      <w:start w:val="1"/>
      <w:numFmt w:val="decimal"/>
      <w:pStyle w:val="Nadpis3"/>
      <w:lvlText w:val="%1.%2/%3"/>
      <w:lvlJc w:val="left"/>
      <w:pPr>
        <w:ind w:left="765" w:hanging="765"/>
      </w:pPr>
      <w:rPr>
        <w:rFonts w:hint="default"/>
      </w:rPr>
    </w:lvl>
    <w:lvl w:ilvl="3">
      <w:start w:val="1"/>
      <w:numFmt w:val="decimal"/>
      <w:pStyle w:val="Nadpis4"/>
      <w:lvlText w:val="%1.%2/%3.%4"/>
      <w:lvlJc w:val="left"/>
      <w:pPr>
        <w:ind w:left="765" w:hanging="765"/>
      </w:pPr>
      <w:rPr>
        <w:rFonts w:hint="default"/>
        <w:i w:val="0"/>
      </w:rPr>
    </w:lvl>
    <w:lvl w:ilvl="4">
      <w:start w:val="1"/>
      <w:numFmt w:val="decimal"/>
      <w:pStyle w:val="Nadpis5"/>
      <w:lvlText w:val="%2/%3.%4.%5"/>
      <w:lvlJc w:val="left"/>
      <w:pPr>
        <w:ind w:left="765" w:hanging="765"/>
      </w:pPr>
      <w:rPr>
        <w:rFonts w:hint="default"/>
      </w:rPr>
    </w:lvl>
    <w:lvl w:ilvl="5">
      <w:start w:val="1"/>
      <w:numFmt w:val="decimal"/>
      <w:pStyle w:val="Nadpis6"/>
      <w:lvlText w:val="%2/%3.%4.%5.%6"/>
      <w:lvlJc w:val="left"/>
      <w:pPr>
        <w:ind w:left="765" w:hanging="765"/>
      </w:pPr>
      <w:rPr>
        <w:rFonts w:hint="default"/>
      </w:rPr>
    </w:lvl>
    <w:lvl w:ilvl="6">
      <w:start w:val="1"/>
      <w:numFmt w:val="decimal"/>
      <w:pStyle w:val="Nadpis7"/>
      <w:lvlText w:val="%2/%3.%4.%5.%6.%7"/>
      <w:lvlJc w:val="left"/>
      <w:pPr>
        <w:ind w:left="765" w:hanging="765"/>
      </w:pPr>
      <w:rPr>
        <w:rFonts w:hint="default"/>
      </w:rPr>
    </w:lvl>
    <w:lvl w:ilvl="7">
      <w:start w:val="1"/>
      <w:numFmt w:val="decimal"/>
      <w:pStyle w:val="Nadpis8"/>
      <w:lvlText w:val="%2/%3.%4.%5.%6.%7.%8"/>
      <w:lvlJc w:val="left"/>
      <w:pPr>
        <w:ind w:left="765" w:hanging="765"/>
      </w:pPr>
      <w:rPr>
        <w:rFonts w:hint="default"/>
      </w:rPr>
    </w:lvl>
    <w:lvl w:ilvl="8">
      <w:start w:val="1"/>
      <w:numFmt w:val="decimal"/>
      <w:pStyle w:val="Nadpis9"/>
      <w:lvlText w:val="%2/%3.%4.%5.%6.%7.%8.%9"/>
      <w:lvlJc w:val="left"/>
      <w:pPr>
        <w:ind w:left="765" w:hanging="765"/>
      </w:pPr>
      <w:rPr>
        <w:rFonts w:hint="default"/>
      </w:rPr>
    </w:lvl>
  </w:abstractNum>
  <w:abstractNum w:abstractNumId="92" w15:restartNumberingAfterBreak="0">
    <w:nsid w:val="695951D9"/>
    <w:multiLevelType w:val="hybridMultilevel"/>
    <w:tmpl w:val="5EDA35DC"/>
    <w:lvl w:ilvl="0" w:tplc="04050001">
      <w:start w:val="1"/>
      <w:numFmt w:val="bullet"/>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93" w15:restartNumberingAfterBreak="0">
    <w:nsid w:val="6AAF1A1F"/>
    <w:multiLevelType w:val="multilevel"/>
    <w:tmpl w:val="23528C00"/>
    <w:lvl w:ilvl="0">
      <w:start w:val="1"/>
      <w:numFmt w:val="decimal"/>
      <w:pStyle w:val="Textodstavce"/>
      <w:isLgl/>
      <w:lvlText w:val="(%1)"/>
      <w:lvlJc w:val="left"/>
      <w:pPr>
        <w:tabs>
          <w:tab w:val="num" w:pos="785"/>
        </w:tabs>
        <w:ind w:left="0" w:firstLine="425"/>
      </w:pPr>
    </w:lvl>
    <w:lvl w:ilvl="1">
      <w:start w:val="1"/>
      <w:numFmt w:val="lowerLetter"/>
      <w:pStyle w:val="Textpsmene"/>
      <w:lvlText w:val="%2)"/>
      <w:lvlJc w:val="left"/>
      <w:pPr>
        <w:tabs>
          <w:tab w:val="num" w:pos="425"/>
        </w:tabs>
        <w:ind w:left="425" w:hanging="425"/>
      </w:pPr>
    </w:lvl>
    <w:lvl w:ilvl="2">
      <w:start w:val="1"/>
      <w:numFmt w:val="decimal"/>
      <w:pStyle w:val="Textbodu"/>
      <w:isLgl/>
      <w:lvlText w:val="%3."/>
      <w:lvlJc w:val="left"/>
      <w:pPr>
        <w:tabs>
          <w:tab w:val="num" w:pos="851"/>
        </w:tabs>
        <w:ind w:left="851" w:hanging="426"/>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52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600"/>
        </w:tabs>
        <w:ind w:left="3240" w:hanging="360"/>
      </w:pPr>
    </w:lvl>
  </w:abstractNum>
  <w:abstractNum w:abstractNumId="94" w15:restartNumberingAfterBreak="0">
    <w:nsid w:val="6ABC6D35"/>
    <w:multiLevelType w:val="hybridMultilevel"/>
    <w:tmpl w:val="4EF441F4"/>
    <w:lvl w:ilvl="0" w:tplc="838043D4">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95" w15:restartNumberingAfterBreak="0">
    <w:nsid w:val="6C70521C"/>
    <w:multiLevelType w:val="multilevel"/>
    <w:tmpl w:val="62FE2154"/>
    <w:lvl w:ilvl="0">
      <w:numFmt w:val="decimal"/>
      <w:pStyle w:val="NadpisKURSIVOUPODTR"/>
      <w:lvlText w:val="%1"/>
      <w:lvlJc w:val="left"/>
      <w:pPr>
        <w:ind w:left="555" w:hanging="555"/>
      </w:pPr>
      <w:rPr>
        <w:rFonts w:hint="default"/>
      </w:rPr>
    </w:lvl>
    <w:lvl w:ilvl="1">
      <w:start w:val="1"/>
      <w:numFmt w:val="decimal"/>
      <w:lvlText w:val="%1.%2"/>
      <w:lvlJc w:val="left"/>
      <w:pPr>
        <w:ind w:left="1406" w:hanging="555"/>
      </w:pPr>
      <w:rPr>
        <w:rFonts w:hint="default"/>
      </w:rPr>
    </w:lvl>
    <w:lvl w:ilvl="2">
      <w:start w:val="1"/>
      <w:numFmt w:val="decimal"/>
      <w:lvlText w:val="%1.%2.%3"/>
      <w:lvlJc w:val="left"/>
      <w:pPr>
        <w:ind w:left="2257" w:hanging="555"/>
      </w:pPr>
      <w:rPr>
        <w:rFonts w:hint="default"/>
      </w:rPr>
    </w:lvl>
    <w:lvl w:ilvl="3">
      <w:start w:val="1"/>
      <w:numFmt w:val="decimal"/>
      <w:lvlText w:val="%1.%2.%3.%4"/>
      <w:lvlJc w:val="left"/>
      <w:pPr>
        <w:ind w:left="3273" w:hanging="720"/>
      </w:pPr>
      <w:rPr>
        <w:rFonts w:hint="default"/>
      </w:rPr>
    </w:lvl>
    <w:lvl w:ilvl="4">
      <w:start w:val="1"/>
      <w:numFmt w:val="decimal"/>
      <w:lvlText w:val="%1.%2.%3.%4.%5"/>
      <w:lvlJc w:val="left"/>
      <w:pPr>
        <w:ind w:left="4124" w:hanging="720"/>
      </w:pPr>
      <w:rPr>
        <w:rFonts w:hint="default"/>
      </w:rPr>
    </w:lvl>
    <w:lvl w:ilvl="5">
      <w:start w:val="1"/>
      <w:numFmt w:val="decimal"/>
      <w:lvlText w:val="%1.%2.%3.%4.%5.%6"/>
      <w:lvlJc w:val="left"/>
      <w:pPr>
        <w:ind w:left="5335" w:hanging="1080"/>
      </w:pPr>
      <w:rPr>
        <w:rFonts w:hint="default"/>
      </w:rPr>
    </w:lvl>
    <w:lvl w:ilvl="6">
      <w:start w:val="1"/>
      <w:numFmt w:val="decimal"/>
      <w:lvlText w:val="%1.%2.%3.%4.%5.%6.%7"/>
      <w:lvlJc w:val="left"/>
      <w:pPr>
        <w:ind w:left="6186" w:hanging="1080"/>
      </w:pPr>
      <w:rPr>
        <w:rFonts w:hint="default"/>
      </w:rPr>
    </w:lvl>
    <w:lvl w:ilvl="7">
      <w:start w:val="1"/>
      <w:numFmt w:val="decimal"/>
      <w:lvlText w:val="%1.%2.%3.%4.%5.%6.%7.%8"/>
      <w:lvlJc w:val="left"/>
      <w:pPr>
        <w:ind w:left="7037" w:hanging="1080"/>
      </w:pPr>
      <w:rPr>
        <w:rFonts w:hint="default"/>
      </w:rPr>
    </w:lvl>
    <w:lvl w:ilvl="8">
      <w:start w:val="1"/>
      <w:numFmt w:val="decimal"/>
      <w:lvlText w:val="%1.%2.%3.%4.%5.%6.%7.%8.%9"/>
      <w:lvlJc w:val="left"/>
      <w:pPr>
        <w:ind w:left="8248" w:hanging="1440"/>
      </w:pPr>
      <w:rPr>
        <w:rFonts w:hint="default"/>
      </w:rPr>
    </w:lvl>
  </w:abstractNum>
  <w:abstractNum w:abstractNumId="96" w15:restartNumberingAfterBreak="0">
    <w:nsid w:val="6C9D1BDE"/>
    <w:multiLevelType w:val="hybridMultilevel"/>
    <w:tmpl w:val="9C64597E"/>
    <w:lvl w:ilvl="0" w:tplc="04050017">
      <w:start w:val="1"/>
      <w:numFmt w:val="lowerLetter"/>
      <w:lvlText w:val="%1)"/>
      <w:lvlJc w:val="left"/>
      <w:pPr>
        <w:ind w:left="2988" w:hanging="360"/>
      </w:pPr>
    </w:lvl>
    <w:lvl w:ilvl="1" w:tplc="04050019" w:tentative="1">
      <w:start w:val="1"/>
      <w:numFmt w:val="lowerLetter"/>
      <w:lvlText w:val="%2."/>
      <w:lvlJc w:val="left"/>
      <w:pPr>
        <w:ind w:left="3708" w:hanging="360"/>
      </w:pPr>
    </w:lvl>
    <w:lvl w:ilvl="2" w:tplc="0405001B" w:tentative="1">
      <w:start w:val="1"/>
      <w:numFmt w:val="lowerRoman"/>
      <w:lvlText w:val="%3."/>
      <w:lvlJc w:val="right"/>
      <w:pPr>
        <w:ind w:left="4428" w:hanging="180"/>
      </w:pPr>
    </w:lvl>
    <w:lvl w:ilvl="3" w:tplc="0405000F" w:tentative="1">
      <w:start w:val="1"/>
      <w:numFmt w:val="decimal"/>
      <w:lvlText w:val="%4."/>
      <w:lvlJc w:val="left"/>
      <w:pPr>
        <w:ind w:left="5148" w:hanging="360"/>
      </w:pPr>
    </w:lvl>
    <w:lvl w:ilvl="4" w:tplc="04050019" w:tentative="1">
      <w:start w:val="1"/>
      <w:numFmt w:val="lowerLetter"/>
      <w:lvlText w:val="%5."/>
      <w:lvlJc w:val="left"/>
      <w:pPr>
        <w:ind w:left="5868" w:hanging="360"/>
      </w:pPr>
    </w:lvl>
    <w:lvl w:ilvl="5" w:tplc="0405001B" w:tentative="1">
      <w:start w:val="1"/>
      <w:numFmt w:val="lowerRoman"/>
      <w:lvlText w:val="%6."/>
      <w:lvlJc w:val="right"/>
      <w:pPr>
        <w:ind w:left="6588" w:hanging="180"/>
      </w:pPr>
    </w:lvl>
    <w:lvl w:ilvl="6" w:tplc="0405000F" w:tentative="1">
      <w:start w:val="1"/>
      <w:numFmt w:val="decimal"/>
      <w:lvlText w:val="%7."/>
      <w:lvlJc w:val="left"/>
      <w:pPr>
        <w:ind w:left="7308" w:hanging="360"/>
      </w:pPr>
    </w:lvl>
    <w:lvl w:ilvl="7" w:tplc="04050019" w:tentative="1">
      <w:start w:val="1"/>
      <w:numFmt w:val="lowerLetter"/>
      <w:lvlText w:val="%8."/>
      <w:lvlJc w:val="left"/>
      <w:pPr>
        <w:ind w:left="8028" w:hanging="360"/>
      </w:pPr>
    </w:lvl>
    <w:lvl w:ilvl="8" w:tplc="0405001B" w:tentative="1">
      <w:start w:val="1"/>
      <w:numFmt w:val="lowerRoman"/>
      <w:lvlText w:val="%9."/>
      <w:lvlJc w:val="right"/>
      <w:pPr>
        <w:ind w:left="8748" w:hanging="180"/>
      </w:pPr>
    </w:lvl>
  </w:abstractNum>
  <w:abstractNum w:abstractNumId="97" w15:restartNumberingAfterBreak="0">
    <w:nsid w:val="6CD74B8A"/>
    <w:multiLevelType w:val="hybridMultilevel"/>
    <w:tmpl w:val="396AE520"/>
    <w:lvl w:ilvl="0" w:tplc="AF0E2AB0">
      <w:start w:val="1"/>
      <w:numFmt w:val="bullet"/>
      <w:pStyle w:val="tabulkaodrky"/>
      <w:lvlText w:val=""/>
      <w:lvlJc w:val="left"/>
      <w:pPr>
        <w:tabs>
          <w:tab w:val="num" w:pos="1395"/>
        </w:tabs>
        <w:ind w:left="1395" w:hanging="360"/>
      </w:pPr>
      <w:rPr>
        <w:rFonts w:ascii="Symbol" w:hAnsi="Symbol" w:hint="default"/>
      </w:rPr>
    </w:lvl>
    <w:lvl w:ilvl="1" w:tplc="04050003" w:tentative="1">
      <w:start w:val="1"/>
      <w:numFmt w:val="bullet"/>
      <w:lvlText w:val="o"/>
      <w:lvlJc w:val="left"/>
      <w:pPr>
        <w:tabs>
          <w:tab w:val="num" w:pos="2115"/>
        </w:tabs>
        <w:ind w:left="2115" w:hanging="360"/>
      </w:pPr>
      <w:rPr>
        <w:rFonts w:ascii="Courier New" w:hAnsi="Courier New" w:cs="Courier New" w:hint="default"/>
      </w:rPr>
    </w:lvl>
    <w:lvl w:ilvl="2" w:tplc="04050005" w:tentative="1">
      <w:start w:val="1"/>
      <w:numFmt w:val="bullet"/>
      <w:lvlText w:val=""/>
      <w:lvlJc w:val="left"/>
      <w:pPr>
        <w:tabs>
          <w:tab w:val="num" w:pos="2835"/>
        </w:tabs>
        <w:ind w:left="2835" w:hanging="360"/>
      </w:pPr>
      <w:rPr>
        <w:rFonts w:ascii="Wingdings" w:hAnsi="Wingdings" w:hint="default"/>
      </w:rPr>
    </w:lvl>
    <w:lvl w:ilvl="3" w:tplc="04050001" w:tentative="1">
      <w:start w:val="1"/>
      <w:numFmt w:val="bullet"/>
      <w:lvlText w:val=""/>
      <w:lvlJc w:val="left"/>
      <w:pPr>
        <w:tabs>
          <w:tab w:val="num" w:pos="3555"/>
        </w:tabs>
        <w:ind w:left="3555" w:hanging="360"/>
      </w:pPr>
      <w:rPr>
        <w:rFonts w:ascii="Symbol" w:hAnsi="Symbol" w:hint="default"/>
      </w:rPr>
    </w:lvl>
    <w:lvl w:ilvl="4" w:tplc="04050003" w:tentative="1">
      <w:start w:val="1"/>
      <w:numFmt w:val="bullet"/>
      <w:lvlText w:val="o"/>
      <w:lvlJc w:val="left"/>
      <w:pPr>
        <w:tabs>
          <w:tab w:val="num" w:pos="4275"/>
        </w:tabs>
        <w:ind w:left="4275" w:hanging="360"/>
      </w:pPr>
      <w:rPr>
        <w:rFonts w:ascii="Courier New" w:hAnsi="Courier New" w:cs="Courier New" w:hint="default"/>
      </w:rPr>
    </w:lvl>
    <w:lvl w:ilvl="5" w:tplc="04050005" w:tentative="1">
      <w:start w:val="1"/>
      <w:numFmt w:val="bullet"/>
      <w:lvlText w:val=""/>
      <w:lvlJc w:val="left"/>
      <w:pPr>
        <w:tabs>
          <w:tab w:val="num" w:pos="4995"/>
        </w:tabs>
        <w:ind w:left="4995" w:hanging="360"/>
      </w:pPr>
      <w:rPr>
        <w:rFonts w:ascii="Wingdings" w:hAnsi="Wingdings" w:hint="default"/>
      </w:rPr>
    </w:lvl>
    <w:lvl w:ilvl="6" w:tplc="04050001" w:tentative="1">
      <w:start w:val="1"/>
      <w:numFmt w:val="bullet"/>
      <w:lvlText w:val=""/>
      <w:lvlJc w:val="left"/>
      <w:pPr>
        <w:tabs>
          <w:tab w:val="num" w:pos="5715"/>
        </w:tabs>
        <w:ind w:left="5715" w:hanging="360"/>
      </w:pPr>
      <w:rPr>
        <w:rFonts w:ascii="Symbol" w:hAnsi="Symbol" w:hint="default"/>
      </w:rPr>
    </w:lvl>
    <w:lvl w:ilvl="7" w:tplc="04050003" w:tentative="1">
      <w:start w:val="1"/>
      <w:numFmt w:val="bullet"/>
      <w:lvlText w:val="o"/>
      <w:lvlJc w:val="left"/>
      <w:pPr>
        <w:tabs>
          <w:tab w:val="num" w:pos="6435"/>
        </w:tabs>
        <w:ind w:left="6435" w:hanging="360"/>
      </w:pPr>
      <w:rPr>
        <w:rFonts w:ascii="Courier New" w:hAnsi="Courier New" w:cs="Courier New" w:hint="default"/>
      </w:rPr>
    </w:lvl>
    <w:lvl w:ilvl="8" w:tplc="04050005" w:tentative="1">
      <w:start w:val="1"/>
      <w:numFmt w:val="bullet"/>
      <w:lvlText w:val=""/>
      <w:lvlJc w:val="left"/>
      <w:pPr>
        <w:tabs>
          <w:tab w:val="num" w:pos="7155"/>
        </w:tabs>
        <w:ind w:left="7155" w:hanging="360"/>
      </w:pPr>
      <w:rPr>
        <w:rFonts w:ascii="Wingdings" w:hAnsi="Wingdings" w:hint="default"/>
      </w:rPr>
    </w:lvl>
  </w:abstractNum>
  <w:abstractNum w:abstractNumId="98" w15:restartNumberingAfterBreak="0">
    <w:nsid w:val="6E0918A9"/>
    <w:multiLevelType w:val="hybridMultilevel"/>
    <w:tmpl w:val="9F749692"/>
    <w:lvl w:ilvl="0" w:tplc="04050001">
      <w:start w:val="1"/>
      <w:numFmt w:val="bullet"/>
      <w:lvlText w:val=""/>
      <w:lvlJc w:val="left"/>
      <w:pPr>
        <w:ind w:left="1440" w:hanging="360"/>
      </w:pPr>
      <w:rPr>
        <w:rFonts w:ascii="Symbol" w:hAnsi="Symbol" w:hint="default"/>
      </w:rPr>
    </w:lvl>
    <w:lvl w:ilvl="1" w:tplc="04050003" w:tentative="1">
      <w:start w:val="1"/>
      <w:numFmt w:val="bullet"/>
      <w:lvlText w:val="o"/>
      <w:lvlJc w:val="left"/>
      <w:pPr>
        <w:ind w:left="2160" w:hanging="360"/>
      </w:pPr>
      <w:rPr>
        <w:rFonts w:ascii="Courier New" w:hAnsi="Courier New" w:cs="Courier New" w:hint="default"/>
      </w:rPr>
    </w:lvl>
    <w:lvl w:ilvl="2" w:tplc="04050005" w:tentative="1">
      <w:start w:val="1"/>
      <w:numFmt w:val="bullet"/>
      <w:lvlText w:val=""/>
      <w:lvlJc w:val="left"/>
      <w:pPr>
        <w:ind w:left="2880" w:hanging="360"/>
      </w:pPr>
      <w:rPr>
        <w:rFonts w:ascii="Wingdings" w:hAnsi="Wingdings" w:hint="default"/>
      </w:rPr>
    </w:lvl>
    <w:lvl w:ilvl="3" w:tplc="04050001" w:tentative="1">
      <w:start w:val="1"/>
      <w:numFmt w:val="bullet"/>
      <w:lvlText w:val=""/>
      <w:lvlJc w:val="left"/>
      <w:pPr>
        <w:ind w:left="3600" w:hanging="360"/>
      </w:pPr>
      <w:rPr>
        <w:rFonts w:ascii="Symbol" w:hAnsi="Symbol" w:hint="default"/>
      </w:rPr>
    </w:lvl>
    <w:lvl w:ilvl="4" w:tplc="04050003" w:tentative="1">
      <w:start w:val="1"/>
      <w:numFmt w:val="bullet"/>
      <w:lvlText w:val="o"/>
      <w:lvlJc w:val="left"/>
      <w:pPr>
        <w:ind w:left="4320" w:hanging="360"/>
      </w:pPr>
      <w:rPr>
        <w:rFonts w:ascii="Courier New" w:hAnsi="Courier New" w:cs="Courier New" w:hint="default"/>
      </w:rPr>
    </w:lvl>
    <w:lvl w:ilvl="5" w:tplc="04050005" w:tentative="1">
      <w:start w:val="1"/>
      <w:numFmt w:val="bullet"/>
      <w:lvlText w:val=""/>
      <w:lvlJc w:val="left"/>
      <w:pPr>
        <w:ind w:left="5040" w:hanging="360"/>
      </w:pPr>
      <w:rPr>
        <w:rFonts w:ascii="Wingdings" w:hAnsi="Wingdings" w:hint="default"/>
      </w:rPr>
    </w:lvl>
    <w:lvl w:ilvl="6" w:tplc="04050001" w:tentative="1">
      <w:start w:val="1"/>
      <w:numFmt w:val="bullet"/>
      <w:lvlText w:val=""/>
      <w:lvlJc w:val="left"/>
      <w:pPr>
        <w:ind w:left="5760" w:hanging="360"/>
      </w:pPr>
      <w:rPr>
        <w:rFonts w:ascii="Symbol" w:hAnsi="Symbol" w:hint="default"/>
      </w:rPr>
    </w:lvl>
    <w:lvl w:ilvl="7" w:tplc="04050003" w:tentative="1">
      <w:start w:val="1"/>
      <w:numFmt w:val="bullet"/>
      <w:lvlText w:val="o"/>
      <w:lvlJc w:val="left"/>
      <w:pPr>
        <w:ind w:left="6480" w:hanging="360"/>
      </w:pPr>
      <w:rPr>
        <w:rFonts w:ascii="Courier New" w:hAnsi="Courier New" w:cs="Courier New" w:hint="default"/>
      </w:rPr>
    </w:lvl>
    <w:lvl w:ilvl="8" w:tplc="04050005" w:tentative="1">
      <w:start w:val="1"/>
      <w:numFmt w:val="bullet"/>
      <w:lvlText w:val=""/>
      <w:lvlJc w:val="left"/>
      <w:pPr>
        <w:ind w:left="7200" w:hanging="360"/>
      </w:pPr>
      <w:rPr>
        <w:rFonts w:ascii="Wingdings" w:hAnsi="Wingdings" w:hint="default"/>
      </w:rPr>
    </w:lvl>
  </w:abstractNum>
  <w:abstractNum w:abstractNumId="99" w15:restartNumberingAfterBreak="0">
    <w:nsid w:val="6EBD0DB8"/>
    <w:multiLevelType w:val="hybridMultilevel"/>
    <w:tmpl w:val="EF02BB8E"/>
    <w:lvl w:ilvl="0" w:tplc="04050001">
      <w:start w:val="1"/>
      <w:numFmt w:val="bullet"/>
      <w:pStyle w:val="textsodrkou"/>
      <w:lvlText w:val=""/>
      <w:lvlJc w:val="left"/>
      <w:pPr>
        <w:tabs>
          <w:tab w:val="num" w:pos="0"/>
        </w:tabs>
        <w:ind w:left="284" w:hanging="568"/>
      </w:pPr>
      <w:rPr>
        <w:rFonts w:ascii="Symbol" w:hAnsi="Symbol" w:hint="default"/>
      </w:rPr>
    </w:lvl>
    <w:lvl w:ilvl="1" w:tplc="04050003" w:tentative="1">
      <w:start w:val="1"/>
      <w:numFmt w:val="bullet"/>
      <w:lvlText w:val="o"/>
      <w:lvlJc w:val="left"/>
      <w:pPr>
        <w:tabs>
          <w:tab w:val="num" w:pos="1440"/>
        </w:tabs>
        <w:ind w:left="1440" w:hanging="360"/>
      </w:pPr>
      <w:rPr>
        <w:rFonts w:ascii="Courier New" w:hAnsi="Courier New" w:cs="Courier New" w:hint="default"/>
      </w:rPr>
    </w:lvl>
    <w:lvl w:ilvl="2" w:tplc="04050005" w:tentative="1">
      <w:start w:val="1"/>
      <w:numFmt w:val="bullet"/>
      <w:lvlText w:val=""/>
      <w:lvlJc w:val="left"/>
      <w:pPr>
        <w:tabs>
          <w:tab w:val="num" w:pos="2160"/>
        </w:tabs>
        <w:ind w:left="2160" w:hanging="360"/>
      </w:pPr>
      <w:rPr>
        <w:rFonts w:ascii="Wingdings" w:hAnsi="Wingdings" w:hint="default"/>
      </w:rPr>
    </w:lvl>
    <w:lvl w:ilvl="3" w:tplc="04050001" w:tentative="1">
      <w:start w:val="1"/>
      <w:numFmt w:val="bullet"/>
      <w:lvlText w:val=""/>
      <w:lvlJc w:val="left"/>
      <w:pPr>
        <w:tabs>
          <w:tab w:val="num" w:pos="2880"/>
        </w:tabs>
        <w:ind w:left="2880" w:hanging="360"/>
      </w:pPr>
      <w:rPr>
        <w:rFonts w:ascii="Symbol" w:hAnsi="Symbol" w:hint="default"/>
      </w:rPr>
    </w:lvl>
    <w:lvl w:ilvl="4" w:tplc="04050003" w:tentative="1">
      <w:start w:val="1"/>
      <w:numFmt w:val="bullet"/>
      <w:lvlText w:val="o"/>
      <w:lvlJc w:val="left"/>
      <w:pPr>
        <w:tabs>
          <w:tab w:val="num" w:pos="3600"/>
        </w:tabs>
        <w:ind w:left="3600" w:hanging="360"/>
      </w:pPr>
      <w:rPr>
        <w:rFonts w:ascii="Courier New" w:hAnsi="Courier New" w:cs="Courier New" w:hint="default"/>
      </w:rPr>
    </w:lvl>
    <w:lvl w:ilvl="5" w:tplc="04050005" w:tentative="1">
      <w:start w:val="1"/>
      <w:numFmt w:val="bullet"/>
      <w:lvlText w:val=""/>
      <w:lvlJc w:val="left"/>
      <w:pPr>
        <w:tabs>
          <w:tab w:val="num" w:pos="4320"/>
        </w:tabs>
        <w:ind w:left="4320" w:hanging="360"/>
      </w:pPr>
      <w:rPr>
        <w:rFonts w:ascii="Wingdings" w:hAnsi="Wingdings" w:hint="default"/>
      </w:rPr>
    </w:lvl>
    <w:lvl w:ilvl="6" w:tplc="04050001" w:tentative="1">
      <w:start w:val="1"/>
      <w:numFmt w:val="bullet"/>
      <w:lvlText w:val=""/>
      <w:lvlJc w:val="left"/>
      <w:pPr>
        <w:tabs>
          <w:tab w:val="num" w:pos="5040"/>
        </w:tabs>
        <w:ind w:left="5040" w:hanging="360"/>
      </w:pPr>
      <w:rPr>
        <w:rFonts w:ascii="Symbol" w:hAnsi="Symbol" w:hint="default"/>
      </w:rPr>
    </w:lvl>
    <w:lvl w:ilvl="7" w:tplc="04050003" w:tentative="1">
      <w:start w:val="1"/>
      <w:numFmt w:val="bullet"/>
      <w:lvlText w:val="o"/>
      <w:lvlJc w:val="left"/>
      <w:pPr>
        <w:tabs>
          <w:tab w:val="num" w:pos="5760"/>
        </w:tabs>
        <w:ind w:left="5760" w:hanging="360"/>
      </w:pPr>
      <w:rPr>
        <w:rFonts w:ascii="Courier New" w:hAnsi="Courier New" w:cs="Courier New" w:hint="default"/>
      </w:rPr>
    </w:lvl>
    <w:lvl w:ilvl="8" w:tplc="04050005" w:tentative="1">
      <w:start w:val="1"/>
      <w:numFmt w:val="bullet"/>
      <w:lvlText w:val=""/>
      <w:lvlJc w:val="left"/>
      <w:pPr>
        <w:tabs>
          <w:tab w:val="num" w:pos="6480"/>
        </w:tabs>
        <w:ind w:left="6480" w:hanging="360"/>
      </w:pPr>
      <w:rPr>
        <w:rFonts w:ascii="Wingdings" w:hAnsi="Wingdings" w:hint="default"/>
      </w:rPr>
    </w:lvl>
  </w:abstractNum>
  <w:abstractNum w:abstractNumId="100" w15:restartNumberingAfterBreak="0">
    <w:nsid w:val="72B14D71"/>
    <w:multiLevelType w:val="hybridMultilevel"/>
    <w:tmpl w:val="65781AB2"/>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01" w15:restartNumberingAfterBreak="0">
    <w:nsid w:val="74790AC9"/>
    <w:multiLevelType w:val="hybridMultilevel"/>
    <w:tmpl w:val="E11CAF1E"/>
    <w:lvl w:ilvl="0" w:tplc="C4A22E78">
      <w:start w:val="1"/>
      <w:numFmt w:val="decimal"/>
      <w:lvlText w:val=".%1"/>
      <w:lvlJc w:val="left"/>
      <w:pPr>
        <w:ind w:left="1440" w:hanging="360"/>
      </w:pPr>
      <w:rPr>
        <w:rFonts w:hint="default"/>
      </w:rPr>
    </w:lvl>
    <w:lvl w:ilvl="1" w:tplc="04050019" w:tentative="1">
      <w:start w:val="1"/>
      <w:numFmt w:val="lowerLetter"/>
      <w:lvlText w:val="%2."/>
      <w:lvlJc w:val="left"/>
      <w:pPr>
        <w:ind w:left="2160" w:hanging="360"/>
      </w:pPr>
    </w:lvl>
    <w:lvl w:ilvl="2" w:tplc="0405001B" w:tentative="1">
      <w:start w:val="1"/>
      <w:numFmt w:val="lowerRoman"/>
      <w:lvlText w:val="%3."/>
      <w:lvlJc w:val="right"/>
      <w:pPr>
        <w:ind w:left="2880" w:hanging="180"/>
      </w:pPr>
    </w:lvl>
    <w:lvl w:ilvl="3" w:tplc="0405000F" w:tentative="1">
      <w:start w:val="1"/>
      <w:numFmt w:val="decimal"/>
      <w:lvlText w:val="%4."/>
      <w:lvlJc w:val="left"/>
      <w:pPr>
        <w:ind w:left="3600" w:hanging="360"/>
      </w:pPr>
    </w:lvl>
    <w:lvl w:ilvl="4" w:tplc="04050019" w:tentative="1">
      <w:start w:val="1"/>
      <w:numFmt w:val="lowerLetter"/>
      <w:lvlText w:val="%5."/>
      <w:lvlJc w:val="left"/>
      <w:pPr>
        <w:ind w:left="4320" w:hanging="360"/>
      </w:pPr>
    </w:lvl>
    <w:lvl w:ilvl="5" w:tplc="0405001B" w:tentative="1">
      <w:start w:val="1"/>
      <w:numFmt w:val="lowerRoman"/>
      <w:lvlText w:val="%6."/>
      <w:lvlJc w:val="right"/>
      <w:pPr>
        <w:ind w:left="5040" w:hanging="180"/>
      </w:pPr>
    </w:lvl>
    <w:lvl w:ilvl="6" w:tplc="0405000F" w:tentative="1">
      <w:start w:val="1"/>
      <w:numFmt w:val="decimal"/>
      <w:lvlText w:val="%7."/>
      <w:lvlJc w:val="left"/>
      <w:pPr>
        <w:ind w:left="5760" w:hanging="360"/>
      </w:pPr>
    </w:lvl>
    <w:lvl w:ilvl="7" w:tplc="04050019" w:tentative="1">
      <w:start w:val="1"/>
      <w:numFmt w:val="lowerLetter"/>
      <w:lvlText w:val="%8."/>
      <w:lvlJc w:val="left"/>
      <w:pPr>
        <w:ind w:left="6480" w:hanging="360"/>
      </w:pPr>
    </w:lvl>
    <w:lvl w:ilvl="8" w:tplc="0405001B" w:tentative="1">
      <w:start w:val="1"/>
      <w:numFmt w:val="lowerRoman"/>
      <w:lvlText w:val="%9."/>
      <w:lvlJc w:val="right"/>
      <w:pPr>
        <w:ind w:left="7200" w:hanging="180"/>
      </w:pPr>
    </w:lvl>
  </w:abstractNum>
  <w:abstractNum w:abstractNumId="102" w15:restartNumberingAfterBreak="0">
    <w:nsid w:val="75367183"/>
    <w:multiLevelType w:val="hybridMultilevel"/>
    <w:tmpl w:val="7092FFE6"/>
    <w:lvl w:ilvl="0" w:tplc="FFFFFFFF">
      <w:start w:val="1"/>
      <w:numFmt w:val="decimal"/>
      <w:lvlText w:val=".%1"/>
      <w:lvlJc w:val="left"/>
      <w:pPr>
        <w:ind w:left="1429" w:hanging="360"/>
      </w:pPr>
      <w:rPr>
        <w:rFonts w:hint="default"/>
      </w:rPr>
    </w:lvl>
    <w:lvl w:ilvl="1" w:tplc="FFFFFFFF" w:tentative="1">
      <w:start w:val="1"/>
      <w:numFmt w:val="lowerLetter"/>
      <w:lvlText w:val="%2."/>
      <w:lvlJc w:val="left"/>
      <w:pPr>
        <w:ind w:left="2149" w:hanging="360"/>
      </w:pPr>
    </w:lvl>
    <w:lvl w:ilvl="2" w:tplc="FFFFFFFF" w:tentative="1">
      <w:start w:val="1"/>
      <w:numFmt w:val="lowerRoman"/>
      <w:lvlText w:val="%3."/>
      <w:lvlJc w:val="right"/>
      <w:pPr>
        <w:ind w:left="2869" w:hanging="180"/>
      </w:pPr>
    </w:lvl>
    <w:lvl w:ilvl="3" w:tplc="FFFFFFFF" w:tentative="1">
      <w:start w:val="1"/>
      <w:numFmt w:val="decimal"/>
      <w:lvlText w:val="%4."/>
      <w:lvlJc w:val="left"/>
      <w:pPr>
        <w:ind w:left="3589" w:hanging="360"/>
      </w:pPr>
    </w:lvl>
    <w:lvl w:ilvl="4" w:tplc="FFFFFFFF" w:tentative="1">
      <w:start w:val="1"/>
      <w:numFmt w:val="lowerLetter"/>
      <w:lvlText w:val="%5."/>
      <w:lvlJc w:val="left"/>
      <w:pPr>
        <w:ind w:left="4309" w:hanging="360"/>
      </w:pPr>
    </w:lvl>
    <w:lvl w:ilvl="5" w:tplc="FFFFFFFF" w:tentative="1">
      <w:start w:val="1"/>
      <w:numFmt w:val="lowerRoman"/>
      <w:lvlText w:val="%6."/>
      <w:lvlJc w:val="right"/>
      <w:pPr>
        <w:ind w:left="5029" w:hanging="180"/>
      </w:pPr>
    </w:lvl>
    <w:lvl w:ilvl="6" w:tplc="FFFFFFFF" w:tentative="1">
      <w:start w:val="1"/>
      <w:numFmt w:val="decimal"/>
      <w:lvlText w:val="%7."/>
      <w:lvlJc w:val="left"/>
      <w:pPr>
        <w:ind w:left="5749" w:hanging="360"/>
      </w:pPr>
    </w:lvl>
    <w:lvl w:ilvl="7" w:tplc="FFFFFFFF" w:tentative="1">
      <w:start w:val="1"/>
      <w:numFmt w:val="lowerLetter"/>
      <w:lvlText w:val="%8."/>
      <w:lvlJc w:val="left"/>
      <w:pPr>
        <w:ind w:left="6469" w:hanging="360"/>
      </w:pPr>
    </w:lvl>
    <w:lvl w:ilvl="8" w:tplc="FFFFFFFF" w:tentative="1">
      <w:start w:val="1"/>
      <w:numFmt w:val="lowerRoman"/>
      <w:lvlText w:val="%9."/>
      <w:lvlJc w:val="right"/>
      <w:pPr>
        <w:ind w:left="7189" w:hanging="180"/>
      </w:pPr>
    </w:lvl>
  </w:abstractNum>
  <w:abstractNum w:abstractNumId="103" w15:restartNumberingAfterBreak="0">
    <w:nsid w:val="758666C9"/>
    <w:multiLevelType w:val="hybridMultilevel"/>
    <w:tmpl w:val="DFE03D42"/>
    <w:lvl w:ilvl="0" w:tplc="9724ACD8">
      <w:start w:val="3"/>
      <w:numFmt w:val="lowerLetter"/>
      <w:lvlText w:val="%1)"/>
      <w:lvlJc w:val="left"/>
      <w:pPr>
        <w:ind w:left="2988"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04" w15:restartNumberingAfterBreak="0">
    <w:nsid w:val="76155D30"/>
    <w:multiLevelType w:val="hybridMultilevel"/>
    <w:tmpl w:val="40CC1D9C"/>
    <w:lvl w:ilvl="0" w:tplc="FFFFFFFF">
      <w:start w:val="1"/>
      <w:numFmt w:val="decimal"/>
      <w:lvlText w:val=".%1"/>
      <w:lvlJc w:val="left"/>
      <w:pPr>
        <w:ind w:left="1429" w:hanging="360"/>
      </w:pPr>
      <w:rPr>
        <w:rFonts w:hint="default"/>
      </w:rPr>
    </w:lvl>
    <w:lvl w:ilvl="1" w:tplc="FFFFFFFF" w:tentative="1">
      <w:start w:val="1"/>
      <w:numFmt w:val="lowerLetter"/>
      <w:lvlText w:val="%2."/>
      <w:lvlJc w:val="left"/>
      <w:pPr>
        <w:ind w:left="2149" w:hanging="360"/>
      </w:pPr>
    </w:lvl>
    <w:lvl w:ilvl="2" w:tplc="FFFFFFFF" w:tentative="1">
      <w:start w:val="1"/>
      <w:numFmt w:val="lowerRoman"/>
      <w:lvlText w:val="%3."/>
      <w:lvlJc w:val="right"/>
      <w:pPr>
        <w:ind w:left="2869" w:hanging="180"/>
      </w:pPr>
    </w:lvl>
    <w:lvl w:ilvl="3" w:tplc="FFFFFFFF" w:tentative="1">
      <w:start w:val="1"/>
      <w:numFmt w:val="decimal"/>
      <w:lvlText w:val="%4."/>
      <w:lvlJc w:val="left"/>
      <w:pPr>
        <w:ind w:left="3589" w:hanging="360"/>
      </w:pPr>
    </w:lvl>
    <w:lvl w:ilvl="4" w:tplc="FFFFFFFF" w:tentative="1">
      <w:start w:val="1"/>
      <w:numFmt w:val="lowerLetter"/>
      <w:lvlText w:val="%5."/>
      <w:lvlJc w:val="left"/>
      <w:pPr>
        <w:ind w:left="4309" w:hanging="360"/>
      </w:pPr>
    </w:lvl>
    <w:lvl w:ilvl="5" w:tplc="FFFFFFFF" w:tentative="1">
      <w:start w:val="1"/>
      <w:numFmt w:val="lowerRoman"/>
      <w:lvlText w:val="%6."/>
      <w:lvlJc w:val="right"/>
      <w:pPr>
        <w:ind w:left="5029" w:hanging="180"/>
      </w:pPr>
    </w:lvl>
    <w:lvl w:ilvl="6" w:tplc="FFFFFFFF" w:tentative="1">
      <w:start w:val="1"/>
      <w:numFmt w:val="decimal"/>
      <w:lvlText w:val="%7."/>
      <w:lvlJc w:val="left"/>
      <w:pPr>
        <w:ind w:left="5749" w:hanging="360"/>
      </w:pPr>
    </w:lvl>
    <w:lvl w:ilvl="7" w:tplc="FFFFFFFF" w:tentative="1">
      <w:start w:val="1"/>
      <w:numFmt w:val="lowerLetter"/>
      <w:lvlText w:val="%8."/>
      <w:lvlJc w:val="left"/>
      <w:pPr>
        <w:ind w:left="6469" w:hanging="360"/>
      </w:pPr>
    </w:lvl>
    <w:lvl w:ilvl="8" w:tplc="FFFFFFFF" w:tentative="1">
      <w:start w:val="1"/>
      <w:numFmt w:val="lowerRoman"/>
      <w:lvlText w:val="%9."/>
      <w:lvlJc w:val="right"/>
      <w:pPr>
        <w:ind w:left="7189" w:hanging="180"/>
      </w:pPr>
    </w:lvl>
  </w:abstractNum>
  <w:abstractNum w:abstractNumId="105" w15:restartNumberingAfterBreak="0">
    <w:nsid w:val="769C1F5B"/>
    <w:multiLevelType w:val="hybridMultilevel"/>
    <w:tmpl w:val="40CC1D9C"/>
    <w:lvl w:ilvl="0" w:tplc="FFFFFFFF">
      <w:start w:val="1"/>
      <w:numFmt w:val="decimal"/>
      <w:lvlText w:val=".%1"/>
      <w:lvlJc w:val="left"/>
      <w:pPr>
        <w:ind w:left="1429" w:hanging="360"/>
      </w:pPr>
      <w:rPr>
        <w:rFonts w:hint="default"/>
      </w:rPr>
    </w:lvl>
    <w:lvl w:ilvl="1" w:tplc="FFFFFFFF" w:tentative="1">
      <w:start w:val="1"/>
      <w:numFmt w:val="lowerLetter"/>
      <w:lvlText w:val="%2."/>
      <w:lvlJc w:val="left"/>
      <w:pPr>
        <w:ind w:left="2149" w:hanging="360"/>
      </w:pPr>
    </w:lvl>
    <w:lvl w:ilvl="2" w:tplc="FFFFFFFF" w:tentative="1">
      <w:start w:val="1"/>
      <w:numFmt w:val="lowerRoman"/>
      <w:lvlText w:val="%3."/>
      <w:lvlJc w:val="right"/>
      <w:pPr>
        <w:ind w:left="2869" w:hanging="180"/>
      </w:pPr>
    </w:lvl>
    <w:lvl w:ilvl="3" w:tplc="FFFFFFFF" w:tentative="1">
      <w:start w:val="1"/>
      <w:numFmt w:val="decimal"/>
      <w:lvlText w:val="%4."/>
      <w:lvlJc w:val="left"/>
      <w:pPr>
        <w:ind w:left="3589" w:hanging="360"/>
      </w:pPr>
    </w:lvl>
    <w:lvl w:ilvl="4" w:tplc="FFFFFFFF" w:tentative="1">
      <w:start w:val="1"/>
      <w:numFmt w:val="lowerLetter"/>
      <w:lvlText w:val="%5."/>
      <w:lvlJc w:val="left"/>
      <w:pPr>
        <w:ind w:left="4309" w:hanging="360"/>
      </w:pPr>
    </w:lvl>
    <w:lvl w:ilvl="5" w:tplc="FFFFFFFF" w:tentative="1">
      <w:start w:val="1"/>
      <w:numFmt w:val="lowerRoman"/>
      <w:lvlText w:val="%6."/>
      <w:lvlJc w:val="right"/>
      <w:pPr>
        <w:ind w:left="5029" w:hanging="180"/>
      </w:pPr>
    </w:lvl>
    <w:lvl w:ilvl="6" w:tplc="FFFFFFFF" w:tentative="1">
      <w:start w:val="1"/>
      <w:numFmt w:val="decimal"/>
      <w:lvlText w:val="%7."/>
      <w:lvlJc w:val="left"/>
      <w:pPr>
        <w:ind w:left="5749" w:hanging="360"/>
      </w:pPr>
    </w:lvl>
    <w:lvl w:ilvl="7" w:tplc="FFFFFFFF" w:tentative="1">
      <w:start w:val="1"/>
      <w:numFmt w:val="lowerLetter"/>
      <w:lvlText w:val="%8."/>
      <w:lvlJc w:val="left"/>
      <w:pPr>
        <w:ind w:left="6469" w:hanging="360"/>
      </w:pPr>
    </w:lvl>
    <w:lvl w:ilvl="8" w:tplc="FFFFFFFF" w:tentative="1">
      <w:start w:val="1"/>
      <w:numFmt w:val="lowerRoman"/>
      <w:lvlText w:val="%9."/>
      <w:lvlJc w:val="right"/>
      <w:pPr>
        <w:ind w:left="7189" w:hanging="180"/>
      </w:pPr>
    </w:lvl>
  </w:abstractNum>
  <w:abstractNum w:abstractNumId="106" w15:restartNumberingAfterBreak="0">
    <w:nsid w:val="76C36AED"/>
    <w:multiLevelType w:val="hybridMultilevel"/>
    <w:tmpl w:val="4EF441F4"/>
    <w:lvl w:ilvl="0" w:tplc="838043D4">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07" w15:restartNumberingAfterBreak="0">
    <w:nsid w:val="77195826"/>
    <w:multiLevelType w:val="hybridMultilevel"/>
    <w:tmpl w:val="01A0C0E6"/>
    <w:lvl w:ilvl="0" w:tplc="04050001">
      <w:start w:val="1"/>
      <w:numFmt w:val="bullet"/>
      <w:lvlText w:val=""/>
      <w:lvlJc w:val="left"/>
      <w:pPr>
        <w:ind w:left="1429" w:hanging="360"/>
      </w:pPr>
      <w:rPr>
        <w:rFonts w:ascii="Symbol" w:hAnsi="Symbol" w:hint="default"/>
      </w:rPr>
    </w:lvl>
    <w:lvl w:ilvl="1" w:tplc="04050003">
      <w:start w:val="1"/>
      <w:numFmt w:val="bullet"/>
      <w:lvlText w:val="o"/>
      <w:lvlJc w:val="left"/>
      <w:pPr>
        <w:ind w:left="2149" w:hanging="360"/>
      </w:pPr>
      <w:rPr>
        <w:rFonts w:ascii="Courier New" w:hAnsi="Courier New" w:cs="Courier New" w:hint="default"/>
      </w:rPr>
    </w:lvl>
    <w:lvl w:ilvl="2" w:tplc="04050005" w:tentative="1">
      <w:start w:val="1"/>
      <w:numFmt w:val="bullet"/>
      <w:lvlText w:val=""/>
      <w:lvlJc w:val="left"/>
      <w:pPr>
        <w:ind w:left="2869" w:hanging="360"/>
      </w:pPr>
      <w:rPr>
        <w:rFonts w:ascii="Wingdings" w:hAnsi="Wingdings" w:hint="default"/>
      </w:rPr>
    </w:lvl>
    <w:lvl w:ilvl="3" w:tplc="04050001" w:tentative="1">
      <w:start w:val="1"/>
      <w:numFmt w:val="bullet"/>
      <w:lvlText w:val=""/>
      <w:lvlJc w:val="left"/>
      <w:pPr>
        <w:ind w:left="3589" w:hanging="360"/>
      </w:pPr>
      <w:rPr>
        <w:rFonts w:ascii="Symbol" w:hAnsi="Symbol" w:hint="default"/>
      </w:rPr>
    </w:lvl>
    <w:lvl w:ilvl="4" w:tplc="04050003" w:tentative="1">
      <w:start w:val="1"/>
      <w:numFmt w:val="bullet"/>
      <w:lvlText w:val="o"/>
      <w:lvlJc w:val="left"/>
      <w:pPr>
        <w:ind w:left="4309" w:hanging="360"/>
      </w:pPr>
      <w:rPr>
        <w:rFonts w:ascii="Courier New" w:hAnsi="Courier New" w:cs="Courier New" w:hint="default"/>
      </w:rPr>
    </w:lvl>
    <w:lvl w:ilvl="5" w:tplc="04050005" w:tentative="1">
      <w:start w:val="1"/>
      <w:numFmt w:val="bullet"/>
      <w:lvlText w:val=""/>
      <w:lvlJc w:val="left"/>
      <w:pPr>
        <w:ind w:left="5029" w:hanging="360"/>
      </w:pPr>
      <w:rPr>
        <w:rFonts w:ascii="Wingdings" w:hAnsi="Wingdings" w:hint="default"/>
      </w:rPr>
    </w:lvl>
    <w:lvl w:ilvl="6" w:tplc="04050001" w:tentative="1">
      <w:start w:val="1"/>
      <w:numFmt w:val="bullet"/>
      <w:lvlText w:val=""/>
      <w:lvlJc w:val="left"/>
      <w:pPr>
        <w:ind w:left="5749" w:hanging="360"/>
      </w:pPr>
      <w:rPr>
        <w:rFonts w:ascii="Symbol" w:hAnsi="Symbol" w:hint="default"/>
      </w:rPr>
    </w:lvl>
    <w:lvl w:ilvl="7" w:tplc="04050003" w:tentative="1">
      <w:start w:val="1"/>
      <w:numFmt w:val="bullet"/>
      <w:lvlText w:val="o"/>
      <w:lvlJc w:val="left"/>
      <w:pPr>
        <w:ind w:left="6469" w:hanging="360"/>
      </w:pPr>
      <w:rPr>
        <w:rFonts w:ascii="Courier New" w:hAnsi="Courier New" w:cs="Courier New" w:hint="default"/>
      </w:rPr>
    </w:lvl>
    <w:lvl w:ilvl="8" w:tplc="04050005" w:tentative="1">
      <w:start w:val="1"/>
      <w:numFmt w:val="bullet"/>
      <w:lvlText w:val=""/>
      <w:lvlJc w:val="left"/>
      <w:pPr>
        <w:ind w:left="7189" w:hanging="360"/>
      </w:pPr>
      <w:rPr>
        <w:rFonts w:ascii="Wingdings" w:hAnsi="Wingdings" w:hint="default"/>
      </w:rPr>
    </w:lvl>
  </w:abstractNum>
  <w:abstractNum w:abstractNumId="108" w15:restartNumberingAfterBreak="0">
    <w:nsid w:val="78E54DF6"/>
    <w:multiLevelType w:val="hybridMultilevel"/>
    <w:tmpl w:val="239A20B6"/>
    <w:lvl w:ilvl="0" w:tplc="2D347F52">
      <w:start w:val="1"/>
      <w:numFmt w:val="decimal"/>
      <w:lvlText w:val=".%1"/>
      <w:lvlJc w:val="left"/>
      <w:pPr>
        <w:ind w:left="1429" w:hanging="360"/>
      </w:pPr>
      <w:rPr>
        <w:rFonts w:hint="default"/>
        <w:sz w:val="18"/>
        <w:szCs w:val="18"/>
      </w:rPr>
    </w:lvl>
    <w:lvl w:ilvl="1" w:tplc="04050019" w:tentative="1">
      <w:start w:val="1"/>
      <w:numFmt w:val="lowerLetter"/>
      <w:lvlText w:val="%2."/>
      <w:lvlJc w:val="left"/>
      <w:pPr>
        <w:ind w:left="2149" w:hanging="360"/>
      </w:pPr>
    </w:lvl>
    <w:lvl w:ilvl="2" w:tplc="0405001B" w:tentative="1">
      <w:start w:val="1"/>
      <w:numFmt w:val="lowerRoman"/>
      <w:lvlText w:val="%3."/>
      <w:lvlJc w:val="right"/>
      <w:pPr>
        <w:ind w:left="2869" w:hanging="180"/>
      </w:pPr>
    </w:lvl>
    <w:lvl w:ilvl="3" w:tplc="0405000F" w:tentative="1">
      <w:start w:val="1"/>
      <w:numFmt w:val="decimal"/>
      <w:lvlText w:val="%4."/>
      <w:lvlJc w:val="left"/>
      <w:pPr>
        <w:ind w:left="3589" w:hanging="360"/>
      </w:pPr>
    </w:lvl>
    <w:lvl w:ilvl="4" w:tplc="04050019" w:tentative="1">
      <w:start w:val="1"/>
      <w:numFmt w:val="lowerLetter"/>
      <w:lvlText w:val="%5."/>
      <w:lvlJc w:val="left"/>
      <w:pPr>
        <w:ind w:left="4309" w:hanging="360"/>
      </w:pPr>
    </w:lvl>
    <w:lvl w:ilvl="5" w:tplc="0405001B" w:tentative="1">
      <w:start w:val="1"/>
      <w:numFmt w:val="lowerRoman"/>
      <w:lvlText w:val="%6."/>
      <w:lvlJc w:val="right"/>
      <w:pPr>
        <w:ind w:left="5029" w:hanging="180"/>
      </w:pPr>
    </w:lvl>
    <w:lvl w:ilvl="6" w:tplc="0405000F" w:tentative="1">
      <w:start w:val="1"/>
      <w:numFmt w:val="decimal"/>
      <w:lvlText w:val="%7."/>
      <w:lvlJc w:val="left"/>
      <w:pPr>
        <w:ind w:left="5749" w:hanging="360"/>
      </w:pPr>
    </w:lvl>
    <w:lvl w:ilvl="7" w:tplc="04050019" w:tentative="1">
      <w:start w:val="1"/>
      <w:numFmt w:val="lowerLetter"/>
      <w:lvlText w:val="%8."/>
      <w:lvlJc w:val="left"/>
      <w:pPr>
        <w:ind w:left="6469" w:hanging="360"/>
      </w:pPr>
    </w:lvl>
    <w:lvl w:ilvl="8" w:tplc="0405001B" w:tentative="1">
      <w:start w:val="1"/>
      <w:numFmt w:val="lowerRoman"/>
      <w:lvlText w:val="%9."/>
      <w:lvlJc w:val="right"/>
      <w:pPr>
        <w:ind w:left="7189" w:hanging="180"/>
      </w:pPr>
    </w:lvl>
  </w:abstractNum>
  <w:abstractNum w:abstractNumId="109" w15:restartNumberingAfterBreak="0">
    <w:nsid w:val="79D71227"/>
    <w:multiLevelType w:val="hybridMultilevel"/>
    <w:tmpl w:val="5CF49436"/>
    <w:lvl w:ilvl="0" w:tplc="FFFFFFFF">
      <w:start w:val="1"/>
      <w:numFmt w:val="decimal"/>
      <w:lvlText w:val=".%1"/>
      <w:lvlJc w:val="left"/>
      <w:pPr>
        <w:ind w:left="1429" w:hanging="360"/>
      </w:pPr>
      <w:rPr>
        <w:rFonts w:hint="default"/>
      </w:rPr>
    </w:lvl>
    <w:lvl w:ilvl="1" w:tplc="FFFFFFFF" w:tentative="1">
      <w:start w:val="1"/>
      <w:numFmt w:val="lowerLetter"/>
      <w:lvlText w:val="%2."/>
      <w:lvlJc w:val="left"/>
      <w:pPr>
        <w:ind w:left="2149" w:hanging="360"/>
      </w:pPr>
    </w:lvl>
    <w:lvl w:ilvl="2" w:tplc="FFFFFFFF" w:tentative="1">
      <w:start w:val="1"/>
      <w:numFmt w:val="lowerRoman"/>
      <w:lvlText w:val="%3."/>
      <w:lvlJc w:val="right"/>
      <w:pPr>
        <w:ind w:left="2869" w:hanging="180"/>
      </w:pPr>
    </w:lvl>
    <w:lvl w:ilvl="3" w:tplc="FFFFFFFF" w:tentative="1">
      <w:start w:val="1"/>
      <w:numFmt w:val="decimal"/>
      <w:lvlText w:val="%4."/>
      <w:lvlJc w:val="left"/>
      <w:pPr>
        <w:ind w:left="3589" w:hanging="360"/>
      </w:pPr>
    </w:lvl>
    <w:lvl w:ilvl="4" w:tplc="FFFFFFFF" w:tentative="1">
      <w:start w:val="1"/>
      <w:numFmt w:val="lowerLetter"/>
      <w:lvlText w:val="%5."/>
      <w:lvlJc w:val="left"/>
      <w:pPr>
        <w:ind w:left="4309" w:hanging="360"/>
      </w:pPr>
    </w:lvl>
    <w:lvl w:ilvl="5" w:tplc="FFFFFFFF" w:tentative="1">
      <w:start w:val="1"/>
      <w:numFmt w:val="lowerRoman"/>
      <w:lvlText w:val="%6."/>
      <w:lvlJc w:val="right"/>
      <w:pPr>
        <w:ind w:left="5029" w:hanging="180"/>
      </w:pPr>
    </w:lvl>
    <w:lvl w:ilvl="6" w:tplc="FFFFFFFF" w:tentative="1">
      <w:start w:val="1"/>
      <w:numFmt w:val="decimal"/>
      <w:lvlText w:val="%7."/>
      <w:lvlJc w:val="left"/>
      <w:pPr>
        <w:ind w:left="5749" w:hanging="360"/>
      </w:pPr>
    </w:lvl>
    <w:lvl w:ilvl="7" w:tplc="FFFFFFFF" w:tentative="1">
      <w:start w:val="1"/>
      <w:numFmt w:val="lowerLetter"/>
      <w:lvlText w:val="%8."/>
      <w:lvlJc w:val="left"/>
      <w:pPr>
        <w:ind w:left="6469" w:hanging="360"/>
      </w:pPr>
    </w:lvl>
    <w:lvl w:ilvl="8" w:tplc="FFFFFFFF" w:tentative="1">
      <w:start w:val="1"/>
      <w:numFmt w:val="lowerRoman"/>
      <w:lvlText w:val="%9."/>
      <w:lvlJc w:val="right"/>
      <w:pPr>
        <w:ind w:left="7189" w:hanging="180"/>
      </w:pPr>
    </w:lvl>
  </w:abstractNum>
  <w:abstractNum w:abstractNumId="110" w15:restartNumberingAfterBreak="0">
    <w:nsid w:val="7A1012B5"/>
    <w:multiLevelType w:val="hybridMultilevel"/>
    <w:tmpl w:val="97CE5986"/>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11" w15:restartNumberingAfterBreak="0">
    <w:nsid w:val="7BD7418F"/>
    <w:multiLevelType w:val="hybridMultilevel"/>
    <w:tmpl w:val="A6A44CEE"/>
    <w:lvl w:ilvl="0" w:tplc="04050017">
      <w:start w:val="1"/>
      <w:numFmt w:val="lowerLetter"/>
      <w:lvlText w:val="%1)"/>
      <w:lvlJc w:val="left"/>
      <w:pPr>
        <w:ind w:left="2988" w:hanging="360"/>
      </w:pPr>
    </w:lvl>
    <w:lvl w:ilvl="1" w:tplc="04050019" w:tentative="1">
      <w:start w:val="1"/>
      <w:numFmt w:val="lowerLetter"/>
      <w:lvlText w:val="%2."/>
      <w:lvlJc w:val="left"/>
      <w:pPr>
        <w:ind w:left="3708" w:hanging="360"/>
      </w:pPr>
    </w:lvl>
    <w:lvl w:ilvl="2" w:tplc="0405001B" w:tentative="1">
      <w:start w:val="1"/>
      <w:numFmt w:val="lowerRoman"/>
      <w:lvlText w:val="%3."/>
      <w:lvlJc w:val="right"/>
      <w:pPr>
        <w:ind w:left="4428" w:hanging="180"/>
      </w:pPr>
    </w:lvl>
    <w:lvl w:ilvl="3" w:tplc="0405000F" w:tentative="1">
      <w:start w:val="1"/>
      <w:numFmt w:val="decimal"/>
      <w:lvlText w:val="%4."/>
      <w:lvlJc w:val="left"/>
      <w:pPr>
        <w:ind w:left="5148" w:hanging="360"/>
      </w:pPr>
    </w:lvl>
    <w:lvl w:ilvl="4" w:tplc="04050019" w:tentative="1">
      <w:start w:val="1"/>
      <w:numFmt w:val="lowerLetter"/>
      <w:lvlText w:val="%5."/>
      <w:lvlJc w:val="left"/>
      <w:pPr>
        <w:ind w:left="5868" w:hanging="360"/>
      </w:pPr>
    </w:lvl>
    <w:lvl w:ilvl="5" w:tplc="0405001B" w:tentative="1">
      <w:start w:val="1"/>
      <w:numFmt w:val="lowerRoman"/>
      <w:lvlText w:val="%6."/>
      <w:lvlJc w:val="right"/>
      <w:pPr>
        <w:ind w:left="6588" w:hanging="180"/>
      </w:pPr>
    </w:lvl>
    <w:lvl w:ilvl="6" w:tplc="0405000F" w:tentative="1">
      <w:start w:val="1"/>
      <w:numFmt w:val="decimal"/>
      <w:lvlText w:val="%7."/>
      <w:lvlJc w:val="left"/>
      <w:pPr>
        <w:ind w:left="7308" w:hanging="360"/>
      </w:pPr>
    </w:lvl>
    <w:lvl w:ilvl="7" w:tplc="04050019" w:tentative="1">
      <w:start w:val="1"/>
      <w:numFmt w:val="lowerLetter"/>
      <w:lvlText w:val="%8."/>
      <w:lvlJc w:val="left"/>
      <w:pPr>
        <w:ind w:left="8028" w:hanging="360"/>
      </w:pPr>
    </w:lvl>
    <w:lvl w:ilvl="8" w:tplc="0405001B" w:tentative="1">
      <w:start w:val="1"/>
      <w:numFmt w:val="lowerRoman"/>
      <w:lvlText w:val="%9."/>
      <w:lvlJc w:val="right"/>
      <w:pPr>
        <w:ind w:left="8748" w:hanging="180"/>
      </w:pPr>
    </w:lvl>
  </w:abstractNum>
  <w:abstractNum w:abstractNumId="112" w15:restartNumberingAfterBreak="0">
    <w:nsid w:val="7C4B2D3C"/>
    <w:multiLevelType w:val="hybridMultilevel"/>
    <w:tmpl w:val="EABEF86C"/>
    <w:lvl w:ilvl="0" w:tplc="04050001">
      <w:start w:val="1"/>
      <w:numFmt w:val="bullet"/>
      <w:lvlText w:val=""/>
      <w:lvlJc w:val="left"/>
      <w:pPr>
        <w:ind w:left="1429" w:hanging="360"/>
      </w:pPr>
      <w:rPr>
        <w:rFonts w:ascii="Symbol" w:hAnsi="Symbol" w:hint="default"/>
      </w:rPr>
    </w:lvl>
    <w:lvl w:ilvl="1" w:tplc="04050003" w:tentative="1">
      <w:start w:val="1"/>
      <w:numFmt w:val="bullet"/>
      <w:lvlText w:val="o"/>
      <w:lvlJc w:val="left"/>
      <w:pPr>
        <w:ind w:left="2149" w:hanging="360"/>
      </w:pPr>
      <w:rPr>
        <w:rFonts w:ascii="Courier New" w:hAnsi="Courier New" w:cs="Courier New" w:hint="default"/>
      </w:rPr>
    </w:lvl>
    <w:lvl w:ilvl="2" w:tplc="04050005" w:tentative="1">
      <w:start w:val="1"/>
      <w:numFmt w:val="bullet"/>
      <w:lvlText w:val=""/>
      <w:lvlJc w:val="left"/>
      <w:pPr>
        <w:ind w:left="2869" w:hanging="360"/>
      </w:pPr>
      <w:rPr>
        <w:rFonts w:ascii="Wingdings" w:hAnsi="Wingdings" w:hint="default"/>
      </w:rPr>
    </w:lvl>
    <w:lvl w:ilvl="3" w:tplc="04050001" w:tentative="1">
      <w:start w:val="1"/>
      <w:numFmt w:val="bullet"/>
      <w:lvlText w:val=""/>
      <w:lvlJc w:val="left"/>
      <w:pPr>
        <w:ind w:left="3589" w:hanging="360"/>
      </w:pPr>
      <w:rPr>
        <w:rFonts w:ascii="Symbol" w:hAnsi="Symbol" w:hint="default"/>
      </w:rPr>
    </w:lvl>
    <w:lvl w:ilvl="4" w:tplc="04050003" w:tentative="1">
      <w:start w:val="1"/>
      <w:numFmt w:val="bullet"/>
      <w:lvlText w:val="o"/>
      <w:lvlJc w:val="left"/>
      <w:pPr>
        <w:ind w:left="4309" w:hanging="360"/>
      </w:pPr>
      <w:rPr>
        <w:rFonts w:ascii="Courier New" w:hAnsi="Courier New" w:cs="Courier New" w:hint="default"/>
      </w:rPr>
    </w:lvl>
    <w:lvl w:ilvl="5" w:tplc="04050005" w:tentative="1">
      <w:start w:val="1"/>
      <w:numFmt w:val="bullet"/>
      <w:lvlText w:val=""/>
      <w:lvlJc w:val="left"/>
      <w:pPr>
        <w:ind w:left="5029" w:hanging="360"/>
      </w:pPr>
      <w:rPr>
        <w:rFonts w:ascii="Wingdings" w:hAnsi="Wingdings" w:hint="default"/>
      </w:rPr>
    </w:lvl>
    <w:lvl w:ilvl="6" w:tplc="04050001" w:tentative="1">
      <w:start w:val="1"/>
      <w:numFmt w:val="bullet"/>
      <w:lvlText w:val=""/>
      <w:lvlJc w:val="left"/>
      <w:pPr>
        <w:ind w:left="5749" w:hanging="360"/>
      </w:pPr>
      <w:rPr>
        <w:rFonts w:ascii="Symbol" w:hAnsi="Symbol" w:hint="default"/>
      </w:rPr>
    </w:lvl>
    <w:lvl w:ilvl="7" w:tplc="04050003" w:tentative="1">
      <w:start w:val="1"/>
      <w:numFmt w:val="bullet"/>
      <w:lvlText w:val="o"/>
      <w:lvlJc w:val="left"/>
      <w:pPr>
        <w:ind w:left="6469" w:hanging="360"/>
      </w:pPr>
      <w:rPr>
        <w:rFonts w:ascii="Courier New" w:hAnsi="Courier New" w:cs="Courier New" w:hint="default"/>
      </w:rPr>
    </w:lvl>
    <w:lvl w:ilvl="8" w:tplc="04050005" w:tentative="1">
      <w:start w:val="1"/>
      <w:numFmt w:val="bullet"/>
      <w:lvlText w:val=""/>
      <w:lvlJc w:val="left"/>
      <w:pPr>
        <w:ind w:left="7189" w:hanging="360"/>
      </w:pPr>
      <w:rPr>
        <w:rFonts w:ascii="Wingdings" w:hAnsi="Wingdings" w:hint="default"/>
      </w:rPr>
    </w:lvl>
  </w:abstractNum>
  <w:abstractNum w:abstractNumId="113" w15:restartNumberingAfterBreak="0">
    <w:nsid w:val="7EC361ED"/>
    <w:multiLevelType w:val="hybridMultilevel"/>
    <w:tmpl w:val="0E588392"/>
    <w:lvl w:ilvl="0" w:tplc="C4A22E78">
      <w:start w:val="1"/>
      <w:numFmt w:val="decimal"/>
      <w:lvlText w:val=".%1"/>
      <w:lvlJc w:val="left"/>
      <w:pPr>
        <w:ind w:left="1429" w:hanging="360"/>
      </w:pPr>
      <w:rPr>
        <w:rFonts w:hint="default"/>
      </w:rPr>
    </w:lvl>
    <w:lvl w:ilvl="1" w:tplc="04050019" w:tentative="1">
      <w:start w:val="1"/>
      <w:numFmt w:val="lowerLetter"/>
      <w:lvlText w:val="%2."/>
      <w:lvlJc w:val="left"/>
      <w:pPr>
        <w:ind w:left="2149" w:hanging="360"/>
      </w:pPr>
    </w:lvl>
    <w:lvl w:ilvl="2" w:tplc="0405001B" w:tentative="1">
      <w:start w:val="1"/>
      <w:numFmt w:val="lowerRoman"/>
      <w:lvlText w:val="%3."/>
      <w:lvlJc w:val="right"/>
      <w:pPr>
        <w:ind w:left="2869" w:hanging="180"/>
      </w:pPr>
    </w:lvl>
    <w:lvl w:ilvl="3" w:tplc="0405000F" w:tentative="1">
      <w:start w:val="1"/>
      <w:numFmt w:val="decimal"/>
      <w:lvlText w:val="%4."/>
      <w:lvlJc w:val="left"/>
      <w:pPr>
        <w:ind w:left="3589" w:hanging="360"/>
      </w:pPr>
    </w:lvl>
    <w:lvl w:ilvl="4" w:tplc="04050019" w:tentative="1">
      <w:start w:val="1"/>
      <w:numFmt w:val="lowerLetter"/>
      <w:lvlText w:val="%5."/>
      <w:lvlJc w:val="left"/>
      <w:pPr>
        <w:ind w:left="4309" w:hanging="360"/>
      </w:pPr>
    </w:lvl>
    <w:lvl w:ilvl="5" w:tplc="0405001B" w:tentative="1">
      <w:start w:val="1"/>
      <w:numFmt w:val="lowerRoman"/>
      <w:lvlText w:val="%6."/>
      <w:lvlJc w:val="right"/>
      <w:pPr>
        <w:ind w:left="5029" w:hanging="180"/>
      </w:pPr>
    </w:lvl>
    <w:lvl w:ilvl="6" w:tplc="0405000F" w:tentative="1">
      <w:start w:val="1"/>
      <w:numFmt w:val="decimal"/>
      <w:lvlText w:val="%7."/>
      <w:lvlJc w:val="left"/>
      <w:pPr>
        <w:ind w:left="5749" w:hanging="360"/>
      </w:pPr>
    </w:lvl>
    <w:lvl w:ilvl="7" w:tplc="04050019" w:tentative="1">
      <w:start w:val="1"/>
      <w:numFmt w:val="lowerLetter"/>
      <w:lvlText w:val="%8."/>
      <w:lvlJc w:val="left"/>
      <w:pPr>
        <w:ind w:left="6469" w:hanging="360"/>
      </w:pPr>
    </w:lvl>
    <w:lvl w:ilvl="8" w:tplc="0405001B" w:tentative="1">
      <w:start w:val="1"/>
      <w:numFmt w:val="lowerRoman"/>
      <w:lvlText w:val="%9."/>
      <w:lvlJc w:val="right"/>
      <w:pPr>
        <w:ind w:left="7189" w:hanging="180"/>
      </w:pPr>
    </w:lvl>
  </w:abstractNum>
  <w:abstractNum w:abstractNumId="114" w15:restartNumberingAfterBreak="0">
    <w:nsid w:val="7FAA7CEF"/>
    <w:multiLevelType w:val="hybridMultilevel"/>
    <w:tmpl w:val="3CCAA100"/>
    <w:lvl w:ilvl="0" w:tplc="C4A22E78">
      <w:start w:val="1"/>
      <w:numFmt w:val="decimal"/>
      <w:lvlText w:val=".%1"/>
      <w:lvlJc w:val="left"/>
      <w:pPr>
        <w:ind w:left="1429" w:hanging="360"/>
      </w:pPr>
      <w:rPr>
        <w:rFonts w:hint="default"/>
      </w:rPr>
    </w:lvl>
    <w:lvl w:ilvl="1" w:tplc="04050019" w:tentative="1">
      <w:start w:val="1"/>
      <w:numFmt w:val="lowerLetter"/>
      <w:lvlText w:val="%2."/>
      <w:lvlJc w:val="left"/>
      <w:pPr>
        <w:ind w:left="2149" w:hanging="360"/>
      </w:pPr>
    </w:lvl>
    <w:lvl w:ilvl="2" w:tplc="0405001B" w:tentative="1">
      <w:start w:val="1"/>
      <w:numFmt w:val="lowerRoman"/>
      <w:lvlText w:val="%3."/>
      <w:lvlJc w:val="right"/>
      <w:pPr>
        <w:ind w:left="2869" w:hanging="180"/>
      </w:pPr>
    </w:lvl>
    <w:lvl w:ilvl="3" w:tplc="0405000F" w:tentative="1">
      <w:start w:val="1"/>
      <w:numFmt w:val="decimal"/>
      <w:lvlText w:val="%4."/>
      <w:lvlJc w:val="left"/>
      <w:pPr>
        <w:ind w:left="3589" w:hanging="360"/>
      </w:pPr>
    </w:lvl>
    <w:lvl w:ilvl="4" w:tplc="04050019" w:tentative="1">
      <w:start w:val="1"/>
      <w:numFmt w:val="lowerLetter"/>
      <w:lvlText w:val="%5."/>
      <w:lvlJc w:val="left"/>
      <w:pPr>
        <w:ind w:left="4309" w:hanging="360"/>
      </w:pPr>
    </w:lvl>
    <w:lvl w:ilvl="5" w:tplc="0405001B" w:tentative="1">
      <w:start w:val="1"/>
      <w:numFmt w:val="lowerRoman"/>
      <w:lvlText w:val="%6."/>
      <w:lvlJc w:val="right"/>
      <w:pPr>
        <w:ind w:left="5029" w:hanging="180"/>
      </w:pPr>
    </w:lvl>
    <w:lvl w:ilvl="6" w:tplc="0405000F" w:tentative="1">
      <w:start w:val="1"/>
      <w:numFmt w:val="decimal"/>
      <w:lvlText w:val="%7."/>
      <w:lvlJc w:val="left"/>
      <w:pPr>
        <w:ind w:left="5749" w:hanging="360"/>
      </w:pPr>
    </w:lvl>
    <w:lvl w:ilvl="7" w:tplc="04050019" w:tentative="1">
      <w:start w:val="1"/>
      <w:numFmt w:val="lowerLetter"/>
      <w:lvlText w:val="%8."/>
      <w:lvlJc w:val="left"/>
      <w:pPr>
        <w:ind w:left="6469" w:hanging="360"/>
      </w:pPr>
    </w:lvl>
    <w:lvl w:ilvl="8" w:tplc="0405001B" w:tentative="1">
      <w:start w:val="1"/>
      <w:numFmt w:val="lowerRoman"/>
      <w:lvlText w:val="%9."/>
      <w:lvlJc w:val="right"/>
      <w:pPr>
        <w:ind w:left="7189" w:hanging="180"/>
      </w:pPr>
    </w:lvl>
  </w:abstractNum>
  <w:abstractNum w:abstractNumId="115" w15:restartNumberingAfterBreak="0">
    <w:nsid w:val="7FCB5667"/>
    <w:multiLevelType w:val="hybridMultilevel"/>
    <w:tmpl w:val="EF809ECE"/>
    <w:lvl w:ilvl="0" w:tplc="04050001">
      <w:start w:val="1"/>
      <w:numFmt w:val="bullet"/>
      <w:lvlText w:val=""/>
      <w:lvlJc w:val="left"/>
      <w:pPr>
        <w:ind w:left="794" w:hanging="360"/>
      </w:pPr>
      <w:rPr>
        <w:rFonts w:ascii="Symbol" w:hAnsi="Symbol" w:hint="default"/>
      </w:rPr>
    </w:lvl>
    <w:lvl w:ilvl="1" w:tplc="04050003" w:tentative="1">
      <w:start w:val="1"/>
      <w:numFmt w:val="bullet"/>
      <w:lvlText w:val="o"/>
      <w:lvlJc w:val="left"/>
      <w:pPr>
        <w:ind w:left="1514" w:hanging="360"/>
      </w:pPr>
      <w:rPr>
        <w:rFonts w:ascii="Courier New" w:hAnsi="Courier New" w:cs="Courier New" w:hint="default"/>
      </w:rPr>
    </w:lvl>
    <w:lvl w:ilvl="2" w:tplc="04050005" w:tentative="1">
      <w:start w:val="1"/>
      <w:numFmt w:val="bullet"/>
      <w:lvlText w:val=""/>
      <w:lvlJc w:val="left"/>
      <w:pPr>
        <w:ind w:left="2234" w:hanging="360"/>
      </w:pPr>
      <w:rPr>
        <w:rFonts w:ascii="Wingdings" w:hAnsi="Wingdings" w:hint="default"/>
      </w:rPr>
    </w:lvl>
    <w:lvl w:ilvl="3" w:tplc="04050001" w:tentative="1">
      <w:start w:val="1"/>
      <w:numFmt w:val="bullet"/>
      <w:lvlText w:val=""/>
      <w:lvlJc w:val="left"/>
      <w:pPr>
        <w:ind w:left="2954" w:hanging="360"/>
      </w:pPr>
      <w:rPr>
        <w:rFonts w:ascii="Symbol" w:hAnsi="Symbol" w:hint="default"/>
      </w:rPr>
    </w:lvl>
    <w:lvl w:ilvl="4" w:tplc="04050003" w:tentative="1">
      <w:start w:val="1"/>
      <w:numFmt w:val="bullet"/>
      <w:lvlText w:val="o"/>
      <w:lvlJc w:val="left"/>
      <w:pPr>
        <w:ind w:left="3674" w:hanging="360"/>
      </w:pPr>
      <w:rPr>
        <w:rFonts w:ascii="Courier New" w:hAnsi="Courier New" w:cs="Courier New" w:hint="default"/>
      </w:rPr>
    </w:lvl>
    <w:lvl w:ilvl="5" w:tplc="04050005" w:tentative="1">
      <w:start w:val="1"/>
      <w:numFmt w:val="bullet"/>
      <w:lvlText w:val=""/>
      <w:lvlJc w:val="left"/>
      <w:pPr>
        <w:ind w:left="4394" w:hanging="360"/>
      </w:pPr>
      <w:rPr>
        <w:rFonts w:ascii="Wingdings" w:hAnsi="Wingdings" w:hint="default"/>
      </w:rPr>
    </w:lvl>
    <w:lvl w:ilvl="6" w:tplc="04050001" w:tentative="1">
      <w:start w:val="1"/>
      <w:numFmt w:val="bullet"/>
      <w:lvlText w:val=""/>
      <w:lvlJc w:val="left"/>
      <w:pPr>
        <w:ind w:left="5114" w:hanging="360"/>
      </w:pPr>
      <w:rPr>
        <w:rFonts w:ascii="Symbol" w:hAnsi="Symbol" w:hint="default"/>
      </w:rPr>
    </w:lvl>
    <w:lvl w:ilvl="7" w:tplc="04050003" w:tentative="1">
      <w:start w:val="1"/>
      <w:numFmt w:val="bullet"/>
      <w:lvlText w:val="o"/>
      <w:lvlJc w:val="left"/>
      <w:pPr>
        <w:ind w:left="5834" w:hanging="360"/>
      </w:pPr>
      <w:rPr>
        <w:rFonts w:ascii="Courier New" w:hAnsi="Courier New" w:cs="Courier New" w:hint="default"/>
      </w:rPr>
    </w:lvl>
    <w:lvl w:ilvl="8" w:tplc="04050005" w:tentative="1">
      <w:start w:val="1"/>
      <w:numFmt w:val="bullet"/>
      <w:lvlText w:val=""/>
      <w:lvlJc w:val="left"/>
      <w:pPr>
        <w:ind w:left="6554" w:hanging="360"/>
      </w:pPr>
      <w:rPr>
        <w:rFonts w:ascii="Wingdings" w:hAnsi="Wingdings" w:hint="default"/>
      </w:rPr>
    </w:lvl>
  </w:abstractNum>
  <w:num w:numId="1" w16cid:durableId="1403990271">
    <w:abstractNumId w:val="91"/>
  </w:num>
  <w:num w:numId="2" w16cid:durableId="1959098166">
    <w:abstractNumId w:val="25"/>
  </w:num>
  <w:num w:numId="3" w16cid:durableId="1878882708">
    <w:abstractNumId w:val="82"/>
  </w:num>
  <w:num w:numId="4" w16cid:durableId="12731905">
    <w:abstractNumId w:val="99"/>
  </w:num>
  <w:num w:numId="5" w16cid:durableId="1312254829">
    <w:abstractNumId w:val="89"/>
  </w:num>
  <w:num w:numId="6" w16cid:durableId="635373992">
    <w:abstractNumId w:val="19"/>
  </w:num>
  <w:num w:numId="7" w16cid:durableId="319388214">
    <w:abstractNumId w:val="32"/>
  </w:num>
  <w:num w:numId="8" w16cid:durableId="610014882">
    <w:abstractNumId w:val="97"/>
  </w:num>
  <w:num w:numId="9" w16cid:durableId="1197767954">
    <w:abstractNumId w:val="64"/>
  </w:num>
  <w:num w:numId="10" w16cid:durableId="645822473">
    <w:abstractNumId w:val="3"/>
  </w:num>
  <w:num w:numId="11" w16cid:durableId="1472869724">
    <w:abstractNumId w:val="108"/>
  </w:num>
  <w:num w:numId="12" w16cid:durableId="533351306">
    <w:abstractNumId w:val="62"/>
  </w:num>
  <w:num w:numId="13" w16cid:durableId="1530490954">
    <w:abstractNumId w:val="62"/>
    <w:lvlOverride w:ilvl="0">
      <w:startOverride w:val="1"/>
    </w:lvlOverride>
  </w:num>
  <w:num w:numId="14" w16cid:durableId="1574005737">
    <w:abstractNumId w:val="17"/>
  </w:num>
  <w:num w:numId="15" w16cid:durableId="54663246">
    <w:abstractNumId w:val="95"/>
  </w:num>
  <w:num w:numId="16" w16cid:durableId="1247810844">
    <w:abstractNumId w:val="9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534775021">
    <w:abstractNumId w:val="9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16cid:durableId="35592870">
    <w:abstractNumId w:val="112"/>
  </w:num>
  <w:num w:numId="19" w16cid:durableId="571046590">
    <w:abstractNumId w:val="53"/>
  </w:num>
  <w:num w:numId="20" w16cid:durableId="1757633276">
    <w:abstractNumId w:val="60"/>
  </w:num>
  <w:num w:numId="21" w16cid:durableId="1097025118">
    <w:abstractNumId w:val="62"/>
    <w:lvlOverride w:ilvl="0">
      <w:startOverride w:val="1"/>
    </w:lvlOverride>
  </w:num>
  <w:num w:numId="22" w16cid:durableId="660813086">
    <w:abstractNumId w:val="62"/>
    <w:lvlOverride w:ilvl="0">
      <w:startOverride w:val="1"/>
    </w:lvlOverride>
  </w:num>
  <w:num w:numId="23" w16cid:durableId="1142768828">
    <w:abstractNumId w:val="30"/>
  </w:num>
  <w:num w:numId="24" w16cid:durableId="381755750">
    <w:abstractNumId w:val="26"/>
  </w:num>
  <w:num w:numId="25" w16cid:durableId="1256938943">
    <w:abstractNumId w:val="62"/>
    <w:lvlOverride w:ilvl="0">
      <w:startOverride w:val="1"/>
    </w:lvlOverride>
  </w:num>
  <w:num w:numId="26" w16cid:durableId="872840730">
    <w:abstractNumId w:val="96"/>
  </w:num>
  <w:num w:numId="27" w16cid:durableId="357196370">
    <w:abstractNumId w:val="28"/>
  </w:num>
  <w:num w:numId="28" w16cid:durableId="777799654">
    <w:abstractNumId w:val="111"/>
  </w:num>
  <w:num w:numId="29" w16cid:durableId="538207584">
    <w:abstractNumId w:val="77"/>
  </w:num>
  <w:num w:numId="30" w16cid:durableId="1283609148">
    <w:abstractNumId w:val="37"/>
  </w:num>
  <w:num w:numId="31" w16cid:durableId="1770156785">
    <w:abstractNumId w:val="90"/>
  </w:num>
  <w:num w:numId="32" w16cid:durableId="543374571">
    <w:abstractNumId w:val="58"/>
  </w:num>
  <w:num w:numId="33" w16cid:durableId="306587890">
    <w:abstractNumId w:val="68"/>
  </w:num>
  <w:num w:numId="34" w16cid:durableId="837883607">
    <w:abstractNumId w:val="103"/>
  </w:num>
  <w:num w:numId="35" w16cid:durableId="1158574814">
    <w:abstractNumId w:val="4"/>
  </w:num>
  <w:num w:numId="36" w16cid:durableId="2076390711">
    <w:abstractNumId w:val="67"/>
  </w:num>
  <w:num w:numId="37" w16cid:durableId="392002671">
    <w:abstractNumId w:val="110"/>
  </w:num>
  <w:num w:numId="38" w16cid:durableId="862287534">
    <w:abstractNumId w:val="55"/>
  </w:num>
  <w:num w:numId="39" w16cid:durableId="30152032">
    <w:abstractNumId w:val="65"/>
  </w:num>
  <w:num w:numId="40" w16cid:durableId="290673539">
    <w:abstractNumId w:val="115"/>
  </w:num>
  <w:num w:numId="41" w16cid:durableId="147864016">
    <w:abstractNumId w:val="47"/>
  </w:num>
  <w:num w:numId="42" w16cid:durableId="1654673315">
    <w:abstractNumId w:val="100"/>
  </w:num>
  <w:num w:numId="43" w16cid:durableId="2106728998">
    <w:abstractNumId w:val="78"/>
  </w:num>
  <w:num w:numId="44" w16cid:durableId="1708065200">
    <w:abstractNumId w:val="62"/>
    <w:lvlOverride w:ilvl="0">
      <w:startOverride w:val="1"/>
    </w:lvlOverride>
  </w:num>
  <w:num w:numId="45" w16cid:durableId="287203134">
    <w:abstractNumId w:val="62"/>
    <w:lvlOverride w:ilvl="0">
      <w:startOverride w:val="1"/>
    </w:lvlOverride>
  </w:num>
  <w:num w:numId="46" w16cid:durableId="606471654">
    <w:abstractNumId w:val="107"/>
  </w:num>
  <w:num w:numId="47" w16cid:durableId="405419654">
    <w:abstractNumId w:val="92"/>
  </w:num>
  <w:num w:numId="48" w16cid:durableId="465052748">
    <w:abstractNumId w:val="35"/>
  </w:num>
  <w:num w:numId="49" w16cid:durableId="28343324">
    <w:abstractNumId w:val="62"/>
    <w:lvlOverride w:ilvl="0">
      <w:startOverride w:val="1"/>
    </w:lvlOverride>
  </w:num>
  <w:num w:numId="50" w16cid:durableId="65761287">
    <w:abstractNumId w:val="62"/>
    <w:lvlOverride w:ilvl="0">
      <w:startOverride w:val="1"/>
    </w:lvlOverride>
  </w:num>
  <w:num w:numId="51" w16cid:durableId="1023481518">
    <w:abstractNumId w:val="62"/>
    <w:lvlOverride w:ilvl="0">
      <w:startOverride w:val="1"/>
    </w:lvlOverride>
  </w:num>
  <w:num w:numId="52" w16cid:durableId="1492678659">
    <w:abstractNumId w:val="62"/>
    <w:lvlOverride w:ilvl="0">
      <w:startOverride w:val="1"/>
    </w:lvlOverride>
  </w:num>
  <w:num w:numId="53" w16cid:durableId="459111366">
    <w:abstractNumId w:val="62"/>
    <w:lvlOverride w:ilvl="0">
      <w:startOverride w:val="1"/>
    </w:lvlOverride>
  </w:num>
  <w:num w:numId="54" w16cid:durableId="1993287482">
    <w:abstractNumId w:val="62"/>
    <w:lvlOverride w:ilvl="0">
      <w:startOverride w:val="1"/>
    </w:lvlOverride>
  </w:num>
  <w:num w:numId="55" w16cid:durableId="1193880309">
    <w:abstractNumId w:val="62"/>
    <w:lvlOverride w:ilvl="0">
      <w:startOverride w:val="1"/>
    </w:lvlOverride>
  </w:num>
  <w:num w:numId="56" w16cid:durableId="644509386">
    <w:abstractNumId w:val="62"/>
    <w:lvlOverride w:ilvl="0">
      <w:startOverride w:val="1"/>
    </w:lvlOverride>
  </w:num>
  <w:num w:numId="57" w16cid:durableId="1837961690">
    <w:abstractNumId w:val="62"/>
    <w:lvlOverride w:ilvl="0">
      <w:startOverride w:val="1"/>
    </w:lvlOverride>
  </w:num>
  <w:num w:numId="58" w16cid:durableId="1619751978">
    <w:abstractNumId w:val="62"/>
    <w:lvlOverride w:ilvl="0">
      <w:startOverride w:val="1"/>
    </w:lvlOverride>
  </w:num>
  <w:num w:numId="59" w16cid:durableId="57673893">
    <w:abstractNumId w:val="62"/>
    <w:lvlOverride w:ilvl="0">
      <w:startOverride w:val="1"/>
    </w:lvlOverride>
  </w:num>
  <w:num w:numId="60" w16cid:durableId="186261116">
    <w:abstractNumId w:val="57"/>
  </w:num>
  <w:num w:numId="61" w16cid:durableId="54209673">
    <w:abstractNumId w:val="62"/>
    <w:lvlOverride w:ilvl="0">
      <w:startOverride w:val="1"/>
    </w:lvlOverride>
  </w:num>
  <w:num w:numId="62" w16cid:durableId="2106223614">
    <w:abstractNumId w:val="62"/>
    <w:lvlOverride w:ilvl="0">
      <w:startOverride w:val="1"/>
    </w:lvlOverride>
  </w:num>
  <w:num w:numId="63" w16cid:durableId="1804419605">
    <w:abstractNumId w:val="62"/>
    <w:lvlOverride w:ilvl="0">
      <w:startOverride w:val="1"/>
    </w:lvlOverride>
  </w:num>
  <w:num w:numId="64" w16cid:durableId="628129773">
    <w:abstractNumId w:val="62"/>
    <w:lvlOverride w:ilvl="0">
      <w:startOverride w:val="1"/>
    </w:lvlOverride>
  </w:num>
  <w:num w:numId="65" w16cid:durableId="1525054037">
    <w:abstractNumId w:val="62"/>
    <w:lvlOverride w:ilvl="0">
      <w:startOverride w:val="1"/>
    </w:lvlOverride>
  </w:num>
  <w:num w:numId="66" w16cid:durableId="613295307">
    <w:abstractNumId w:val="62"/>
    <w:lvlOverride w:ilvl="0">
      <w:startOverride w:val="1"/>
    </w:lvlOverride>
  </w:num>
  <w:num w:numId="67" w16cid:durableId="1700277964">
    <w:abstractNumId w:val="16"/>
  </w:num>
  <w:num w:numId="68" w16cid:durableId="238056208">
    <w:abstractNumId w:val="105"/>
  </w:num>
  <w:num w:numId="69" w16cid:durableId="843858719">
    <w:abstractNumId w:val="104"/>
  </w:num>
  <w:num w:numId="70" w16cid:durableId="1299654072">
    <w:abstractNumId w:val="29"/>
  </w:num>
  <w:num w:numId="71" w16cid:durableId="2051999060">
    <w:abstractNumId w:val="72"/>
  </w:num>
  <w:num w:numId="72" w16cid:durableId="1770008795">
    <w:abstractNumId w:val="6"/>
  </w:num>
  <w:num w:numId="73" w16cid:durableId="614754945">
    <w:abstractNumId w:val="27"/>
  </w:num>
  <w:num w:numId="74" w16cid:durableId="62604275">
    <w:abstractNumId w:val="59"/>
  </w:num>
  <w:num w:numId="75" w16cid:durableId="412239903">
    <w:abstractNumId w:val="51"/>
  </w:num>
  <w:num w:numId="76" w16cid:durableId="989820788">
    <w:abstractNumId w:val="87"/>
  </w:num>
  <w:num w:numId="77" w16cid:durableId="1338190121">
    <w:abstractNumId w:val="46"/>
  </w:num>
  <w:num w:numId="78" w16cid:durableId="1368600346">
    <w:abstractNumId w:val="39"/>
  </w:num>
  <w:num w:numId="79" w16cid:durableId="1571692974">
    <w:abstractNumId w:val="24"/>
  </w:num>
  <w:num w:numId="80" w16cid:durableId="742531636">
    <w:abstractNumId w:val="52"/>
  </w:num>
  <w:num w:numId="81" w16cid:durableId="1037396033">
    <w:abstractNumId w:val="79"/>
  </w:num>
  <w:num w:numId="82" w16cid:durableId="1603027146">
    <w:abstractNumId w:val="61"/>
  </w:num>
  <w:num w:numId="83" w16cid:durableId="787774257">
    <w:abstractNumId w:val="69"/>
  </w:num>
  <w:num w:numId="84" w16cid:durableId="464936030">
    <w:abstractNumId w:val="18"/>
  </w:num>
  <w:num w:numId="85" w16cid:durableId="898590942">
    <w:abstractNumId w:val="56"/>
  </w:num>
  <w:num w:numId="86" w16cid:durableId="1597401202">
    <w:abstractNumId w:val="41"/>
  </w:num>
  <w:num w:numId="87" w16cid:durableId="22635450">
    <w:abstractNumId w:val="36"/>
  </w:num>
  <w:num w:numId="88" w16cid:durableId="2037732016">
    <w:abstractNumId w:val="101"/>
  </w:num>
  <w:num w:numId="89" w16cid:durableId="1788811542">
    <w:abstractNumId w:val="75"/>
  </w:num>
  <w:num w:numId="90" w16cid:durableId="648441089">
    <w:abstractNumId w:val="88"/>
  </w:num>
  <w:num w:numId="91" w16cid:durableId="1421759603">
    <w:abstractNumId w:val="106"/>
  </w:num>
  <w:num w:numId="92" w16cid:durableId="1108814894">
    <w:abstractNumId w:val="34"/>
  </w:num>
  <w:num w:numId="93" w16cid:durableId="2078279038">
    <w:abstractNumId w:val="40"/>
  </w:num>
  <w:num w:numId="94" w16cid:durableId="54010158">
    <w:abstractNumId w:val="94"/>
  </w:num>
  <w:num w:numId="95" w16cid:durableId="542791772">
    <w:abstractNumId w:val="38"/>
  </w:num>
  <w:num w:numId="96" w16cid:durableId="2075813732">
    <w:abstractNumId w:val="66"/>
  </w:num>
  <w:num w:numId="97" w16cid:durableId="752629173">
    <w:abstractNumId w:val="49"/>
  </w:num>
  <w:num w:numId="98" w16cid:durableId="1410035738">
    <w:abstractNumId w:val="20"/>
  </w:num>
  <w:num w:numId="99" w16cid:durableId="1988775404">
    <w:abstractNumId w:val="102"/>
  </w:num>
  <w:num w:numId="100" w16cid:durableId="264577652">
    <w:abstractNumId w:val="43"/>
  </w:num>
  <w:num w:numId="101" w16cid:durableId="1737170217">
    <w:abstractNumId w:val="70"/>
  </w:num>
  <w:num w:numId="102" w16cid:durableId="1225334692">
    <w:abstractNumId w:val="21"/>
  </w:num>
  <w:num w:numId="103" w16cid:durableId="990908595">
    <w:abstractNumId w:val="23"/>
  </w:num>
  <w:num w:numId="104" w16cid:durableId="760183283">
    <w:abstractNumId w:val="33"/>
  </w:num>
  <w:num w:numId="105" w16cid:durableId="1714964454">
    <w:abstractNumId w:val="15"/>
  </w:num>
  <w:num w:numId="106" w16cid:durableId="522936807">
    <w:abstractNumId w:val="45"/>
  </w:num>
  <w:num w:numId="107" w16cid:durableId="601643025">
    <w:abstractNumId w:val="84"/>
  </w:num>
  <w:num w:numId="108" w16cid:durableId="1630238144">
    <w:abstractNumId w:val="22"/>
  </w:num>
  <w:num w:numId="109" w16cid:durableId="1351254003">
    <w:abstractNumId w:val="9"/>
  </w:num>
  <w:num w:numId="110" w16cid:durableId="377625991">
    <w:abstractNumId w:val="109"/>
  </w:num>
  <w:num w:numId="111" w16cid:durableId="1304235303">
    <w:abstractNumId w:val="71"/>
  </w:num>
  <w:num w:numId="112" w16cid:durableId="1392464368">
    <w:abstractNumId w:val="50"/>
  </w:num>
  <w:num w:numId="113" w16cid:durableId="1815609698">
    <w:abstractNumId w:val="48"/>
  </w:num>
  <w:num w:numId="114" w16cid:durableId="1658608865">
    <w:abstractNumId w:val="113"/>
  </w:num>
  <w:num w:numId="115" w16cid:durableId="244580845">
    <w:abstractNumId w:val="12"/>
  </w:num>
  <w:num w:numId="116" w16cid:durableId="1577663928">
    <w:abstractNumId w:val="76"/>
  </w:num>
  <w:num w:numId="117" w16cid:durableId="1348681330">
    <w:abstractNumId w:val="85"/>
  </w:num>
  <w:num w:numId="118" w16cid:durableId="667053399">
    <w:abstractNumId w:val="98"/>
  </w:num>
  <w:num w:numId="119" w16cid:durableId="551305334">
    <w:abstractNumId w:val="54"/>
  </w:num>
  <w:num w:numId="120" w16cid:durableId="97874316">
    <w:abstractNumId w:val="86"/>
  </w:num>
  <w:num w:numId="121" w16cid:durableId="1121536786">
    <w:abstractNumId w:val="63"/>
  </w:num>
  <w:num w:numId="122" w16cid:durableId="126241483">
    <w:abstractNumId w:val="7"/>
  </w:num>
  <w:num w:numId="123" w16cid:durableId="122039902">
    <w:abstractNumId w:val="14"/>
  </w:num>
  <w:num w:numId="124" w16cid:durableId="601454984">
    <w:abstractNumId w:val="42"/>
  </w:num>
  <w:num w:numId="125" w16cid:durableId="846208680">
    <w:abstractNumId w:val="81"/>
  </w:num>
  <w:num w:numId="126" w16cid:durableId="1000544300">
    <w:abstractNumId w:val="11"/>
  </w:num>
  <w:num w:numId="127" w16cid:durableId="1607688918">
    <w:abstractNumId w:val="74"/>
  </w:num>
  <w:num w:numId="128" w16cid:durableId="1353534511">
    <w:abstractNumId w:val="83"/>
  </w:num>
  <w:num w:numId="129" w16cid:durableId="352609523">
    <w:abstractNumId w:val="13"/>
  </w:num>
  <w:num w:numId="130" w16cid:durableId="736784084">
    <w:abstractNumId w:val="114"/>
  </w:num>
  <w:num w:numId="131" w16cid:durableId="739057108">
    <w:abstractNumId w:val="5"/>
  </w:num>
  <w:num w:numId="132" w16cid:durableId="739256966">
    <w:abstractNumId w:val="8"/>
  </w:num>
  <w:num w:numId="133" w16cid:durableId="10180665">
    <w:abstractNumId w:val="73"/>
  </w:num>
  <w:num w:numId="134" w16cid:durableId="524486733">
    <w:abstractNumId w:val="31"/>
  </w:num>
  <w:num w:numId="135" w16cid:durableId="1534225286">
    <w:abstractNumId w:val="80"/>
  </w:num>
  <w:num w:numId="136" w16cid:durableId="843859102">
    <w:abstractNumId w:val="44"/>
  </w:num>
  <w:num w:numId="137" w16cid:durableId="1414398548">
    <w:abstractNumId w:val="10"/>
  </w:num>
  <w:numIdMacAtCleanup w:val="13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0"/>
  <w:mirrorMargins/>
  <w:stylePaneFormatFilter w:val="3F21" w:allStyles="1" w:customStyles="0" w:latentStyles="0" w:stylesInUse="0" w:headingStyles="1" w:numberingStyles="0" w:tableStyles="0" w:directFormattingOnRuns="1" w:directFormattingOnParagraphs="1" w:directFormattingOnNumbering="1" w:directFormattingOnTables="1" w:clearFormatting="1" w:top3HeadingStyles="1" w:visibleStyles="0" w:alternateStyleNames="0"/>
  <w:defaultTabStop w:val="709"/>
  <w:hyphenationZone w:val="425"/>
  <w:evenAndOddHeaders/>
  <w:drawingGridHorizontalSpacing w:val="100"/>
  <w:displayHorizontalDrawingGridEvery w:val="2"/>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F2CFF"/>
    <w:rsid w:val="0000031F"/>
    <w:rsid w:val="00000325"/>
    <w:rsid w:val="00000588"/>
    <w:rsid w:val="00000B4C"/>
    <w:rsid w:val="00000C08"/>
    <w:rsid w:val="00000C5B"/>
    <w:rsid w:val="000013A4"/>
    <w:rsid w:val="000013FD"/>
    <w:rsid w:val="00001466"/>
    <w:rsid w:val="0000160C"/>
    <w:rsid w:val="0000190C"/>
    <w:rsid w:val="000019F7"/>
    <w:rsid w:val="00001A56"/>
    <w:rsid w:val="00001A8A"/>
    <w:rsid w:val="00001F3F"/>
    <w:rsid w:val="000020A2"/>
    <w:rsid w:val="000023AC"/>
    <w:rsid w:val="00002504"/>
    <w:rsid w:val="00002544"/>
    <w:rsid w:val="0000256C"/>
    <w:rsid w:val="0000258F"/>
    <w:rsid w:val="00002674"/>
    <w:rsid w:val="000027E0"/>
    <w:rsid w:val="00002854"/>
    <w:rsid w:val="00002D90"/>
    <w:rsid w:val="00002DF8"/>
    <w:rsid w:val="00003028"/>
    <w:rsid w:val="0000366E"/>
    <w:rsid w:val="00003AD7"/>
    <w:rsid w:val="00003DC4"/>
    <w:rsid w:val="00003E66"/>
    <w:rsid w:val="00003FB4"/>
    <w:rsid w:val="000044BF"/>
    <w:rsid w:val="00004640"/>
    <w:rsid w:val="000048C4"/>
    <w:rsid w:val="00004B4A"/>
    <w:rsid w:val="00004E3A"/>
    <w:rsid w:val="0000519F"/>
    <w:rsid w:val="00005375"/>
    <w:rsid w:val="00005380"/>
    <w:rsid w:val="00005696"/>
    <w:rsid w:val="00005921"/>
    <w:rsid w:val="00005AEE"/>
    <w:rsid w:val="00005CF0"/>
    <w:rsid w:val="00005DCE"/>
    <w:rsid w:val="00005F2D"/>
    <w:rsid w:val="00005F65"/>
    <w:rsid w:val="000060CE"/>
    <w:rsid w:val="00006561"/>
    <w:rsid w:val="0000664A"/>
    <w:rsid w:val="0000666B"/>
    <w:rsid w:val="00006B50"/>
    <w:rsid w:val="00006B5C"/>
    <w:rsid w:val="00007177"/>
    <w:rsid w:val="0000718A"/>
    <w:rsid w:val="0000757E"/>
    <w:rsid w:val="00007620"/>
    <w:rsid w:val="0000774E"/>
    <w:rsid w:val="0000794A"/>
    <w:rsid w:val="00007A65"/>
    <w:rsid w:val="00007B62"/>
    <w:rsid w:val="00007DE1"/>
    <w:rsid w:val="00007E6C"/>
    <w:rsid w:val="0001032A"/>
    <w:rsid w:val="00010548"/>
    <w:rsid w:val="0001098C"/>
    <w:rsid w:val="00010A3B"/>
    <w:rsid w:val="00011048"/>
    <w:rsid w:val="00011216"/>
    <w:rsid w:val="00011350"/>
    <w:rsid w:val="00011616"/>
    <w:rsid w:val="00011778"/>
    <w:rsid w:val="00011806"/>
    <w:rsid w:val="000119D7"/>
    <w:rsid w:val="00011A3F"/>
    <w:rsid w:val="00011BA1"/>
    <w:rsid w:val="00012048"/>
    <w:rsid w:val="000121B9"/>
    <w:rsid w:val="000125F2"/>
    <w:rsid w:val="0001264D"/>
    <w:rsid w:val="000129DD"/>
    <w:rsid w:val="00012B84"/>
    <w:rsid w:val="00013294"/>
    <w:rsid w:val="00013E2C"/>
    <w:rsid w:val="00013E62"/>
    <w:rsid w:val="0001401C"/>
    <w:rsid w:val="000141C7"/>
    <w:rsid w:val="000145E6"/>
    <w:rsid w:val="0001467E"/>
    <w:rsid w:val="00014AEB"/>
    <w:rsid w:val="00014AF9"/>
    <w:rsid w:val="00014EC0"/>
    <w:rsid w:val="00014F0D"/>
    <w:rsid w:val="00015448"/>
    <w:rsid w:val="00015602"/>
    <w:rsid w:val="00015D4D"/>
    <w:rsid w:val="000161B8"/>
    <w:rsid w:val="00016538"/>
    <w:rsid w:val="0001672C"/>
    <w:rsid w:val="000168B8"/>
    <w:rsid w:val="00016D49"/>
    <w:rsid w:val="000171A0"/>
    <w:rsid w:val="00017404"/>
    <w:rsid w:val="000174D6"/>
    <w:rsid w:val="00017746"/>
    <w:rsid w:val="00017E9F"/>
    <w:rsid w:val="00020127"/>
    <w:rsid w:val="00020232"/>
    <w:rsid w:val="00020271"/>
    <w:rsid w:val="00020340"/>
    <w:rsid w:val="00020550"/>
    <w:rsid w:val="00020800"/>
    <w:rsid w:val="00020C79"/>
    <w:rsid w:val="00020ED8"/>
    <w:rsid w:val="00020FC3"/>
    <w:rsid w:val="000210AC"/>
    <w:rsid w:val="000211C2"/>
    <w:rsid w:val="000213F7"/>
    <w:rsid w:val="00021562"/>
    <w:rsid w:val="00021580"/>
    <w:rsid w:val="00021909"/>
    <w:rsid w:val="000219C3"/>
    <w:rsid w:val="00021A03"/>
    <w:rsid w:val="00021A45"/>
    <w:rsid w:val="00021A92"/>
    <w:rsid w:val="00021DC9"/>
    <w:rsid w:val="00021E99"/>
    <w:rsid w:val="00021EE7"/>
    <w:rsid w:val="00022067"/>
    <w:rsid w:val="00022084"/>
    <w:rsid w:val="00022154"/>
    <w:rsid w:val="000221C1"/>
    <w:rsid w:val="000226DE"/>
    <w:rsid w:val="00022825"/>
    <w:rsid w:val="00022A38"/>
    <w:rsid w:val="00022AFD"/>
    <w:rsid w:val="00023451"/>
    <w:rsid w:val="00023782"/>
    <w:rsid w:val="00023874"/>
    <w:rsid w:val="000239B7"/>
    <w:rsid w:val="00023D83"/>
    <w:rsid w:val="00023FCC"/>
    <w:rsid w:val="0002439C"/>
    <w:rsid w:val="00024504"/>
    <w:rsid w:val="00024959"/>
    <w:rsid w:val="00024E42"/>
    <w:rsid w:val="00024F5C"/>
    <w:rsid w:val="00024FD4"/>
    <w:rsid w:val="000250C7"/>
    <w:rsid w:val="00025113"/>
    <w:rsid w:val="0002511C"/>
    <w:rsid w:val="0002517E"/>
    <w:rsid w:val="000251E1"/>
    <w:rsid w:val="000252F9"/>
    <w:rsid w:val="00025391"/>
    <w:rsid w:val="00025481"/>
    <w:rsid w:val="000256B6"/>
    <w:rsid w:val="000256F2"/>
    <w:rsid w:val="00025A60"/>
    <w:rsid w:val="00025D1F"/>
    <w:rsid w:val="00025F90"/>
    <w:rsid w:val="000261DB"/>
    <w:rsid w:val="0002639A"/>
    <w:rsid w:val="00026442"/>
    <w:rsid w:val="000265CA"/>
    <w:rsid w:val="000267CE"/>
    <w:rsid w:val="0002691C"/>
    <w:rsid w:val="00026C9B"/>
    <w:rsid w:val="000270BA"/>
    <w:rsid w:val="000271D7"/>
    <w:rsid w:val="00027293"/>
    <w:rsid w:val="000272B8"/>
    <w:rsid w:val="000272BB"/>
    <w:rsid w:val="000273AE"/>
    <w:rsid w:val="00027459"/>
    <w:rsid w:val="0002752E"/>
    <w:rsid w:val="000277DF"/>
    <w:rsid w:val="000279BE"/>
    <w:rsid w:val="00027C81"/>
    <w:rsid w:val="00027D24"/>
    <w:rsid w:val="00027D7E"/>
    <w:rsid w:val="00027FEB"/>
    <w:rsid w:val="00030035"/>
    <w:rsid w:val="00030179"/>
    <w:rsid w:val="000301E7"/>
    <w:rsid w:val="00030347"/>
    <w:rsid w:val="000304B3"/>
    <w:rsid w:val="00030596"/>
    <w:rsid w:val="000305EC"/>
    <w:rsid w:val="000307A9"/>
    <w:rsid w:val="000308DA"/>
    <w:rsid w:val="00030A25"/>
    <w:rsid w:val="00030F1E"/>
    <w:rsid w:val="00031261"/>
    <w:rsid w:val="00031779"/>
    <w:rsid w:val="00031791"/>
    <w:rsid w:val="000317AE"/>
    <w:rsid w:val="0003199C"/>
    <w:rsid w:val="00031C0B"/>
    <w:rsid w:val="00031E63"/>
    <w:rsid w:val="0003247F"/>
    <w:rsid w:val="00032599"/>
    <w:rsid w:val="0003286A"/>
    <w:rsid w:val="00032B70"/>
    <w:rsid w:val="00032F76"/>
    <w:rsid w:val="0003324D"/>
    <w:rsid w:val="000332C2"/>
    <w:rsid w:val="000333D4"/>
    <w:rsid w:val="00033404"/>
    <w:rsid w:val="0003351F"/>
    <w:rsid w:val="00033552"/>
    <w:rsid w:val="00033555"/>
    <w:rsid w:val="000338B2"/>
    <w:rsid w:val="00033969"/>
    <w:rsid w:val="00033A19"/>
    <w:rsid w:val="00033DB4"/>
    <w:rsid w:val="00033FD5"/>
    <w:rsid w:val="0003445E"/>
    <w:rsid w:val="000345C8"/>
    <w:rsid w:val="00034760"/>
    <w:rsid w:val="00034780"/>
    <w:rsid w:val="00034D50"/>
    <w:rsid w:val="00034E63"/>
    <w:rsid w:val="00034F5B"/>
    <w:rsid w:val="00035063"/>
    <w:rsid w:val="00035088"/>
    <w:rsid w:val="000351CC"/>
    <w:rsid w:val="00035231"/>
    <w:rsid w:val="000353AC"/>
    <w:rsid w:val="00035611"/>
    <w:rsid w:val="00035622"/>
    <w:rsid w:val="0003570F"/>
    <w:rsid w:val="00035A80"/>
    <w:rsid w:val="00035C8E"/>
    <w:rsid w:val="00035EB5"/>
    <w:rsid w:val="0003612D"/>
    <w:rsid w:val="0003636C"/>
    <w:rsid w:val="000363C7"/>
    <w:rsid w:val="00036A94"/>
    <w:rsid w:val="00036AF0"/>
    <w:rsid w:val="00036D29"/>
    <w:rsid w:val="00036EE9"/>
    <w:rsid w:val="00037072"/>
    <w:rsid w:val="000371C1"/>
    <w:rsid w:val="00037760"/>
    <w:rsid w:val="00037A03"/>
    <w:rsid w:val="00037B0E"/>
    <w:rsid w:val="000400FF"/>
    <w:rsid w:val="0004042B"/>
    <w:rsid w:val="000404F3"/>
    <w:rsid w:val="00040671"/>
    <w:rsid w:val="000407D9"/>
    <w:rsid w:val="000407F9"/>
    <w:rsid w:val="00040C15"/>
    <w:rsid w:val="00040C21"/>
    <w:rsid w:val="00040C8D"/>
    <w:rsid w:val="00040CF8"/>
    <w:rsid w:val="00041136"/>
    <w:rsid w:val="00041189"/>
    <w:rsid w:val="00041533"/>
    <w:rsid w:val="000416B5"/>
    <w:rsid w:val="000417C9"/>
    <w:rsid w:val="000418B9"/>
    <w:rsid w:val="000418E2"/>
    <w:rsid w:val="00041C71"/>
    <w:rsid w:val="000420A9"/>
    <w:rsid w:val="000420C3"/>
    <w:rsid w:val="000422FD"/>
    <w:rsid w:val="00042651"/>
    <w:rsid w:val="00042CA4"/>
    <w:rsid w:val="00043494"/>
    <w:rsid w:val="000437B6"/>
    <w:rsid w:val="00043F5D"/>
    <w:rsid w:val="000440AA"/>
    <w:rsid w:val="000440D4"/>
    <w:rsid w:val="0004421E"/>
    <w:rsid w:val="000446D0"/>
    <w:rsid w:val="00044829"/>
    <w:rsid w:val="0004499C"/>
    <w:rsid w:val="00044B78"/>
    <w:rsid w:val="00044BED"/>
    <w:rsid w:val="00044EE8"/>
    <w:rsid w:val="00044F1B"/>
    <w:rsid w:val="00044F3E"/>
    <w:rsid w:val="00044FC0"/>
    <w:rsid w:val="00044FD0"/>
    <w:rsid w:val="00045068"/>
    <w:rsid w:val="00045720"/>
    <w:rsid w:val="00045796"/>
    <w:rsid w:val="000457A9"/>
    <w:rsid w:val="00045AB4"/>
    <w:rsid w:val="00045F3A"/>
    <w:rsid w:val="0004621C"/>
    <w:rsid w:val="000462B6"/>
    <w:rsid w:val="000464BA"/>
    <w:rsid w:val="00046735"/>
    <w:rsid w:val="00046797"/>
    <w:rsid w:val="00046878"/>
    <w:rsid w:val="00046943"/>
    <w:rsid w:val="00046CF8"/>
    <w:rsid w:val="00046D21"/>
    <w:rsid w:val="00046E09"/>
    <w:rsid w:val="00046F60"/>
    <w:rsid w:val="00047019"/>
    <w:rsid w:val="0004722F"/>
    <w:rsid w:val="00047259"/>
    <w:rsid w:val="00047401"/>
    <w:rsid w:val="00047721"/>
    <w:rsid w:val="00047AC0"/>
    <w:rsid w:val="00047C89"/>
    <w:rsid w:val="00050069"/>
    <w:rsid w:val="000500B1"/>
    <w:rsid w:val="000503E7"/>
    <w:rsid w:val="00050477"/>
    <w:rsid w:val="00050630"/>
    <w:rsid w:val="000507DF"/>
    <w:rsid w:val="000508E6"/>
    <w:rsid w:val="0005094D"/>
    <w:rsid w:val="00050EBA"/>
    <w:rsid w:val="00051082"/>
    <w:rsid w:val="000510BD"/>
    <w:rsid w:val="00051429"/>
    <w:rsid w:val="000518DD"/>
    <w:rsid w:val="00051BCC"/>
    <w:rsid w:val="00051F2E"/>
    <w:rsid w:val="0005247F"/>
    <w:rsid w:val="0005297F"/>
    <w:rsid w:val="000529EB"/>
    <w:rsid w:val="00052B82"/>
    <w:rsid w:val="00052CC8"/>
    <w:rsid w:val="00052CDA"/>
    <w:rsid w:val="000530F1"/>
    <w:rsid w:val="00053108"/>
    <w:rsid w:val="00053202"/>
    <w:rsid w:val="00053251"/>
    <w:rsid w:val="0005354E"/>
    <w:rsid w:val="00053564"/>
    <w:rsid w:val="0005364F"/>
    <w:rsid w:val="0005392D"/>
    <w:rsid w:val="000548FF"/>
    <w:rsid w:val="00054CAA"/>
    <w:rsid w:val="00055111"/>
    <w:rsid w:val="000551F6"/>
    <w:rsid w:val="000553A4"/>
    <w:rsid w:val="00055604"/>
    <w:rsid w:val="0005593A"/>
    <w:rsid w:val="00055BE8"/>
    <w:rsid w:val="00055EAD"/>
    <w:rsid w:val="00056026"/>
    <w:rsid w:val="00056111"/>
    <w:rsid w:val="000563EB"/>
    <w:rsid w:val="00056684"/>
    <w:rsid w:val="00056A2E"/>
    <w:rsid w:val="00056BE6"/>
    <w:rsid w:val="00056E43"/>
    <w:rsid w:val="000574AE"/>
    <w:rsid w:val="00057635"/>
    <w:rsid w:val="000576BA"/>
    <w:rsid w:val="000579AD"/>
    <w:rsid w:val="00057A70"/>
    <w:rsid w:val="00057C7C"/>
    <w:rsid w:val="00057D87"/>
    <w:rsid w:val="00057F0E"/>
    <w:rsid w:val="00057F17"/>
    <w:rsid w:val="00060315"/>
    <w:rsid w:val="00060429"/>
    <w:rsid w:val="00060479"/>
    <w:rsid w:val="00060894"/>
    <w:rsid w:val="00060937"/>
    <w:rsid w:val="00060ADB"/>
    <w:rsid w:val="00060B9A"/>
    <w:rsid w:val="00060D18"/>
    <w:rsid w:val="00061019"/>
    <w:rsid w:val="00061230"/>
    <w:rsid w:val="000612BA"/>
    <w:rsid w:val="00061652"/>
    <w:rsid w:val="00061CC1"/>
    <w:rsid w:val="00061F30"/>
    <w:rsid w:val="00061F62"/>
    <w:rsid w:val="00061FDD"/>
    <w:rsid w:val="00061FE6"/>
    <w:rsid w:val="00062755"/>
    <w:rsid w:val="000627A2"/>
    <w:rsid w:val="0006293E"/>
    <w:rsid w:val="00062D27"/>
    <w:rsid w:val="0006310C"/>
    <w:rsid w:val="000634DA"/>
    <w:rsid w:val="0006350D"/>
    <w:rsid w:val="00063893"/>
    <w:rsid w:val="00063980"/>
    <w:rsid w:val="00063B19"/>
    <w:rsid w:val="00063B30"/>
    <w:rsid w:val="00063D1F"/>
    <w:rsid w:val="00064440"/>
    <w:rsid w:val="00064665"/>
    <w:rsid w:val="000648E4"/>
    <w:rsid w:val="00064CCC"/>
    <w:rsid w:val="00064E78"/>
    <w:rsid w:val="000652D8"/>
    <w:rsid w:val="00065384"/>
    <w:rsid w:val="00065B71"/>
    <w:rsid w:val="00065C3A"/>
    <w:rsid w:val="00065F2B"/>
    <w:rsid w:val="00065F2E"/>
    <w:rsid w:val="000661F8"/>
    <w:rsid w:val="0006625C"/>
    <w:rsid w:val="0006657F"/>
    <w:rsid w:val="000667F4"/>
    <w:rsid w:val="000669A3"/>
    <w:rsid w:val="00066A6D"/>
    <w:rsid w:val="00066D90"/>
    <w:rsid w:val="00066DD8"/>
    <w:rsid w:val="00067153"/>
    <w:rsid w:val="00067403"/>
    <w:rsid w:val="000675C1"/>
    <w:rsid w:val="00067A73"/>
    <w:rsid w:val="00067AAC"/>
    <w:rsid w:val="00067AD9"/>
    <w:rsid w:val="00067BF1"/>
    <w:rsid w:val="00067C1A"/>
    <w:rsid w:val="00067E47"/>
    <w:rsid w:val="000705A4"/>
    <w:rsid w:val="00070658"/>
    <w:rsid w:val="00070919"/>
    <w:rsid w:val="000709F1"/>
    <w:rsid w:val="00070B23"/>
    <w:rsid w:val="00070C01"/>
    <w:rsid w:val="00070C6B"/>
    <w:rsid w:val="00070CE7"/>
    <w:rsid w:val="000710D3"/>
    <w:rsid w:val="000711A6"/>
    <w:rsid w:val="000711E3"/>
    <w:rsid w:val="0007120C"/>
    <w:rsid w:val="00071249"/>
    <w:rsid w:val="000713E3"/>
    <w:rsid w:val="00071534"/>
    <w:rsid w:val="000717C9"/>
    <w:rsid w:val="000718DC"/>
    <w:rsid w:val="00071A86"/>
    <w:rsid w:val="00071AB5"/>
    <w:rsid w:val="00071C4A"/>
    <w:rsid w:val="00071CDC"/>
    <w:rsid w:val="00071E75"/>
    <w:rsid w:val="00071F12"/>
    <w:rsid w:val="0007286B"/>
    <w:rsid w:val="000728BC"/>
    <w:rsid w:val="00072B7A"/>
    <w:rsid w:val="00072CCB"/>
    <w:rsid w:val="000732BE"/>
    <w:rsid w:val="00073489"/>
    <w:rsid w:val="00073590"/>
    <w:rsid w:val="000737C7"/>
    <w:rsid w:val="00073938"/>
    <w:rsid w:val="00073C6D"/>
    <w:rsid w:val="00073E84"/>
    <w:rsid w:val="00073EA8"/>
    <w:rsid w:val="000742B1"/>
    <w:rsid w:val="00074356"/>
    <w:rsid w:val="000744EB"/>
    <w:rsid w:val="000748A3"/>
    <w:rsid w:val="0007492F"/>
    <w:rsid w:val="0007520C"/>
    <w:rsid w:val="000752DB"/>
    <w:rsid w:val="00075470"/>
    <w:rsid w:val="00075511"/>
    <w:rsid w:val="000755F5"/>
    <w:rsid w:val="00075603"/>
    <w:rsid w:val="000758BD"/>
    <w:rsid w:val="00075C07"/>
    <w:rsid w:val="00075E2B"/>
    <w:rsid w:val="00075FF8"/>
    <w:rsid w:val="0007624C"/>
    <w:rsid w:val="00076264"/>
    <w:rsid w:val="000764A0"/>
    <w:rsid w:val="000764DC"/>
    <w:rsid w:val="00076738"/>
    <w:rsid w:val="0007675E"/>
    <w:rsid w:val="00076B89"/>
    <w:rsid w:val="00076BD0"/>
    <w:rsid w:val="00076C29"/>
    <w:rsid w:val="00076D61"/>
    <w:rsid w:val="00076E78"/>
    <w:rsid w:val="00076EAD"/>
    <w:rsid w:val="00077104"/>
    <w:rsid w:val="00077796"/>
    <w:rsid w:val="00077D1F"/>
    <w:rsid w:val="00077D80"/>
    <w:rsid w:val="00077DBD"/>
    <w:rsid w:val="00080085"/>
    <w:rsid w:val="000805D8"/>
    <w:rsid w:val="00080A40"/>
    <w:rsid w:val="00080B8C"/>
    <w:rsid w:val="00080F0B"/>
    <w:rsid w:val="00080F4A"/>
    <w:rsid w:val="00081177"/>
    <w:rsid w:val="000813A9"/>
    <w:rsid w:val="00081743"/>
    <w:rsid w:val="0008179D"/>
    <w:rsid w:val="00081C8C"/>
    <w:rsid w:val="00081CB5"/>
    <w:rsid w:val="00081EC3"/>
    <w:rsid w:val="000820B3"/>
    <w:rsid w:val="00082459"/>
    <w:rsid w:val="0008259D"/>
    <w:rsid w:val="00082704"/>
    <w:rsid w:val="00082EC6"/>
    <w:rsid w:val="00083212"/>
    <w:rsid w:val="0008340C"/>
    <w:rsid w:val="000834A6"/>
    <w:rsid w:val="000834C6"/>
    <w:rsid w:val="00083502"/>
    <w:rsid w:val="00083B31"/>
    <w:rsid w:val="00083ED0"/>
    <w:rsid w:val="00084293"/>
    <w:rsid w:val="00084442"/>
    <w:rsid w:val="00084444"/>
    <w:rsid w:val="00084832"/>
    <w:rsid w:val="00084842"/>
    <w:rsid w:val="00084939"/>
    <w:rsid w:val="00084B23"/>
    <w:rsid w:val="00084FB4"/>
    <w:rsid w:val="000850FD"/>
    <w:rsid w:val="000855AB"/>
    <w:rsid w:val="000859B5"/>
    <w:rsid w:val="00085A2C"/>
    <w:rsid w:val="00085ED9"/>
    <w:rsid w:val="00086075"/>
    <w:rsid w:val="000860C6"/>
    <w:rsid w:val="000861CB"/>
    <w:rsid w:val="00086364"/>
    <w:rsid w:val="000866B5"/>
    <w:rsid w:val="00086888"/>
    <w:rsid w:val="00086F72"/>
    <w:rsid w:val="00086FB5"/>
    <w:rsid w:val="0008715A"/>
    <w:rsid w:val="0008760A"/>
    <w:rsid w:val="0008782E"/>
    <w:rsid w:val="00087950"/>
    <w:rsid w:val="0008796D"/>
    <w:rsid w:val="00087E8D"/>
    <w:rsid w:val="0009016A"/>
    <w:rsid w:val="0009042F"/>
    <w:rsid w:val="00090512"/>
    <w:rsid w:val="00090BF3"/>
    <w:rsid w:val="000910CE"/>
    <w:rsid w:val="000910E5"/>
    <w:rsid w:val="000911FA"/>
    <w:rsid w:val="00091347"/>
    <w:rsid w:val="00091529"/>
    <w:rsid w:val="00091639"/>
    <w:rsid w:val="00091782"/>
    <w:rsid w:val="00091846"/>
    <w:rsid w:val="000919CB"/>
    <w:rsid w:val="00091ACB"/>
    <w:rsid w:val="00091C1A"/>
    <w:rsid w:val="00091EF3"/>
    <w:rsid w:val="00091F6A"/>
    <w:rsid w:val="00092159"/>
    <w:rsid w:val="000921AB"/>
    <w:rsid w:val="000926EB"/>
    <w:rsid w:val="000927C2"/>
    <w:rsid w:val="00092CD6"/>
    <w:rsid w:val="00093187"/>
    <w:rsid w:val="000932D2"/>
    <w:rsid w:val="0009348F"/>
    <w:rsid w:val="00093983"/>
    <w:rsid w:val="00093BDB"/>
    <w:rsid w:val="00093BE7"/>
    <w:rsid w:val="00093CEA"/>
    <w:rsid w:val="00093E00"/>
    <w:rsid w:val="000941B8"/>
    <w:rsid w:val="000941E4"/>
    <w:rsid w:val="000945E4"/>
    <w:rsid w:val="00094804"/>
    <w:rsid w:val="00094A25"/>
    <w:rsid w:val="00094B09"/>
    <w:rsid w:val="00094D98"/>
    <w:rsid w:val="00094DA0"/>
    <w:rsid w:val="00094FC2"/>
    <w:rsid w:val="00095185"/>
    <w:rsid w:val="000952D2"/>
    <w:rsid w:val="00095438"/>
    <w:rsid w:val="0009563F"/>
    <w:rsid w:val="000958A3"/>
    <w:rsid w:val="000958CB"/>
    <w:rsid w:val="000958CF"/>
    <w:rsid w:val="000960D2"/>
    <w:rsid w:val="00096127"/>
    <w:rsid w:val="00096159"/>
    <w:rsid w:val="00096386"/>
    <w:rsid w:val="000970DE"/>
    <w:rsid w:val="000972C9"/>
    <w:rsid w:val="000976FA"/>
    <w:rsid w:val="00097BEE"/>
    <w:rsid w:val="00097C40"/>
    <w:rsid w:val="000A039C"/>
    <w:rsid w:val="000A071E"/>
    <w:rsid w:val="000A082A"/>
    <w:rsid w:val="000A08A6"/>
    <w:rsid w:val="000A0D38"/>
    <w:rsid w:val="000A102F"/>
    <w:rsid w:val="000A1051"/>
    <w:rsid w:val="000A1084"/>
    <w:rsid w:val="000A1113"/>
    <w:rsid w:val="000A1248"/>
    <w:rsid w:val="000A13C9"/>
    <w:rsid w:val="000A1527"/>
    <w:rsid w:val="000A1B98"/>
    <w:rsid w:val="000A1F82"/>
    <w:rsid w:val="000A2105"/>
    <w:rsid w:val="000A246C"/>
    <w:rsid w:val="000A25CA"/>
    <w:rsid w:val="000A2636"/>
    <w:rsid w:val="000A2981"/>
    <w:rsid w:val="000A3090"/>
    <w:rsid w:val="000A317B"/>
    <w:rsid w:val="000A31DA"/>
    <w:rsid w:val="000A31F9"/>
    <w:rsid w:val="000A3246"/>
    <w:rsid w:val="000A324C"/>
    <w:rsid w:val="000A36C6"/>
    <w:rsid w:val="000A36CF"/>
    <w:rsid w:val="000A388B"/>
    <w:rsid w:val="000A399E"/>
    <w:rsid w:val="000A3C64"/>
    <w:rsid w:val="000A3DD6"/>
    <w:rsid w:val="000A3E04"/>
    <w:rsid w:val="000A3FED"/>
    <w:rsid w:val="000A4064"/>
    <w:rsid w:val="000A438D"/>
    <w:rsid w:val="000A446B"/>
    <w:rsid w:val="000A472F"/>
    <w:rsid w:val="000A4AAF"/>
    <w:rsid w:val="000A4ADC"/>
    <w:rsid w:val="000A4BFF"/>
    <w:rsid w:val="000A4FF2"/>
    <w:rsid w:val="000A524B"/>
    <w:rsid w:val="000A56C9"/>
    <w:rsid w:val="000A57CF"/>
    <w:rsid w:val="000A5A5C"/>
    <w:rsid w:val="000A5E1F"/>
    <w:rsid w:val="000A5EAE"/>
    <w:rsid w:val="000A5FE6"/>
    <w:rsid w:val="000A6A3A"/>
    <w:rsid w:val="000A6A3E"/>
    <w:rsid w:val="000A6A54"/>
    <w:rsid w:val="000A6A93"/>
    <w:rsid w:val="000A6C0F"/>
    <w:rsid w:val="000A6FDB"/>
    <w:rsid w:val="000A71F7"/>
    <w:rsid w:val="000A726C"/>
    <w:rsid w:val="000A7284"/>
    <w:rsid w:val="000A746B"/>
    <w:rsid w:val="000A7753"/>
    <w:rsid w:val="000A7767"/>
    <w:rsid w:val="000A7A24"/>
    <w:rsid w:val="000A7B6E"/>
    <w:rsid w:val="000B0519"/>
    <w:rsid w:val="000B06E0"/>
    <w:rsid w:val="000B1234"/>
    <w:rsid w:val="000B123C"/>
    <w:rsid w:val="000B17CA"/>
    <w:rsid w:val="000B196D"/>
    <w:rsid w:val="000B19BF"/>
    <w:rsid w:val="000B1C61"/>
    <w:rsid w:val="000B1E40"/>
    <w:rsid w:val="000B1F5B"/>
    <w:rsid w:val="000B1F69"/>
    <w:rsid w:val="000B21B1"/>
    <w:rsid w:val="000B2374"/>
    <w:rsid w:val="000B2459"/>
    <w:rsid w:val="000B26A0"/>
    <w:rsid w:val="000B28CE"/>
    <w:rsid w:val="000B29A1"/>
    <w:rsid w:val="000B2B0F"/>
    <w:rsid w:val="000B2CF8"/>
    <w:rsid w:val="000B2EF9"/>
    <w:rsid w:val="000B30D4"/>
    <w:rsid w:val="000B32CF"/>
    <w:rsid w:val="000B331D"/>
    <w:rsid w:val="000B34F0"/>
    <w:rsid w:val="000B3542"/>
    <w:rsid w:val="000B359E"/>
    <w:rsid w:val="000B3A29"/>
    <w:rsid w:val="000B3AF0"/>
    <w:rsid w:val="000B3B29"/>
    <w:rsid w:val="000B3CEC"/>
    <w:rsid w:val="000B3D44"/>
    <w:rsid w:val="000B3FAC"/>
    <w:rsid w:val="000B4173"/>
    <w:rsid w:val="000B46A1"/>
    <w:rsid w:val="000B4844"/>
    <w:rsid w:val="000B4933"/>
    <w:rsid w:val="000B4ACA"/>
    <w:rsid w:val="000B4B00"/>
    <w:rsid w:val="000B4E7B"/>
    <w:rsid w:val="000B4FC0"/>
    <w:rsid w:val="000B515C"/>
    <w:rsid w:val="000B5308"/>
    <w:rsid w:val="000B53A0"/>
    <w:rsid w:val="000B56D8"/>
    <w:rsid w:val="000B57BB"/>
    <w:rsid w:val="000B5A2A"/>
    <w:rsid w:val="000B5F22"/>
    <w:rsid w:val="000B63C8"/>
    <w:rsid w:val="000B6485"/>
    <w:rsid w:val="000B6813"/>
    <w:rsid w:val="000B6848"/>
    <w:rsid w:val="000B68A6"/>
    <w:rsid w:val="000B69AB"/>
    <w:rsid w:val="000B6A38"/>
    <w:rsid w:val="000B71DE"/>
    <w:rsid w:val="000B7211"/>
    <w:rsid w:val="000B725D"/>
    <w:rsid w:val="000B73AA"/>
    <w:rsid w:val="000B7705"/>
    <w:rsid w:val="000B77A7"/>
    <w:rsid w:val="000B797C"/>
    <w:rsid w:val="000B7A7D"/>
    <w:rsid w:val="000B7B49"/>
    <w:rsid w:val="000B7B95"/>
    <w:rsid w:val="000B7DBB"/>
    <w:rsid w:val="000C00AE"/>
    <w:rsid w:val="000C0208"/>
    <w:rsid w:val="000C06E2"/>
    <w:rsid w:val="000C09EE"/>
    <w:rsid w:val="000C0CEA"/>
    <w:rsid w:val="000C0E75"/>
    <w:rsid w:val="000C0FF2"/>
    <w:rsid w:val="000C1318"/>
    <w:rsid w:val="000C137A"/>
    <w:rsid w:val="000C1481"/>
    <w:rsid w:val="000C1694"/>
    <w:rsid w:val="000C172E"/>
    <w:rsid w:val="000C1A5C"/>
    <w:rsid w:val="000C1AE2"/>
    <w:rsid w:val="000C1B8B"/>
    <w:rsid w:val="000C1C53"/>
    <w:rsid w:val="000C2496"/>
    <w:rsid w:val="000C24F3"/>
    <w:rsid w:val="000C252C"/>
    <w:rsid w:val="000C2CC2"/>
    <w:rsid w:val="000C2FA9"/>
    <w:rsid w:val="000C300C"/>
    <w:rsid w:val="000C3431"/>
    <w:rsid w:val="000C37C0"/>
    <w:rsid w:val="000C3846"/>
    <w:rsid w:val="000C3CA8"/>
    <w:rsid w:val="000C3DBE"/>
    <w:rsid w:val="000C3FB1"/>
    <w:rsid w:val="000C4026"/>
    <w:rsid w:val="000C4123"/>
    <w:rsid w:val="000C43D8"/>
    <w:rsid w:val="000C45AE"/>
    <w:rsid w:val="000C46C3"/>
    <w:rsid w:val="000C479F"/>
    <w:rsid w:val="000C47BA"/>
    <w:rsid w:val="000C4A01"/>
    <w:rsid w:val="000C4AB0"/>
    <w:rsid w:val="000C4B7A"/>
    <w:rsid w:val="000C596E"/>
    <w:rsid w:val="000C5A15"/>
    <w:rsid w:val="000C5B55"/>
    <w:rsid w:val="000C5E2C"/>
    <w:rsid w:val="000C6059"/>
    <w:rsid w:val="000C6092"/>
    <w:rsid w:val="000C63C2"/>
    <w:rsid w:val="000C653D"/>
    <w:rsid w:val="000C679B"/>
    <w:rsid w:val="000C6955"/>
    <w:rsid w:val="000C6C36"/>
    <w:rsid w:val="000C6C75"/>
    <w:rsid w:val="000C6DB6"/>
    <w:rsid w:val="000C708D"/>
    <w:rsid w:val="000C7110"/>
    <w:rsid w:val="000C7222"/>
    <w:rsid w:val="000C7254"/>
    <w:rsid w:val="000C7459"/>
    <w:rsid w:val="000C765D"/>
    <w:rsid w:val="000C79AD"/>
    <w:rsid w:val="000C79AE"/>
    <w:rsid w:val="000C7A60"/>
    <w:rsid w:val="000D0194"/>
    <w:rsid w:val="000D0274"/>
    <w:rsid w:val="000D02B1"/>
    <w:rsid w:val="000D0734"/>
    <w:rsid w:val="000D0D61"/>
    <w:rsid w:val="000D0DF5"/>
    <w:rsid w:val="000D0E8D"/>
    <w:rsid w:val="000D0F76"/>
    <w:rsid w:val="000D13DA"/>
    <w:rsid w:val="000D185A"/>
    <w:rsid w:val="000D18A7"/>
    <w:rsid w:val="000D197B"/>
    <w:rsid w:val="000D1CE6"/>
    <w:rsid w:val="000D1E6D"/>
    <w:rsid w:val="000D25B0"/>
    <w:rsid w:val="000D2619"/>
    <w:rsid w:val="000D27E5"/>
    <w:rsid w:val="000D293B"/>
    <w:rsid w:val="000D298A"/>
    <w:rsid w:val="000D29DC"/>
    <w:rsid w:val="000D2B7B"/>
    <w:rsid w:val="000D3025"/>
    <w:rsid w:val="000D3190"/>
    <w:rsid w:val="000D36D6"/>
    <w:rsid w:val="000D38EA"/>
    <w:rsid w:val="000D3DA7"/>
    <w:rsid w:val="000D4054"/>
    <w:rsid w:val="000D4334"/>
    <w:rsid w:val="000D4364"/>
    <w:rsid w:val="000D4714"/>
    <w:rsid w:val="000D4A22"/>
    <w:rsid w:val="000D4A39"/>
    <w:rsid w:val="000D4E26"/>
    <w:rsid w:val="000D52CB"/>
    <w:rsid w:val="000D53C3"/>
    <w:rsid w:val="000D54B2"/>
    <w:rsid w:val="000D554E"/>
    <w:rsid w:val="000D57A2"/>
    <w:rsid w:val="000D5A32"/>
    <w:rsid w:val="000D5AB7"/>
    <w:rsid w:val="000D5E55"/>
    <w:rsid w:val="000D606A"/>
    <w:rsid w:val="000D624D"/>
    <w:rsid w:val="000D6329"/>
    <w:rsid w:val="000D6719"/>
    <w:rsid w:val="000D6798"/>
    <w:rsid w:val="000D6949"/>
    <w:rsid w:val="000D6B0D"/>
    <w:rsid w:val="000D6B20"/>
    <w:rsid w:val="000D6D85"/>
    <w:rsid w:val="000D6EA9"/>
    <w:rsid w:val="000D6EAB"/>
    <w:rsid w:val="000D6F45"/>
    <w:rsid w:val="000D6F78"/>
    <w:rsid w:val="000D73AE"/>
    <w:rsid w:val="000D742B"/>
    <w:rsid w:val="000D74D2"/>
    <w:rsid w:val="000D7710"/>
    <w:rsid w:val="000D793E"/>
    <w:rsid w:val="000D7A38"/>
    <w:rsid w:val="000D7FE2"/>
    <w:rsid w:val="000E02E5"/>
    <w:rsid w:val="000E03DC"/>
    <w:rsid w:val="000E07B0"/>
    <w:rsid w:val="000E083C"/>
    <w:rsid w:val="000E0A24"/>
    <w:rsid w:val="000E0A67"/>
    <w:rsid w:val="000E0A79"/>
    <w:rsid w:val="000E0C00"/>
    <w:rsid w:val="000E0E18"/>
    <w:rsid w:val="000E11B0"/>
    <w:rsid w:val="000E1249"/>
    <w:rsid w:val="000E12EC"/>
    <w:rsid w:val="000E15BE"/>
    <w:rsid w:val="000E1810"/>
    <w:rsid w:val="000E181B"/>
    <w:rsid w:val="000E186E"/>
    <w:rsid w:val="000E1DF3"/>
    <w:rsid w:val="000E1F72"/>
    <w:rsid w:val="000E2007"/>
    <w:rsid w:val="000E2082"/>
    <w:rsid w:val="000E2326"/>
    <w:rsid w:val="000E2A2D"/>
    <w:rsid w:val="000E2A40"/>
    <w:rsid w:val="000E2FAC"/>
    <w:rsid w:val="000E34EF"/>
    <w:rsid w:val="000E35E7"/>
    <w:rsid w:val="000E3730"/>
    <w:rsid w:val="000E3748"/>
    <w:rsid w:val="000E3E6A"/>
    <w:rsid w:val="000E430D"/>
    <w:rsid w:val="000E460D"/>
    <w:rsid w:val="000E477F"/>
    <w:rsid w:val="000E479E"/>
    <w:rsid w:val="000E4810"/>
    <w:rsid w:val="000E4BAD"/>
    <w:rsid w:val="000E4DB1"/>
    <w:rsid w:val="000E4FAE"/>
    <w:rsid w:val="000E5121"/>
    <w:rsid w:val="000E5369"/>
    <w:rsid w:val="000E5555"/>
    <w:rsid w:val="000E57E5"/>
    <w:rsid w:val="000E5871"/>
    <w:rsid w:val="000E5913"/>
    <w:rsid w:val="000E5AC4"/>
    <w:rsid w:val="000E5C6A"/>
    <w:rsid w:val="000E5EBD"/>
    <w:rsid w:val="000E5FB7"/>
    <w:rsid w:val="000E60A3"/>
    <w:rsid w:val="000E6203"/>
    <w:rsid w:val="000E6389"/>
    <w:rsid w:val="000E6454"/>
    <w:rsid w:val="000E6501"/>
    <w:rsid w:val="000E67AC"/>
    <w:rsid w:val="000E68DC"/>
    <w:rsid w:val="000E6A27"/>
    <w:rsid w:val="000E6D4A"/>
    <w:rsid w:val="000E6E82"/>
    <w:rsid w:val="000E6EE5"/>
    <w:rsid w:val="000E6EEA"/>
    <w:rsid w:val="000E7048"/>
    <w:rsid w:val="000E7089"/>
    <w:rsid w:val="000E7133"/>
    <w:rsid w:val="000E7134"/>
    <w:rsid w:val="000E7327"/>
    <w:rsid w:val="000E74CF"/>
    <w:rsid w:val="000E7A9D"/>
    <w:rsid w:val="000E7BEA"/>
    <w:rsid w:val="000E7E39"/>
    <w:rsid w:val="000F0252"/>
    <w:rsid w:val="000F0882"/>
    <w:rsid w:val="000F10D4"/>
    <w:rsid w:val="000F1184"/>
    <w:rsid w:val="000F11AA"/>
    <w:rsid w:val="000F15CC"/>
    <w:rsid w:val="000F1661"/>
    <w:rsid w:val="000F1985"/>
    <w:rsid w:val="000F1A2A"/>
    <w:rsid w:val="000F1B50"/>
    <w:rsid w:val="000F1D89"/>
    <w:rsid w:val="000F1D9B"/>
    <w:rsid w:val="000F1EE5"/>
    <w:rsid w:val="000F1FAC"/>
    <w:rsid w:val="000F236D"/>
    <w:rsid w:val="000F3055"/>
    <w:rsid w:val="000F31A2"/>
    <w:rsid w:val="000F369E"/>
    <w:rsid w:val="000F39C6"/>
    <w:rsid w:val="000F3B97"/>
    <w:rsid w:val="000F3C50"/>
    <w:rsid w:val="000F3CAC"/>
    <w:rsid w:val="000F3F99"/>
    <w:rsid w:val="000F4127"/>
    <w:rsid w:val="000F41F0"/>
    <w:rsid w:val="000F4297"/>
    <w:rsid w:val="000F44B1"/>
    <w:rsid w:val="000F44C6"/>
    <w:rsid w:val="000F44D0"/>
    <w:rsid w:val="000F4733"/>
    <w:rsid w:val="000F4A7B"/>
    <w:rsid w:val="000F4E9B"/>
    <w:rsid w:val="000F4E9D"/>
    <w:rsid w:val="000F507E"/>
    <w:rsid w:val="000F5445"/>
    <w:rsid w:val="000F559A"/>
    <w:rsid w:val="000F5C53"/>
    <w:rsid w:val="000F5DF1"/>
    <w:rsid w:val="000F607A"/>
    <w:rsid w:val="000F61E0"/>
    <w:rsid w:val="000F625D"/>
    <w:rsid w:val="000F627E"/>
    <w:rsid w:val="000F646E"/>
    <w:rsid w:val="000F6F4B"/>
    <w:rsid w:val="000F6FB0"/>
    <w:rsid w:val="000F7220"/>
    <w:rsid w:val="000F72A7"/>
    <w:rsid w:val="000F77C6"/>
    <w:rsid w:val="000F79A9"/>
    <w:rsid w:val="000F7E39"/>
    <w:rsid w:val="000F7FA5"/>
    <w:rsid w:val="001007C5"/>
    <w:rsid w:val="0010083A"/>
    <w:rsid w:val="001009CA"/>
    <w:rsid w:val="001009E8"/>
    <w:rsid w:val="00100B3E"/>
    <w:rsid w:val="00100CF3"/>
    <w:rsid w:val="00100E12"/>
    <w:rsid w:val="001012C2"/>
    <w:rsid w:val="001016A3"/>
    <w:rsid w:val="00101AD6"/>
    <w:rsid w:val="00102305"/>
    <w:rsid w:val="00102454"/>
    <w:rsid w:val="00102519"/>
    <w:rsid w:val="00102632"/>
    <w:rsid w:val="00102711"/>
    <w:rsid w:val="001027B2"/>
    <w:rsid w:val="00102949"/>
    <w:rsid w:val="001029EA"/>
    <w:rsid w:val="00102F0D"/>
    <w:rsid w:val="001033BA"/>
    <w:rsid w:val="001033FD"/>
    <w:rsid w:val="0010378B"/>
    <w:rsid w:val="001037B2"/>
    <w:rsid w:val="00103B65"/>
    <w:rsid w:val="00103CE6"/>
    <w:rsid w:val="00103D4C"/>
    <w:rsid w:val="00103D6C"/>
    <w:rsid w:val="00103DB8"/>
    <w:rsid w:val="00103F65"/>
    <w:rsid w:val="00104164"/>
    <w:rsid w:val="001043F2"/>
    <w:rsid w:val="00104763"/>
    <w:rsid w:val="00104AFA"/>
    <w:rsid w:val="00104DB9"/>
    <w:rsid w:val="00104E84"/>
    <w:rsid w:val="001052C9"/>
    <w:rsid w:val="0010535F"/>
    <w:rsid w:val="001059E2"/>
    <w:rsid w:val="00105B34"/>
    <w:rsid w:val="00105BB6"/>
    <w:rsid w:val="00105BC9"/>
    <w:rsid w:val="00105CBA"/>
    <w:rsid w:val="00105E49"/>
    <w:rsid w:val="00105E8C"/>
    <w:rsid w:val="001063C6"/>
    <w:rsid w:val="00106533"/>
    <w:rsid w:val="001066AE"/>
    <w:rsid w:val="0010689D"/>
    <w:rsid w:val="00106952"/>
    <w:rsid w:val="0010721E"/>
    <w:rsid w:val="001073AE"/>
    <w:rsid w:val="0010769A"/>
    <w:rsid w:val="00107778"/>
    <w:rsid w:val="00107A85"/>
    <w:rsid w:val="00107AE6"/>
    <w:rsid w:val="00107DFC"/>
    <w:rsid w:val="00110109"/>
    <w:rsid w:val="00110A4E"/>
    <w:rsid w:val="00110BD9"/>
    <w:rsid w:val="00110D91"/>
    <w:rsid w:val="001110A2"/>
    <w:rsid w:val="00111178"/>
    <w:rsid w:val="001115BD"/>
    <w:rsid w:val="00111623"/>
    <w:rsid w:val="001116BC"/>
    <w:rsid w:val="00111902"/>
    <w:rsid w:val="00111C76"/>
    <w:rsid w:val="00111FC8"/>
    <w:rsid w:val="001123A2"/>
    <w:rsid w:val="001123F9"/>
    <w:rsid w:val="00112825"/>
    <w:rsid w:val="00112910"/>
    <w:rsid w:val="00112928"/>
    <w:rsid w:val="001129C6"/>
    <w:rsid w:val="00112ABB"/>
    <w:rsid w:val="00112CDB"/>
    <w:rsid w:val="00112DDA"/>
    <w:rsid w:val="00112EB1"/>
    <w:rsid w:val="00112F75"/>
    <w:rsid w:val="00113162"/>
    <w:rsid w:val="00113227"/>
    <w:rsid w:val="00113264"/>
    <w:rsid w:val="0011362E"/>
    <w:rsid w:val="00113B5B"/>
    <w:rsid w:val="00113BBF"/>
    <w:rsid w:val="00113D4D"/>
    <w:rsid w:val="00113EC8"/>
    <w:rsid w:val="0011407E"/>
    <w:rsid w:val="00114094"/>
    <w:rsid w:val="001143A2"/>
    <w:rsid w:val="001147FA"/>
    <w:rsid w:val="00114A6C"/>
    <w:rsid w:val="00114C71"/>
    <w:rsid w:val="00114CF0"/>
    <w:rsid w:val="00114D1E"/>
    <w:rsid w:val="00114E67"/>
    <w:rsid w:val="00114EA5"/>
    <w:rsid w:val="0011566C"/>
    <w:rsid w:val="00115CCB"/>
    <w:rsid w:val="00115DF1"/>
    <w:rsid w:val="00115DFC"/>
    <w:rsid w:val="00115F53"/>
    <w:rsid w:val="001160D3"/>
    <w:rsid w:val="00116115"/>
    <w:rsid w:val="0011616F"/>
    <w:rsid w:val="00116219"/>
    <w:rsid w:val="0011623F"/>
    <w:rsid w:val="00116244"/>
    <w:rsid w:val="0011636D"/>
    <w:rsid w:val="001165A7"/>
    <w:rsid w:val="001165F6"/>
    <w:rsid w:val="0011693D"/>
    <w:rsid w:val="001169CF"/>
    <w:rsid w:val="00116BDA"/>
    <w:rsid w:val="00116DA3"/>
    <w:rsid w:val="00117065"/>
    <w:rsid w:val="00117193"/>
    <w:rsid w:val="001177B5"/>
    <w:rsid w:val="001178A2"/>
    <w:rsid w:val="0011790A"/>
    <w:rsid w:val="00117AAB"/>
    <w:rsid w:val="00117B66"/>
    <w:rsid w:val="00117D0F"/>
    <w:rsid w:val="0012068C"/>
    <w:rsid w:val="00120910"/>
    <w:rsid w:val="00120C78"/>
    <w:rsid w:val="00121105"/>
    <w:rsid w:val="001212C6"/>
    <w:rsid w:val="00121349"/>
    <w:rsid w:val="00121580"/>
    <w:rsid w:val="0012175D"/>
    <w:rsid w:val="00121898"/>
    <w:rsid w:val="00121CFE"/>
    <w:rsid w:val="001223E8"/>
    <w:rsid w:val="001229E3"/>
    <w:rsid w:val="00122AD0"/>
    <w:rsid w:val="00122BF4"/>
    <w:rsid w:val="00122C91"/>
    <w:rsid w:val="00122CA9"/>
    <w:rsid w:val="00122FAC"/>
    <w:rsid w:val="00123019"/>
    <w:rsid w:val="0012341D"/>
    <w:rsid w:val="0012341E"/>
    <w:rsid w:val="00123566"/>
    <w:rsid w:val="001237C5"/>
    <w:rsid w:val="00123887"/>
    <w:rsid w:val="00123A23"/>
    <w:rsid w:val="00123DBD"/>
    <w:rsid w:val="001240DB"/>
    <w:rsid w:val="0012433A"/>
    <w:rsid w:val="0012437F"/>
    <w:rsid w:val="00124427"/>
    <w:rsid w:val="00124654"/>
    <w:rsid w:val="0012473E"/>
    <w:rsid w:val="001247AE"/>
    <w:rsid w:val="00124814"/>
    <w:rsid w:val="00124A66"/>
    <w:rsid w:val="00124D60"/>
    <w:rsid w:val="00124FA1"/>
    <w:rsid w:val="0012500A"/>
    <w:rsid w:val="00125471"/>
    <w:rsid w:val="00125598"/>
    <w:rsid w:val="0012585F"/>
    <w:rsid w:val="00125B18"/>
    <w:rsid w:val="00125BAE"/>
    <w:rsid w:val="00125CE6"/>
    <w:rsid w:val="00125E23"/>
    <w:rsid w:val="00125E3E"/>
    <w:rsid w:val="00125E5A"/>
    <w:rsid w:val="00125F4F"/>
    <w:rsid w:val="001264A8"/>
    <w:rsid w:val="001266B4"/>
    <w:rsid w:val="00126857"/>
    <w:rsid w:val="00126A9E"/>
    <w:rsid w:val="00126AFF"/>
    <w:rsid w:val="00126B0A"/>
    <w:rsid w:val="00126B75"/>
    <w:rsid w:val="00126C85"/>
    <w:rsid w:val="00126F27"/>
    <w:rsid w:val="001278ED"/>
    <w:rsid w:val="001278FB"/>
    <w:rsid w:val="00127A08"/>
    <w:rsid w:val="00130281"/>
    <w:rsid w:val="0013034B"/>
    <w:rsid w:val="001306A6"/>
    <w:rsid w:val="001306C1"/>
    <w:rsid w:val="0013084A"/>
    <w:rsid w:val="00130915"/>
    <w:rsid w:val="00130AA9"/>
    <w:rsid w:val="0013132E"/>
    <w:rsid w:val="00131379"/>
    <w:rsid w:val="001313EC"/>
    <w:rsid w:val="001315FE"/>
    <w:rsid w:val="001316A9"/>
    <w:rsid w:val="00131A6F"/>
    <w:rsid w:val="00131EBC"/>
    <w:rsid w:val="00131F04"/>
    <w:rsid w:val="001320FF"/>
    <w:rsid w:val="001321BA"/>
    <w:rsid w:val="001323AD"/>
    <w:rsid w:val="001324BE"/>
    <w:rsid w:val="00132527"/>
    <w:rsid w:val="00132715"/>
    <w:rsid w:val="0013271C"/>
    <w:rsid w:val="00132848"/>
    <w:rsid w:val="00132AA4"/>
    <w:rsid w:val="00132BAF"/>
    <w:rsid w:val="0013312F"/>
    <w:rsid w:val="0013319D"/>
    <w:rsid w:val="0013357F"/>
    <w:rsid w:val="001335AA"/>
    <w:rsid w:val="0013367E"/>
    <w:rsid w:val="00133B22"/>
    <w:rsid w:val="00133EBC"/>
    <w:rsid w:val="00133F88"/>
    <w:rsid w:val="00133F94"/>
    <w:rsid w:val="0013407F"/>
    <w:rsid w:val="001340FF"/>
    <w:rsid w:val="0013411A"/>
    <w:rsid w:val="001345FE"/>
    <w:rsid w:val="00134692"/>
    <w:rsid w:val="001348E2"/>
    <w:rsid w:val="00134D4D"/>
    <w:rsid w:val="00134DBE"/>
    <w:rsid w:val="00134E7F"/>
    <w:rsid w:val="00134EFB"/>
    <w:rsid w:val="00135065"/>
    <w:rsid w:val="001350B9"/>
    <w:rsid w:val="0013534A"/>
    <w:rsid w:val="001356C8"/>
    <w:rsid w:val="00135D57"/>
    <w:rsid w:val="001360E3"/>
    <w:rsid w:val="00136289"/>
    <w:rsid w:val="00136378"/>
    <w:rsid w:val="00136652"/>
    <w:rsid w:val="00136721"/>
    <w:rsid w:val="00136CE0"/>
    <w:rsid w:val="00136FB0"/>
    <w:rsid w:val="0013701B"/>
    <w:rsid w:val="001371F5"/>
    <w:rsid w:val="00137204"/>
    <w:rsid w:val="00137BC6"/>
    <w:rsid w:val="00137D49"/>
    <w:rsid w:val="00137E37"/>
    <w:rsid w:val="00137EA1"/>
    <w:rsid w:val="0014022C"/>
    <w:rsid w:val="0014035C"/>
    <w:rsid w:val="00140425"/>
    <w:rsid w:val="00140494"/>
    <w:rsid w:val="0014067D"/>
    <w:rsid w:val="00140D24"/>
    <w:rsid w:val="0014126A"/>
    <w:rsid w:val="00141280"/>
    <w:rsid w:val="00141375"/>
    <w:rsid w:val="001418DC"/>
    <w:rsid w:val="00141A5B"/>
    <w:rsid w:val="00141DEA"/>
    <w:rsid w:val="00141E80"/>
    <w:rsid w:val="00141F0A"/>
    <w:rsid w:val="001425CF"/>
    <w:rsid w:val="0014275E"/>
    <w:rsid w:val="00142817"/>
    <w:rsid w:val="00142B8F"/>
    <w:rsid w:val="00142C0A"/>
    <w:rsid w:val="00143736"/>
    <w:rsid w:val="00143753"/>
    <w:rsid w:val="001437ED"/>
    <w:rsid w:val="001437EF"/>
    <w:rsid w:val="001437F7"/>
    <w:rsid w:val="001438A0"/>
    <w:rsid w:val="001438E1"/>
    <w:rsid w:val="00143A90"/>
    <w:rsid w:val="00143FE3"/>
    <w:rsid w:val="00144035"/>
    <w:rsid w:val="0014404B"/>
    <w:rsid w:val="00144498"/>
    <w:rsid w:val="00144736"/>
    <w:rsid w:val="0014565A"/>
    <w:rsid w:val="0014571F"/>
    <w:rsid w:val="001458A8"/>
    <w:rsid w:val="0014590A"/>
    <w:rsid w:val="00145EEA"/>
    <w:rsid w:val="00145F96"/>
    <w:rsid w:val="00146000"/>
    <w:rsid w:val="00146652"/>
    <w:rsid w:val="0014675B"/>
    <w:rsid w:val="001467BE"/>
    <w:rsid w:val="0014683F"/>
    <w:rsid w:val="00146882"/>
    <w:rsid w:val="00146C1C"/>
    <w:rsid w:val="00146D04"/>
    <w:rsid w:val="00146D7D"/>
    <w:rsid w:val="00146F92"/>
    <w:rsid w:val="00146F9A"/>
    <w:rsid w:val="00147122"/>
    <w:rsid w:val="001473B6"/>
    <w:rsid w:val="001474FB"/>
    <w:rsid w:val="00147B96"/>
    <w:rsid w:val="00147D71"/>
    <w:rsid w:val="001501C3"/>
    <w:rsid w:val="001502BB"/>
    <w:rsid w:val="00150471"/>
    <w:rsid w:val="00150C8B"/>
    <w:rsid w:val="00151621"/>
    <w:rsid w:val="00151B29"/>
    <w:rsid w:val="00151BB9"/>
    <w:rsid w:val="00151DD9"/>
    <w:rsid w:val="00151F80"/>
    <w:rsid w:val="001520E4"/>
    <w:rsid w:val="00152332"/>
    <w:rsid w:val="001525C3"/>
    <w:rsid w:val="00152A40"/>
    <w:rsid w:val="00152A7F"/>
    <w:rsid w:val="00152CAF"/>
    <w:rsid w:val="00152CC0"/>
    <w:rsid w:val="00152E75"/>
    <w:rsid w:val="001532CB"/>
    <w:rsid w:val="001536B1"/>
    <w:rsid w:val="0015385A"/>
    <w:rsid w:val="0015390D"/>
    <w:rsid w:val="00154021"/>
    <w:rsid w:val="0015411C"/>
    <w:rsid w:val="001541B5"/>
    <w:rsid w:val="00154499"/>
    <w:rsid w:val="0015453B"/>
    <w:rsid w:val="001547DE"/>
    <w:rsid w:val="00154848"/>
    <w:rsid w:val="001548F9"/>
    <w:rsid w:val="00154931"/>
    <w:rsid w:val="00154D83"/>
    <w:rsid w:val="001550AE"/>
    <w:rsid w:val="0015513D"/>
    <w:rsid w:val="001551B4"/>
    <w:rsid w:val="001554BB"/>
    <w:rsid w:val="00155677"/>
    <w:rsid w:val="001556BE"/>
    <w:rsid w:val="00155718"/>
    <w:rsid w:val="001558F1"/>
    <w:rsid w:val="00155992"/>
    <w:rsid w:val="0015599C"/>
    <w:rsid w:val="00155A47"/>
    <w:rsid w:val="00155B4A"/>
    <w:rsid w:val="00155B7C"/>
    <w:rsid w:val="00155B83"/>
    <w:rsid w:val="00155C26"/>
    <w:rsid w:val="00155EBC"/>
    <w:rsid w:val="00156044"/>
    <w:rsid w:val="00156187"/>
    <w:rsid w:val="001562C3"/>
    <w:rsid w:val="001563A7"/>
    <w:rsid w:val="001568D6"/>
    <w:rsid w:val="00156D20"/>
    <w:rsid w:val="00156E4A"/>
    <w:rsid w:val="0015703C"/>
    <w:rsid w:val="00157054"/>
    <w:rsid w:val="0015718E"/>
    <w:rsid w:val="00157228"/>
    <w:rsid w:val="001573AB"/>
    <w:rsid w:val="00157555"/>
    <w:rsid w:val="001577E4"/>
    <w:rsid w:val="001579A3"/>
    <w:rsid w:val="00157A3C"/>
    <w:rsid w:val="00157ECF"/>
    <w:rsid w:val="00160687"/>
    <w:rsid w:val="0016075F"/>
    <w:rsid w:val="00160775"/>
    <w:rsid w:val="0016090E"/>
    <w:rsid w:val="001609DB"/>
    <w:rsid w:val="00160F76"/>
    <w:rsid w:val="00160F84"/>
    <w:rsid w:val="00161050"/>
    <w:rsid w:val="001611E5"/>
    <w:rsid w:val="00161378"/>
    <w:rsid w:val="0016156A"/>
    <w:rsid w:val="001615D5"/>
    <w:rsid w:val="00161771"/>
    <w:rsid w:val="001618A6"/>
    <w:rsid w:val="00161A80"/>
    <w:rsid w:val="00161B14"/>
    <w:rsid w:val="00161B34"/>
    <w:rsid w:val="00161CCE"/>
    <w:rsid w:val="00161CD2"/>
    <w:rsid w:val="00161E74"/>
    <w:rsid w:val="0016200E"/>
    <w:rsid w:val="00162166"/>
    <w:rsid w:val="0016221D"/>
    <w:rsid w:val="001622FD"/>
    <w:rsid w:val="0016234C"/>
    <w:rsid w:val="0016252E"/>
    <w:rsid w:val="00162682"/>
    <w:rsid w:val="00162C64"/>
    <w:rsid w:val="00162DBF"/>
    <w:rsid w:val="00162E3C"/>
    <w:rsid w:val="00162E95"/>
    <w:rsid w:val="00162FE4"/>
    <w:rsid w:val="00163189"/>
    <w:rsid w:val="001632F9"/>
    <w:rsid w:val="001638F2"/>
    <w:rsid w:val="0016390C"/>
    <w:rsid w:val="00163E55"/>
    <w:rsid w:val="00163F58"/>
    <w:rsid w:val="001641BB"/>
    <w:rsid w:val="001643B8"/>
    <w:rsid w:val="001646D9"/>
    <w:rsid w:val="001648D1"/>
    <w:rsid w:val="00164926"/>
    <w:rsid w:val="00164935"/>
    <w:rsid w:val="001649B0"/>
    <w:rsid w:val="001649FD"/>
    <w:rsid w:val="00164CA6"/>
    <w:rsid w:val="00165108"/>
    <w:rsid w:val="00165417"/>
    <w:rsid w:val="00165671"/>
    <w:rsid w:val="00165854"/>
    <w:rsid w:val="00165A36"/>
    <w:rsid w:val="00165BB5"/>
    <w:rsid w:val="00165C4D"/>
    <w:rsid w:val="00165E9F"/>
    <w:rsid w:val="00166151"/>
    <w:rsid w:val="00166583"/>
    <w:rsid w:val="0016659C"/>
    <w:rsid w:val="0016669C"/>
    <w:rsid w:val="0016683A"/>
    <w:rsid w:val="0016696A"/>
    <w:rsid w:val="0016698B"/>
    <w:rsid w:val="00166CC2"/>
    <w:rsid w:val="00166D50"/>
    <w:rsid w:val="00166E20"/>
    <w:rsid w:val="001673E9"/>
    <w:rsid w:val="0016747D"/>
    <w:rsid w:val="00167865"/>
    <w:rsid w:val="00167ABC"/>
    <w:rsid w:val="00167AC0"/>
    <w:rsid w:val="00167CB2"/>
    <w:rsid w:val="00167F09"/>
    <w:rsid w:val="00170011"/>
    <w:rsid w:val="001700BE"/>
    <w:rsid w:val="00170340"/>
    <w:rsid w:val="001703F4"/>
    <w:rsid w:val="001704D6"/>
    <w:rsid w:val="001704E8"/>
    <w:rsid w:val="001708D7"/>
    <w:rsid w:val="00170937"/>
    <w:rsid w:val="00170A43"/>
    <w:rsid w:val="00170BA0"/>
    <w:rsid w:val="00171608"/>
    <w:rsid w:val="00171BEE"/>
    <w:rsid w:val="00171CC1"/>
    <w:rsid w:val="00171DBC"/>
    <w:rsid w:val="00172201"/>
    <w:rsid w:val="0017220D"/>
    <w:rsid w:val="001729B5"/>
    <w:rsid w:val="00173088"/>
    <w:rsid w:val="001736CD"/>
    <w:rsid w:val="001736E2"/>
    <w:rsid w:val="0017374F"/>
    <w:rsid w:val="00173AF5"/>
    <w:rsid w:val="001740B0"/>
    <w:rsid w:val="00174379"/>
    <w:rsid w:val="001748C1"/>
    <w:rsid w:val="00174AAE"/>
    <w:rsid w:val="001750D6"/>
    <w:rsid w:val="0017515E"/>
    <w:rsid w:val="001752A0"/>
    <w:rsid w:val="00175362"/>
    <w:rsid w:val="0017554D"/>
    <w:rsid w:val="0017576C"/>
    <w:rsid w:val="0017586D"/>
    <w:rsid w:val="00176444"/>
    <w:rsid w:val="00176B31"/>
    <w:rsid w:val="00176BDC"/>
    <w:rsid w:val="00176D1B"/>
    <w:rsid w:val="00176F42"/>
    <w:rsid w:val="00176FB6"/>
    <w:rsid w:val="00177218"/>
    <w:rsid w:val="001776C8"/>
    <w:rsid w:val="0017775C"/>
    <w:rsid w:val="001778D6"/>
    <w:rsid w:val="00177B05"/>
    <w:rsid w:val="00177B2A"/>
    <w:rsid w:val="00177F6E"/>
    <w:rsid w:val="00180084"/>
    <w:rsid w:val="00180416"/>
    <w:rsid w:val="00180679"/>
    <w:rsid w:val="001809F9"/>
    <w:rsid w:val="00180DFD"/>
    <w:rsid w:val="0018108C"/>
    <w:rsid w:val="001815B6"/>
    <w:rsid w:val="001817AB"/>
    <w:rsid w:val="00181A19"/>
    <w:rsid w:val="00181E01"/>
    <w:rsid w:val="00181E53"/>
    <w:rsid w:val="00181FA2"/>
    <w:rsid w:val="001826FE"/>
    <w:rsid w:val="00182728"/>
    <w:rsid w:val="00182B0E"/>
    <w:rsid w:val="00182B51"/>
    <w:rsid w:val="00182C00"/>
    <w:rsid w:val="00182CD8"/>
    <w:rsid w:val="00182D52"/>
    <w:rsid w:val="00182D8D"/>
    <w:rsid w:val="00182ECE"/>
    <w:rsid w:val="00182FB7"/>
    <w:rsid w:val="00183179"/>
    <w:rsid w:val="001833E0"/>
    <w:rsid w:val="0018356B"/>
    <w:rsid w:val="001837AF"/>
    <w:rsid w:val="00183CDC"/>
    <w:rsid w:val="00183E69"/>
    <w:rsid w:val="0018446C"/>
    <w:rsid w:val="001845B9"/>
    <w:rsid w:val="001845E5"/>
    <w:rsid w:val="00184674"/>
    <w:rsid w:val="0018490A"/>
    <w:rsid w:val="00184BA4"/>
    <w:rsid w:val="00184EFC"/>
    <w:rsid w:val="0018522D"/>
    <w:rsid w:val="00185381"/>
    <w:rsid w:val="00185594"/>
    <w:rsid w:val="001855A1"/>
    <w:rsid w:val="001855EF"/>
    <w:rsid w:val="0018595F"/>
    <w:rsid w:val="00185969"/>
    <w:rsid w:val="00185A9C"/>
    <w:rsid w:val="00185C73"/>
    <w:rsid w:val="00185EFF"/>
    <w:rsid w:val="00186451"/>
    <w:rsid w:val="001866BB"/>
    <w:rsid w:val="00186700"/>
    <w:rsid w:val="00186A67"/>
    <w:rsid w:val="00186A7E"/>
    <w:rsid w:val="00186B6E"/>
    <w:rsid w:val="00186BE6"/>
    <w:rsid w:val="001877AB"/>
    <w:rsid w:val="00187E32"/>
    <w:rsid w:val="0019005E"/>
    <w:rsid w:val="00190286"/>
    <w:rsid w:val="001904E9"/>
    <w:rsid w:val="001906C4"/>
    <w:rsid w:val="001907BF"/>
    <w:rsid w:val="001907F9"/>
    <w:rsid w:val="001909A2"/>
    <w:rsid w:val="00190F84"/>
    <w:rsid w:val="001910ED"/>
    <w:rsid w:val="0019112E"/>
    <w:rsid w:val="001911C7"/>
    <w:rsid w:val="00191385"/>
    <w:rsid w:val="0019154E"/>
    <w:rsid w:val="0019155A"/>
    <w:rsid w:val="0019188B"/>
    <w:rsid w:val="00191B2E"/>
    <w:rsid w:val="00191B83"/>
    <w:rsid w:val="00191D12"/>
    <w:rsid w:val="00191D45"/>
    <w:rsid w:val="00191F14"/>
    <w:rsid w:val="00191F8C"/>
    <w:rsid w:val="00192123"/>
    <w:rsid w:val="001922DF"/>
    <w:rsid w:val="001923D2"/>
    <w:rsid w:val="001924B7"/>
    <w:rsid w:val="00192812"/>
    <w:rsid w:val="001928AC"/>
    <w:rsid w:val="001928FD"/>
    <w:rsid w:val="0019310F"/>
    <w:rsid w:val="00193352"/>
    <w:rsid w:val="0019351A"/>
    <w:rsid w:val="0019368D"/>
    <w:rsid w:val="001936E1"/>
    <w:rsid w:val="00193ABF"/>
    <w:rsid w:val="00193C3F"/>
    <w:rsid w:val="00193E7D"/>
    <w:rsid w:val="001942B0"/>
    <w:rsid w:val="00194535"/>
    <w:rsid w:val="001946D0"/>
    <w:rsid w:val="00194853"/>
    <w:rsid w:val="00194EA2"/>
    <w:rsid w:val="00194EC3"/>
    <w:rsid w:val="00194F5F"/>
    <w:rsid w:val="00195062"/>
    <w:rsid w:val="001955E7"/>
    <w:rsid w:val="00195830"/>
    <w:rsid w:val="00195AE8"/>
    <w:rsid w:val="00195B2E"/>
    <w:rsid w:val="00195E45"/>
    <w:rsid w:val="00195F2A"/>
    <w:rsid w:val="00196221"/>
    <w:rsid w:val="0019662B"/>
    <w:rsid w:val="001969FE"/>
    <w:rsid w:val="00196C26"/>
    <w:rsid w:val="00196E62"/>
    <w:rsid w:val="00197102"/>
    <w:rsid w:val="0019728F"/>
    <w:rsid w:val="001972BE"/>
    <w:rsid w:val="001973B5"/>
    <w:rsid w:val="001974E0"/>
    <w:rsid w:val="001975C4"/>
    <w:rsid w:val="001976DE"/>
    <w:rsid w:val="0019781B"/>
    <w:rsid w:val="00197BBC"/>
    <w:rsid w:val="00197E3F"/>
    <w:rsid w:val="001A00C8"/>
    <w:rsid w:val="001A02CC"/>
    <w:rsid w:val="001A039A"/>
    <w:rsid w:val="001A0462"/>
    <w:rsid w:val="001A0463"/>
    <w:rsid w:val="001A0664"/>
    <w:rsid w:val="001A0786"/>
    <w:rsid w:val="001A0867"/>
    <w:rsid w:val="001A0881"/>
    <w:rsid w:val="001A094E"/>
    <w:rsid w:val="001A0A57"/>
    <w:rsid w:val="001A0B84"/>
    <w:rsid w:val="001A14DD"/>
    <w:rsid w:val="001A16D3"/>
    <w:rsid w:val="001A18D3"/>
    <w:rsid w:val="001A198A"/>
    <w:rsid w:val="001A1BB8"/>
    <w:rsid w:val="001A1BF2"/>
    <w:rsid w:val="001A1C36"/>
    <w:rsid w:val="001A1D71"/>
    <w:rsid w:val="001A215E"/>
    <w:rsid w:val="001A2589"/>
    <w:rsid w:val="001A28CC"/>
    <w:rsid w:val="001A28F8"/>
    <w:rsid w:val="001A2F12"/>
    <w:rsid w:val="001A325D"/>
    <w:rsid w:val="001A3C10"/>
    <w:rsid w:val="001A3D59"/>
    <w:rsid w:val="001A3D97"/>
    <w:rsid w:val="001A3E03"/>
    <w:rsid w:val="001A3E3C"/>
    <w:rsid w:val="001A423E"/>
    <w:rsid w:val="001A4423"/>
    <w:rsid w:val="001A45FA"/>
    <w:rsid w:val="001A4C5A"/>
    <w:rsid w:val="001A4C83"/>
    <w:rsid w:val="001A4D7D"/>
    <w:rsid w:val="001A4F0B"/>
    <w:rsid w:val="001A4FE9"/>
    <w:rsid w:val="001A4FF3"/>
    <w:rsid w:val="001A5181"/>
    <w:rsid w:val="001A5344"/>
    <w:rsid w:val="001A53F3"/>
    <w:rsid w:val="001A5551"/>
    <w:rsid w:val="001A5561"/>
    <w:rsid w:val="001A55A1"/>
    <w:rsid w:val="001A5B8D"/>
    <w:rsid w:val="001A5D11"/>
    <w:rsid w:val="001A5DF3"/>
    <w:rsid w:val="001A61E5"/>
    <w:rsid w:val="001A6331"/>
    <w:rsid w:val="001A6579"/>
    <w:rsid w:val="001A6A68"/>
    <w:rsid w:val="001A6B81"/>
    <w:rsid w:val="001A6CBA"/>
    <w:rsid w:val="001A6DCD"/>
    <w:rsid w:val="001A72A9"/>
    <w:rsid w:val="001A72EF"/>
    <w:rsid w:val="001A7590"/>
    <w:rsid w:val="001A7972"/>
    <w:rsid w:val="001A79DF"/>
    <w:rsid w:val="001A7A52"/>
    <w:rsid w:val="001A7EB7"/>
    <w:rsid w:val="001A7F7D"/>
    <w:rsid w:val="001B003E"/>
    <w:rsid w:val="001B01C8"/>
    <w:rsid w:val="001B0838"/>
    <w:rsid w:val="001B099C"/>
    <w:rsid w:val="001B0AF7"/>
    <w:rsid w:val="001B0BBA"/>
    <w:rsid w:val="001B0BD9"/>
    <w:rsid w:val="001B0C37"/>
    <w:rsid w:val="001B0C5D"/>
    <w:rsid w:val="001B0E59"/>
    <w:rsid w:val="001B1083"/>
    <w:rsid w:val="001B1108"/>
    <w:rsid w:val="001B1222"/>
    <w:rsid w:val="001B157A"/>
    <w:rsid w:val="001B157B"/>
    <w:rsid w:val="001B16C1"/>
    <w:rsid w:val="001B1745"/>
    <w:rsid w:val="001B196E"/>
    <w:rsid w:val="001B1BF2"/>
    <w:rsid w:val="001B1EAC"/>
    <w:rsid w:val="001B2384"/>
    <w:rsid w:val="001B2B88"/>
    <w:rsid w:val="001B2C9D"/>
    <w:rsid w:val="001B2EA0"/>
    <w:rsid w:val="001B3008"/>
    <w:rsid w:val="001B3464"/>
    <w:rsid w:val="001B34D8"/>
    <w:rsid w:val="001B35A2"/>
    <w:rsid w:val="001B37D4"/>
    <w:rsid w:val="001B3813"/>
    <w:rsid w:val="001B3A80"/>
    <w:rsid w:val="001B3B08"/>
    <w:rsid w:val="001B3D89"/>
    <w:rsid w:val="001B3DAD"/>
    <w:rsid w:val="001B3EC3"/>
    <w:rsid w:val="001B4101"/>
    <w:rsid w:val="001B4131"/>
    <w:rsid w:val="001B442A"/>
    <w:rsid w:val="001B4D6E"/>
    <w:rsid w:val="001B4FF6"/>
    <w:rsid w:val="001B51FE"/>
    <w:rsid w:val="001B547C"/>
    <w:rsid w:val="001B558B"/>
    <w:rsid w:val="001B5D39"/>
    <w:rsid w:val="001B5D9D"/>
    <w:rsid w:val="001B6016"/>
    <w:rsid w:val="001B616E"/>
    <w:rsid w:val="001B62C3"/>
    <w:rsid w:val="001B63D5"/>
    <w:rsid w:val="001B6847"/>
    <w:rsid w:val="001B6E86"/>
    <w:rsid w:val="001B6F16"/>
    <w:rsid w:val="001B6FB3"/>
    <w:rsid w:val="001B6FF1"/>
    <w:rsid w:val="001B73AB"/>
    <w:rsid w:val="001B78BF"/>
    <w:rsid w:val="001B7A8E"/>
    <w:rsid w:val="001B7E47"/>
    <w:rsid w:val="001C02EA"/>
    <w:rsid w:val="001C04F1"/>
    <w:rsid w:val="001C06A7"/>
    <w:rsid w:val="001C090E"/>
    <w:rsid w:val="001C0942"/>
    <w:rsid w:val="001C0975"/>
    <w:rsid w:val="001C0EE1"/>
    <w:rsid w:val="001C0F2D"/>
    <w:rsid w:val="001C13DE"/>
    <w:rsid w:val="001C197E"/>
    <w:rsid w:val="001C1A88"/>
    <w:rsid w:val="001C1AAE"/>
    <w:rsid w:val="001C1D19"/>
    <w:rsid w:val="001C1E31"/>
    <w:rsid w:val="001C1E99"/>
    <w:rsid w:val="001C2212"/>
    <w:rsid w:val="001C2277"/>
    <w:rsid w:val="001C24CC"/>
    <w:rsid w:val="001C2C1E"/>
    <w:rsid w:val="001C2DBE"/>
    <w:rsid w:val="001C3076"/>
    <w:rsid w:val="001C30A6"/>
    <w:rsid w:val="001C3137"/>
    <w:rsid w:val="001C33FF"/>
    <w:rsid w:val="001C349C"/>
    <w:rsid w:val="001C3955"/>
    <w:rsid w:val="001C3F3F"/>
    <w:rsid w:val="001C3FDB"/>
    <w:rsid w:val="001C4110"/>
    <w:rsid w:val="001C4475"/>
    <w:rsid w:val="001C46AD"/>
    <w:rsid w:val="001C4994"/>
    <w:rsid w:val="001C4B09"/>
    <w:rsid w:val="001C4DDF"/>
    <w:rsid w:val="001C4EA7"/>
    <w:rsid w:val="001C551A"/>
    <w:rsid w:val="001C5A9A"/>
    <w:rsid w:val="001C5C81"/>
    <w:rsid w:val="001C609E"/>
    <w:rsid w:val="001C613F"/>
    <w:rsid w:val="001C625A"/>
    <w:rsid w:val="001C65BB"/>
    <w:rsid w:val="001C67BA"/>
    <w:rsid w:val="001C6A56"/>
    <w:rsid w:val="001C6D83"/>
    <w:rsid w:val="001C6E46"/>
    <w:rsid w:val="001C6E9A"/>
    <w:rsid w:val="001C7415"/>
    <w:rsid w:val="001C764D"/>
    <w:rsid w:val="001C76AD"/>
    <w:rsid w:val="001C7752"/>
    <w:rsid w:val="001C7914"/>
    <w:rsid w:val="001C7D32"/>
    <w:rsid w:val="001C7D60"/>
    <w:rsid w:val="001D01D5"/>
    <w:rsid w:val="001D0210"/>
    <w:rsid w:val="001D02E6"/>
    <w:rsid w:val="001D0492"/>
    <w:rsid w:val="001D04A9"/>
    <w:rsid w:val="001D04E7"/>
    <w:rsid w:val="001D065F"/>
    <w:rsid w:val="001D0775"/>
    <w:rsid w:val="001D0889"/>
    <w:rsid w:val="001D088F"/>
    <w:rsid w:val="001D0918"/>
    <w:rsid w:val="001D09EE"/>
    <w:rsid w:val="001D0AD9"/>
    <w:rsid w:val="001D0CCB"/>
    <w:rsid w:val="001D0E75"/>
    <w:rsid w:val="001D108F"/>
    <w:rsid w:val="001D147C"/>
    <w:rsid w:val="001D1999"/>
    <w:rsid w:val="001D1E04"/>
    <w:rsid w:val="001D1E95"/>
    <w:rsid w:val="001D2106"/>
    <w:rsid w:val="001D2132"/>
    <w:rsid w:val="001D21D4"/>
    <w:rsid w:val="001D29EC"/>
    <w:rsid w:val="001D2A30"/>
    <w:rsid w:val="001D2DDA"/>
    <w:rsid w:val="001D2E92"/>
    <w:rsid w:val="001D3201"/>
    <w:rsid w:val="001D3C5E"/>
    <w:rsid w:val="001D3C75"/>
    <w:rsid w:val="001D41C5"/>
    <w:rsid w:val="001D41EE"/>
    <w:rsid w:val="001D424C"/>
    <w:rsid w:val="001D42CA"/>
    <w:rsid w:val="001D43DE"/>
    <w:rsid w:val="001D4575"/>
    <w:rsid w:val="001D4661"/>
    <w:rsid w:val="001D4663"/>
    <w:rsid w:val="001D4A9C"/>
    <w:rsid w:val="001D4EE2"/>
    <w:rsid w:val="001D4F70"/>
    <w:rsid w:val="001D52D7"/>
    <w:rsid w:val="001D5629"/>
    <w:rsid w:val="001D59B6"/>
    <w:rsid w:val="001D5AA4"/>
    <w:rsid w:val="001D5ADD"/>
    <w:rsid w:val="001D5B9C"/>
    <w:rsid w:val="001D5FD6"/>
    <w:rsid w:val="001D6582"/>
    <w:rsid w:val="001D6C4A"/>
    <w:rsid w:val="001D71BB"/>
    <w:rsid w:val="001D741D"/>
    <w:rsid w:val="001D75AC"/>
    <w:rsid w:val="001D7625"/>
    <w:rsid w:val="001D77F7"/>
    <w:rsid w:val="001D78BD"/>
    <w:rsid w:val="001D7DCE"/>
    <w:rsid w:val="001E05C2"/>
    <w:rsid w:val="001E0802"/>
    <w:rsid w:val="001E0AA9"/>
    <w:rsid w:val="001E0FB8"/>
    <w:rsid w:val="001E1254"/>
    <w:rsid w:val="001E137C"/>
    <w:rsid w:val="001E1403"/>
    <w:rsid w:val="001E141A"/>
    <w:rsid w:val="001E150E"/>
    <w:rsid w:val="001E15FD"/>
    <w:rsid w:val="001E1695"/>
    <w:rsid w:val="001E170F"/>
    <w:rsid w:val="001E1854"/>
    <w:rsid w:val="001E1974"/>
    <w:rsid w:val="001E1D69"/>
    <w:rsid w:val="001E2119"/>
    <w:rsid w:val="001E2165"/>
    <w:rsid w:val="001E258A"/>
    <w:rsid w:val="001E284D"/>
    <w:rsid w:val="001E2D79"/>
    <w:rsid w:val="001E2E65"/>
    <w:rsid w:val="001E3057"/>
    <w:rsid w:val="001E3329"/>
    <w:rsid w:val="001E3335"/>
    <w:rsid w:val="001E3379"/>
    <w:rsid w:val="001E33F9"/>
    <w:rsid w:val="001E356C"/>
    <w:rsid w:val="001E3673"/>
    <w:rsid w:val="001E38B1"/>
    <w:rsid w:val="001E3BAC"/>
    <w:rsid w:val="001E421F"/>
    <w:rsid w:val="001E44A3"/>
    <w:rsid w:val="001E453D"/>
    <w:rsid w:val="001E486C"/>
    <w:rsid w:val="001E49CD"/>
    <w:rsid w:val="001E4C85"/>
    <w:rsid w:val="001E4F64"/>
    <w:rsid w:val="001E555B"/>
    <w:rsid w:val="001E5578"/>
    <w:rsid w:val="001E5971"/>
    <w:rsid w:val="001E5983"/>
    <w:rsid w:val="001E5D9B"/>
    <w:rsid w:val="001E63E5"/>
    <w:rsid w:val="001E68E7"/>
    <w:rsid w:val="001E6A3D"/>
    <w:rsid w:val="001E6C88"/>
    <w:rsid w:val="001E6CEE"/>
    <w:rsid w:val="001E6E4C"/>
    <w:rsid w:val="001E6F8D"/>
    <w:rsid w:val="001E7005"/>
    <w:rsid w:val="001E7087"/>
    <w:rsid w:val="001E71CC"/>
    <w:rsid w:val="001E72D2"/>
    <w:rsid w:val="001E74C4"/>
    <w:rsid w:val="001E781B"/>
    <w:rsid w:val="001E7A95"/>
    <w:rsid w:val="001E7B7E"/>
    <w:rsid w:val="001E7E10"/>
    <w:rsid w:val="001F00B3"/>
    <w:rsid w:val="001F0491"/>
    <w:rsid w:val="001F057F"/>
    <w:rsid w:val="001F087F"/>
    <w:rsid w:val="001F0F8E"/>
    <w:rsid w:val="001F10D7"/>
    <w:rsid w:val="001F1302"/>
    <w:rsid w:val="001F1476"/>
    <w:rsid w:val="001F14DF"/>
    <w:rsid w:val="001F15A1"/>
    <w:rsid w:val="001F18D1"/>
    <w:rsid w:val="001F1C5C"/>
    <w:rsid w:val="001F20A6"/>
    <w:rsid w:val="001F21D2"/>
    <w:rsid w:val="001F22CE"/>
    <w:rsid w:val="001F235D"/>
    <w:rsid w:val="001F23BB"/>
    <w:rsid w:val="001F246B"/>
    <w:rsid w:val="001F2AE2"/>
    <w:rsid w:val="001F2BBB"/>
    <w:rsid w:val="001F2C93"/>
    <w:rsid w:val="001F2DC6"/>
    <w:rsid w:val="001F2DCE"/>
    <w:rsid w:val="001F30AF"/>
    <w:rsid w:val="001F399F"/>
    <w:rsid w:val="001F3AD5"/>
    <w:rsid w:val="001F3B0B"/>
    <w:rsid w:val="001F3FCD"/>
    <w:rsid w:val="001F4257"/>
    <w:rsid w:val="001F45F6"/>
    <w:rsid w:val="001F475D"/>
    <w:rsid w:val="001F4787"/>
    <w:rsid w:val="001F4790"/>
    <w:rsid w:val="001F4961"/>
    <w:rsid w:val="001F4E8C"/>
    <w:rsid w:val="001F533E"/>
    <w:rsid w:val="001F5D18"/>
    <w:rsid w:val="001F5F66"/>
    <w:rsid w:val="001F612A"/>
    <w:rsid w:val="001F61C2"/>
    <w:rsid w:val="001F6860"/>
    <w:rsid w:val="001F6AA8"/>
    <w:rsid w:val="001F6B02"/>
    <w:rsid w:val="001F7149"/>
    <w:rsid w:val="001F79A7"/>
    <w:rsid w:val="001F7A4E"/>
    <w:rsid w:val="001F7AA7"/>
    <w:rsid w:val="001F7AF0"/>
    <w:rsid w:val="001F7F3F"/>
    <w:rsid w:val="00200299"/>
    <w:rsid w:val="00200D48"/>
    <w:rsid w:val="002010FB"/>
    <w:rsid w:val="002014C2"/>
    <w:rsid w:val="00201DCF"/>
    <w:rsid w:val="002022DF"/>
    <w:rsid w:val="00202721"/>
    <w:rsid w:val="0020287C"/>
    <w:rsid w:val="002029D2"/>
    <w:rsid w:val="00202DCF"/>
    <w:rsid w:val="00203118"/>
    <w:rsid w:val="0020317D"/>
    <w:rsid w:val="002032B1"/>
    <w:rsid w:val="0020347C"/>
    <w:rsid w:val="002034A7"/>
    <w:rsid w:val="002035F6"/>
    <w:rsid w:val="0020365F"/>
    <w:rsid w:val="002036DC"/>
    <w:rsid w:val="002037F9"/>
    <w:rsid w:val="00203C64"/>
    <w:rsid w:val="00203D72"/>
    <w:rsid w:val="00203FD7"/>
    <w:rsid w:val="002043BE"/>
    <w:rsid w:val="0020457B"/>
    <w:rsid w:val="002046F3"/>
    <w:rsid w:val="00204B74"/>
    <w:rsid w:val="00205086"/>
    <w:rsid w:val="002053A1"/>
    <w:rsid w:val="002053F8"/>
    <w:rsid w:val="00205457"/>
    <w:rsid w:val="002054DA"/>
    <w:rsid w:val="002055AA"/>
    <w:rsid w:val="0020565E"/>
    <w:rsid w:val="00205813"/>
    <w:rsid w:val="00205867"/>
    <w:rsid w:val="00205978"/>
    <w:rsid w:val="00205BD7"/>
    <w:rsid w:val="00205BE2"/>
    <w:rsid w:val="00205CEE"/>
    <w:rsid w:val="002061D4"/>
    <w:rsid w:val="0020622A"/>
    <w:rsid w:val="0020622D"/>
    <w:rsid w:val="0020635E"/>
    <w:rsid w:val="0020665C"/>
    <w:rsid w:val="00206777"/>
    <w:rsid w:val="00206983"/>
    <w:rsid w:val="002069B1"/>
    <w:rsid w:val="00206A29"/>
    <w:rsid w:val="00206A6E"/>
    <w:rsid w:val="00206B4D"/>
    <w:rsid w:val="002071B7"/>
    <w:rsid w:val="0020725A"/>
    <w:rsid w:val="002072D3"/>
    <w:rsid w:val="002073DA"/>
    <w:rsid w:val="00207474"/>
    <w:rsid w:val="00207862"/>
    <w:rsid w:val="00207881"/>
    <w:rsid w:val="002078B7"/>
    <w:rsid w:val="00207E4A"/>
    <w:rsid w:val="00207EA5"/>
    <w:rsid w:val="00210832"/>
    <w:rsid w:val="00210851"/>
    <w:rsid w:val="00210A2E"/>
    <w:rsid w:val="00210B8C"/>
    <w:rsid w:val="00210BEA"/>
    <w:rsid w:val="0021147B"/>
    <w:rsid w:val="00211766"/>
    <w:rsid w:val="002118B4"/>
    <w:rsid w:val="00211A3F"/>
    <w:rsid w:val="00211D9B"/>
    <w:rsid w:val="002124E2"/>
    <w:rsid w:val="002124EB"/>
    <w:rsid w:val="0021270A"/>
    <w:rsid w:val="00212839"/>
    <w:rsid w:val="002128E6"/>
    <w:rsid w:val="002129E2"/>
    <w:rsid w:val="00212B06"/>
    <w:rsid w:val="00212B55"/>
    <w:rsid w:val="00212F54"/>
    <w:rsid w:val="0021307C"/>
    <w:rsid w:val="00213137"/>
    <w:rsid w:val="0021338D"/>
    <w:rsid w:val="00213496"/>
    <w:rsid w:val="002136E8"/>
    <w:rsid w:val="00213A77"/>
    <w:rsid w:val="00213A7B"/>
    <w:rsid w:val="00214062"/>
    <w:rsid w:val="00214578"/>
    <w:rsid w:val="0021488D"/>
    <w:rsid w:val="00214D9B"/>
    <w:rsid w:val="00214F83"/>
    <w:rsid w:val="00214FBD"/>
    <w:rsid w:val="0021562B"/>
    <w:rsid w:val="00215CA7"/>
    <w:rsid w:val="00215E58"/>
    <w:rsid w:val="00216024"/>
    <w:rsid w:val="00216063"/>
    <w:rsid w:val="0021615F"/>
    <w:rsid w:val="00216178"/>
    <w:rsid w:val="0021671B"/>
    <w:rsid w:val="00216807"/>
    <w:rsid w:val="00216C4D"/>
    <w:rsid w:val="00216CE5"/>
    <w:rsid w:val="002170DE"/>
    <w:rsid w:val="002171FD"/>
    <w:rsid w:val="002172DD"/>
    <w:rsid w:val="0021735C"/>
    <w:rsid w:val="002176B1"/>
    <w:rsid w:val="00217961"/>
    <w:rsid w:val="00217CDB"/>
    <w:rsid w:val="0022029B"/>
    <w:rsid w:val="00220428"/>
    <w:rsid w:val="00220536"/>
    <w:rsid w:val="0022056D"/>
    <w:rsid w:val="002205AA"/>
    <w:rsid w:val="00220715"/>
    <w:rsid w:val="0022072A"/>
    <w:rsid w:val="00220751"/>
    <w:rsid w:val="00220783"/>
    <w:rsid w:val="00220A84"/>
    <w:rsid w:val="00220BBF"/>
    <w:rsid w:val="00220F69"/>
    <w:rsid w:val="0022111C"/>
    <w:rsid w:val="00221122"/>
    <w:rsid w:val="0022116D"/>
    <w:rsid w:val="002211BE"/>
    <w:rsid w:val="002212C3"/>
    <w:rsid w:val="00221581"/>
    <w:rsid w:val="00221679"/>
    <w:rsid w:val="0022181D"/>
    <w:rsid w:val="00221C05"/>
    <w:rsid w:val="00221FDE"/>
    <w:rsid w:val="002223D3"/>
    <w:rsid w:val="00222912"/>
    <w:rsid w:val="00222C76"/>
    <w:rsid w:val="00222DC1"/>
    <w:rsid w:val="00222E28"/>
    <w:rsid w:val="00222E4E"/>
    <w:rsid w:val="00222FFA"/>
    <w:rsid w:val="00223185"/>
    <w:rsid w:val="00223200"/>
    <w:rsid w:val="0022345B"/>
    <w:rsid w:val="0022384B"/>
    <w:rsid w:val="002238D7"/>
    <w:rsid w:val="00224247"/>
    <w:rsid w:val="0022428A"/>
    <w:rsid w:val="00224561"/>
    <w:rsid w:val="0022498B"/>
    <w:rsid w:val="002249BD"/>
    <w:rsid w:val="00224FAD"/>
    <w:rsid w:val="002250E6"/>
    <w:rsid w:val="0022515B"/>
    <w:rsid w:val="002251AF"/>
    <w:rsid w:val="00225245"/>
    <w:rsid w:val="002252F1"/>
    <w:rsid w:val="00225439"/>
    <w:rsid w:val="00225A71"/>
    <w:rsid w:val="00225BA3"/>
    <w:rsid w:val="00225F17"/>
    <w:rsid w:val="00226209"/>
    <w:rsid w:val="002262EB"/>
    <w:rsid w:val="00226322"/>
    <w:rsid w:val="00226423"/>
    <w:rsid w:val="00226645"/>
    <w:rsid w:val="00226BC9"/>
    <w:rsid w:val="00227127"/>
    <w:rsid w:val="00227378"/>
    <w:rsid w:val="00227992"/>
    <w:rsid w:val="00227AB9"/>
    <w:rsid w:val="00227B0D"/>
    <w:rsid w:val="00227B2F"/>
    <w:rsid w:val="00227C47"/>
    <w:rsid w:val="00227D52"/>
    <w:rsid w:val="00227F38"/>
    <w:rsid w:val="00230015"/>
    <w:rsid w:val="002301B1"/>
    <w:rsid w:val="00230235"/>
    <w:rsid w:val="00230249"/>
    <w:rsid w:val="00230781"/>
    <w:rsid w:val="00230C3D"/>
    <w:rsid w:val="00230E41"/>
    <w:rsid w:val="002311CD"/>
    <w:rsid w:val="00231350"/>
    <w:rsid w:val="002313FD"/>
    <w:rsid w:val="00231569"/>
    <w:rsid w:val="0023156B"/>
    <w:rsid w:val="00231767"/>
    <w:rsid w:val="00231972"/>
    <w:rsid w:val="002319C3"/>
    <w:rsid w:val="00231F16"/>
    <w:rsid w:val="00232096"/>
    <w:rsid w:val="0023230C"/>
    <w:rsid w:val="0023250B"/>
    <w:rsid w:val="002329BD"/>
    <w:rsid w:val="00232AFC"/>
    <w:rsid w:val="00232B05"/>
    <w:rsid w:val="00233118"/>
    <w:rsid w:val="002334FC"/>
    <w:rsid w:val="0023350E"/>
    <w:rsid w:val="00233778"/>
    <w:rsid w:val="00233852"/>
    <w:rsid w:val="00233C58"/>
    <w:rsid w:val="00233DC4"/>
    <w:rsid w:val="00233E34"/>
    <w:rsid w:val="002341D3"/>
    <w:rsid w:val="0023459A"/>
    <w:rsid w:val="0023470B"/>
    <w:rsid w:val="00234C04"/>
    <w:rsid w:val="00234D03"/>
    <w:rsid w:val="00234DC3"/>
    <w:rsid w:val="00234DE4"/>
    <w:rsid w:val="002352C6"/>
    <w:rsid w:val="0023532C"/>
    <w:rsid w:val="002353F9"/>
    <w:rsid w:val="00235506"/>
    <w:rsid w:val="002357AA"/>
    <w:rsid w:val="00235C3D"/>
    <w:rsid w:val="00235FA1"/>
    <w:rsid w:val="0023606A"/>
    <w:rsid w:val="002360C0"/>
    <w:rsid w:val="002361FF"/>
    <w:rsid w:val="0023627D"/>
    <w:rsid w:val="00236325"/>
    <w:rsid w:val="002364F5"/>
    <w:rsid w:val="00236554"/>
    <w:rsid w:val="00236756"/>
    <w:rsid w:val="00236926"/>
    <w:rsid w:val="00237349"/>
    <w:rsid w:val="00237459"/>
    <w:rsid w:val="002375B2"/>
    <w:rsid w:val="00237E28"/>
    <w:rsid w:val="00237F55"/>
    <w:rsid w:val="00237F5E"/>
    <w:rsid w:val="002400EF"/>
    <w:rsid w:val="002405A4"/>
    <w:rsid w:val="002405EA"/>
    <w:rsid w:val="00240A64"/>
    <w:rsid w:val="00240B61"/>
    <w:rsid w:val="00240BAC"/>
    <w:rsid w:val="00240BCE"/>
    <w:rsid w:val="00240FF6"/>
    <w:rsid w:val="0024107A"/>
    <w:rsid w:val="00241086"/>
    <w:rsid w:val="0024145D"/>
    <w:rsid w:val="002416B0"/>
    <w:rsid w:val="002416FF"/>
    <w:rsid w:val="00241755"/>
    <w:rsid w:val="002417C4"/>
    <w:rsid w:val="00241812"/>
    <w:rsid w:val="00241AE0"/>
    <w:rsid w:val="00241D42"/>
    <w:rsid w:val="00241D5D"/>
    <w:rsid w:val="00241D70"/>
    <w:rsid w:val="00241F0F"/>
    <w:rsid w:val="002420A6"/>
    <w:rsid w:val="00242269"/>
    <w:rsid w:val="00242303"/>
    <w:rsid w:val="002423CD"/>
    <w:rsid w:val="002423D2"/>
    <w:rsid w:val="002423EC"/>
    <w:rsid w:val="00242948"/>
    <w:rsid w:val="0024296B"/>
    <w:rsid w:val="00242B45"/>
    <w:rsid w:val="00242C9E"/>
    <w:rsid w:val="00242DF4"/>
    <w:rsid w:val="00242E5C"/>
    <w:rsid w:val="00242E7B"/>
    <w:rsid w:val="00242EA7"/>
    <w:rsid w:val="0024320F"/>
    <w:rsid w:val="00243243"/>
    <w:rsid w:val="00243268"/>
    <w:rsid w:val="002439F9"/>
    <w:rsid w:val="00243A10"/>
    <w:rsid w:val="00243E60"/>
    <w:rsid w:val="00243F09"/>
    <w:rsid w:val="00244125"/>
    <w:rsid w:val="00244305"/>
    <w:rsid w:val="0024453E"/>
    <w:rsid w:val="002447B6"/>
    <w:rsid w:val="002447FE"/>
    <w:rsid w:val="00244945"/>
    <w:rsid w:val="00244999"/>
    <w:rsid w:val="00244A63"/>
    <w:rsid w:val="00244C40"/>
    <w:rsid w:val="0024501A"/>
    <w:rsid w:val="00245211"/>
    <w:rsid w:val="00245641"/>
    <w:rsid w:val="0024599B"/>
    <w:rsid w:val="00245DB4"/>
    <w:rsid w:val="002460A2"/>
    <w:rsid w:val="002460A3"/>
    <w:rsid w:val="002460D4"/>
    <w:rsid w:val="002463BE"/>
    <w:rsid w:val="00246725"/>
    <w:rsid w:val="002467A1"/>
    <w:rsid w:val="002467FC"/>
    <w:rsid w:val="002467FD"/>
    <w:rsid w:val="00246861"/>
    <w:rsid w:val="002468D2"/>
    <w:rsid w:val="00246A83"/>
    <w:rsid w:val="00246BA2"/>
    <w:rsid w:val="00246D48"/>
    <w:rsid w:val="00246FA4"/>
    <w:rsid w:val="00246FC9"/>
    <w:rsid w:val="002473EF"/>
    <w:rsid w:val="0024747B"/>
    <w:rsid w:val="002474A9"/>
    <w:rsid w:val="002476A8"/>
    <w:rsid w:val="00247789"/>
    <w:rsid w:val="002478C7"/>
    <w:rsid w:val="00247B95"/>
    <w:rsid w:val="00247E35"/>
    <w:rsid w:val="00250000"/>
    <w:rsid w:val="002501FE"/>
    <w:rsid w:val="0025065E"/>
    <w:rsid w:val="002506E7"/>
    <w:rsid w:val="00250744"/>
    <w:rsid w:val="00250DAA"/>
    <w:rsid w:val="00250EFF"/>
    <w:rsid w:val="0025111C"/>
    <w:rsid w:val="0025112E"/>
    <w:rsid w:val="00251238"/>
    <w:rsid w:val="002512EF"/>
    <w:rsid w:val="002515B6"/>
    <w:rsid w:val="0025174F"/>
    <w:rsid w:val="0025194A"/>
    <w:rsid w:val="00251EFF"/>
    <w:rsid w:val="00252078"/>
    <w:rsid w:val="00252197"/>
    <w:rsid w:val="002525E7"/>
    <w:rsid w:val="002526D9"/>
    <w:rsid w:val="002529D0"/>
    <w:rsid w:val="00252AAE"/>
    <w:rsid w:val="00252CD2"/>
    <w:rsid w:val="00252F27"/>
    <w:rsid w:val="00253174"/>
    <w:rsid w:val="002532E8"/>
    <w:rsid w:val="00253660"/>
    <w:rsid w:val="002538BD"/>
    <w:rsid w:val="00253BC5"/>
    <w:rsid w:val="00253E23"/>
    <w:rsid w:val="00253F8F"/>
    <w:rsid w:val="002540C6"/>
    <w:rsid w:val="002542EF"/>
    <w:rsid w:val="00254447"/>
    <w:rsid w:val="002548E6"/>
    <w:rsid w:val="00254CD9"/>
    <w:rsid w:val="00254F26"/>
    <w:rsid w:val="00255150"/>
    <w:rsid w:val="002554F9"/>
    <w:rsid w:val="00255507"/>
    <w:rsid w:val="00255572"/>
    <w:rsid w:val="002555DB"/>
    <w:rsid w:val="00255754"/>
    <w:rsid w:val="002557AF"/>
    <w:rsid w:val="00255D10"/>
    <w:rsid w:val="0025607D"/>
    <w:rsid w:val="002560A4"/>
    <w:rsid w:val="002560E1"/>
    <w:rsid w:val="0025614B"/>
    <w:rsid w:val="002561AA"/>
    <w:rsid w:val="00256452"/>
    <w:rsid w:val="002565EE"/>
    <w:rsid w:val="00256816"/>
    <w:rsid w:val="00256C1F"/>
    <w:rsid w:val="0025732A"/>
    <w:rsid w:val="00257408"/>
    <w:rsid w:val="00257419"/>
    <w:rsid w:val="0025742C"/>
    <w:rsid w:val="0025794C"/>
    <w:rsid w:val="00257A2C"/>
    <w:rsid w:val="00257AB6"/>
    <w:rsid w:val="00257C9A"/>
    <w:rsid w:val="00257F88"/>
    <w:rsid w:val="00260101"/>
    <w:rsid w:val="002603B0"/>
    <w:rsid w:val="002603E0"/>
    <w:rsid w:val="00260512"/>
    <w:rsid w:val="00260656"/>
    <w:rsid w:val="00260657"/>
    <w:rsid w:val="002606CB"/>
    <w:rsid w:val="00260789"/>
    <w:rsid w:val="00260997"/>
    <w:rsid w:val="00260DE2"/>
    <w:rsid w:val="00260F6B"/>
    <w:rsid w:val="002612E5"/>
    <w:rsid w:val="0026143F"/>
    <w:rsid w:val="00261479"/>
    <w:rsid w:val="0026162B"/>
    <w:rsid w:val="0026199B"/>
    <w:rsid w:val="00261A57"/>
    <w:rsid w:val="00261C47"/>
    <w:rsid w:val="00261EB9"/>
    <w:rsid w:val="00261F72"/>
    <w:rsid w:val="00262423"/>
    <w:rsid w:val="00262536"/>
    <w:rsid w:val="002625C3"/>
    <w:rsid w:val="0026286E"/>
    <w:rsid w:val="002629D5"/>
    <w:rsid w:val="00262A26"/>
    <w:rsid w:val="00262B95"/>
    <w:rsid w:val="00262BA3"/>
    <w:rsid w:val="00262CBC"/>
    <w:rsid w:val="00262CCE"/>
    <w:rsid w:val="0026316E"/>
    <w:rsid w:val="00263390"/>
    <w:rsid w:val="002633F7"/>
    <w:rsid w:val="00263521"/>
    <w:rsid w:val="00263C41"/>
    <w:rsid w:val="00263E74"/>
    <w:rsid w:val="002641E9"/>
    <w:rsid w:val="002642DE"/>
    <w:rsid w:val="0026433D"/>
    <w:rsid w:val="002646F4"/>
    <w:rsid w:val="0026496F"/>
    <w:rsid w:val="00264BE6"/>
    <w:rsid w:val="00265495"/>
    <w:rsid w:val="0026555C"/>
    <w:rsid w:val="002656FB"/>
    <w:rsid w:val="002657CC"/>
    <w:rsid w:val="0026591A"/>
    <w:rsid w:val="00265EB9"/>
    <w:rsid w:val="00265F7A"/>
    <w:rsid w:val="0026608F"/>
    <w:rsid w:val="00266392"/>
    <w:rsid w:val="00266393"/>
    <w:rsid w:val="00266758"/>
    <w:rsid w:val="0026686B"/>
    <w:rsid w:val="0026691A"/>
    <w:rsid w:val="00266B5B"/>
    <w:rsid w:val="00267007"/>
    <w:rsid w:val="00267062"/>
    <w:rsid w:val="00267098"/>
    <w:rsid w:val="0026735C"/>
    <w:rsid w:val="0026744C"/>
    <w:rsid w:val="002677BF"/>
    <w:rsid w:val="00267C2B"/>
    <w:rsid w:val="00267CD8"/>
    <w:rsid w:val="00267EAE"/>
    <w:rsid w:val="00267FF4"/>
    <w:rsid w:val="002700E6"/>
    <w:rsid w:val="002700FA"/>
    <w:rsid w:val="0027014E"/>
    <w:rsid w:val="0027030E"/>
    <w:rsid w:val="00270369"/>
    <w:rsid w:val="00270C06"/>
    <w:rsid w:val="00270CB0"/>
    <w:rsid w:val="00270E6D"/>
    <w:rsid w:val="00270EE7"/>
    <w:rsid w:val="00270EFC"/>
    <w:rsid w:val="00271AD5"/>
    <w:rsid w:val="00271EC9"/>
    <w:rsid w:val="0027210E"/>
    <w:rsid w:val="002721D4"/>
    <w:rsid w:val="002722C8"/>
    <w:rsid w:val="0027247D"/>
    <w:rsid w:val="002724CC"/>
    <w:rsid w:val="00272796"/>
    <w:rsid w:val="00272A6C"/>
    <w:rsid w:val="00272B91"/>
    <w:rsid w:val="00272C0C"/>
    <w:rsid w:val="00272C26"/>
    <w:rsid w:val="00272CEA"/>
    <w:rsid w:val="00272F40"/>
    <w:rsid w:val="00273198"/>
    <w:rsid w:val="002733E5"/>
    <w:rsid w:val="0027342A"/>
    <w:rsid w:val="002736E4"/>
    <w:rsid w:val="00273B41"/>
    <w:rsid w:val="00273CC4"/>
    <w:rsid w:val="00273FBD"/>
    <w:rsid w:val="0027427A"/>
    <w:rsid w:val="0027467E"/>
    <w:rsid w:val="00274D25"/>
    <w:rsid w:val="00274D2B"/>
    <w:rsid w:val="0027528C"/>
    <w:rsid w:val="002752B3"/>
    <w:rsid w:val="002753CD"/>
    <w:rsid w:val="0027555E"/>
    <w:rsid w:val="00275616"/>
    <w:rsid w:val="00275790"/>
    <w:rsid w:val="0027598D"/>
    <w:rsid w:val="00275BA0"/>
    <w:rsid w:val="00275DBE"/>
    <w:rsid w:val="00275DBF"/>
    <w:rsid w:val="00276320"/>
    <w:rsid w:val="002763D6"/>
    <w:rsid w:val="002763EE"/>
    <w:rsid w:val="0027656B"/>
    <w:rsid w:val="002765C5"/>
    <w:rsid w:val="002768FF"/>
    <w:rsid w:val="00276F86"/>
    <w:rsid w:val="00277531"/>
    <w:rsid w:val="00277755"/>
    <w:rsid w:val="00277A10"/>
    <w:rsid w:val="00277BC2"/>
    <w:rsid w:val="002800BB"/>
    <w:rsid w:val="0028027C"/>
    <w:rsid w:val="00280424"/>
    <w:rsid w:val="00280693"/>
    <w:rsid w:val="00280C76"/>
    <w:rsid w:val="00280F78"/>
    <w:rsid w:val="00281156"/>
    <w:rsid w:val="00281220"/>
    <w:rsid w:val="00281489"/>
    <w:rsid w:val="002815EE"/>
    <w:rsid w:val="00281847"/>
    <w:rsid w:val="00281F42"/>
    <w:rsid w:val="00281F9F"/>
    <w:rsid w:val="0028205E"/>
    <w:rsid w:val="0028228B"/>
    <w:rsid w:val="00282421"/>
    <w:rsid w:val="00282604"/>
    <w:rsid w:val="002826C5"/>
    <w:rsid w:val="0028274D"/>
    <w:rsid w:val="0028289C"/>
    <w:rsid w:val="00282A9A"/>
    <w:rsid w:val="00282DC6"/>
    <w:rsid w:val="00282FC2"/>
    <w:rsid w:val="002830D0"/>
    <w:rsid w:val="002832B4"/>
    <w:rsid w:val="00283379"/>
    <w:rsid w:val="002833BA"/>
    <w:rsid w:val="0028350B"/>
    <w:rsid w:val="0028357D"/>
    <w:rsid w:val="00283801"/>
    <w:rsid w:val="0028382A"/>
    <w:rsid w:val="00283E96"/>
    <w:rsid w:val="00283F4E"/>
    <w:rsid w:val="00283F54"/>
    <w:rsid w:val="0028423D"/>
    <w:rsid w:val="0028452F"/>
    <w:rsid w:val="00284986"/>
    <w:rsid w:val="00284AC4"/>
    <w:rsid w:val="00284E25"/>
    <w:rsid w:val="00284E5D"/>
    <w:rsid w:val="002852B8"/>
    <w:rsid w:val="0028570C"/>
    <w:rsid w:val="00285BDC"/>
    <w:rsid w:val="00285CFD"/>
    <w:rsid w:val="00285E12"/>
    <w:rsid w:val="00285F61"/>
    <w:rsid w:val="0028601D"/>
    <w:rsid w:val="002862A7"/>
    <w:rsid w:val="00286497"/>
    <w:rsid w:val="002866FC"/>
    <w:rsid w:val="00286929"/>
    <w:rsid w:val="00286A7B"/>
    <w:rsid w:val="00286B00"/>
    <w:rsid w:val="00286B1F"/>
    <w:rsid w:val="00286DFC"/>
    <w:rsid w:val="00286F8E"/>
    <w:rsid w:val="0028703B"/>
    <w:rsid w:val="0028711C"/>
    <w:rsid w:val="002872C3"/>
    <w:rsid w:val="002872DB"/>
    <w:rsid w:val="002872EB"/>
    <w:rsid w:val="00287348"/>
    <w:rsid w:val="002874C4"/>
    <w:rsid w:val="00287630"/>
    <w:rsid w:val="00287A73"/>
    <w:rsid w:val="00287B01"/>
    <w:rsid w:val="00287C40"/>
    <w:rsid w:val="00287E1B"/>
    <w:rsid w:val="00287E80"/>
    <w:rsid w:val="00290271"/>
    <w:rsid w:val="00290807"/>
    <w:rsid w:val="00290A34"/>
    <w:rsid w:val="00290C33"/>
    <w:rsid w:val="00290CB8"/>
    <w:rsid w:val="00290D2E"/>
    <w:rsid w:val="00290D4D"/>
    <w:rsid w:val="00290DF2"/>
    <w:rsid w:val="00291466"/>
    <w:rsid w:val="00291848"/>
    <w:rsid w:val="002919E1"/>
    <w:rsid w:val="00291BF5"/>
    <w:rsid w:val="00292508"/>
    <w:rsid w:val="00292685"/>
    <w:rsid w:val="00292760"/>
    <w:rsid w:val="0029277F"/>
    <w:rsid w:val="002929E3"/>
    <w:rsid w:val="00292AD4"/>
    <w:rsid w:val="00292CB4"/>
    <w:rsid w:val="00292D63"/>
    <w:rsid w:val="00293168"/>
    <w:rsid w:val="0029348F"/>
    <w:rsid w:val="0029363D"/>
    <w:rsid w:val="002936F1"/>
    <w:rsid w:val="0029397A"/>
    <w:rsid w:val="00293D03"/>
    <w:rsid w:val="00293FAC"/>
    <w:rsid w:val="002940F9"/>
    <w:rsid w:val="00294331"/>
    <w:rsid w:val="00294376"/>
    <w:rsid w:val="00294521"/>
    <w:rsid w:val="002947A4"/>
    <w:rsid w:val="002947BF"/>
    <w:rsid w:val="002949F4"/>
    <w:rsid w:val="00294CD5"/>
    <w:rsid w:val="0029549F"/>
    <w:rsid w:val="002954A2"/>
    <w:rsid w:val="002956F0"/>
    <w:rsid w:val="002956F3"/>
    <w:rsid w:val="00295DEF"/>
    <w:rsid w:val="00295E72"/>
    <w:rsid w:val="0029640B"/>
    <w:rsid w:val="0029678D"/>
    <w:rsid w:val="00296863"/>
    <w:rsid w:val="00296936"/>
    <w:rsid w:val="00296F99"/>
    <w:rsid w:val="002970AC"/>
    <w:rsid w:val="002971CD"/>
    <w:rsid w:val="002972EA"/>
    <w:rsid w:val="00297338"/>
    <w:rsid w:val="002974C7"/>
    <w:rsid w:val="0029789B"/>
    <w:rsid w:val="00297981"/>
    <w:rsid w:val="00297A09"/>
    <w:rsid w:val="00297DD2"/>
    <w:rsid w:val="00297F78"/>
    <w:rsid w:val="002A0332"/>
    <w:rsid w:val="002A0761"/>
    <w:rsid w:val="002A09CF"/>
    <w:rsid w:val="002A0A52"/>
    <w:rsid w:val="002A0E2C"/>
    <w:rsid w:val="002A0E5F"/>
    <w:rsid w:val="002A1021"/>
    <w:rsid w:val="002A13F8"/>
    <w:rsid w:val="002A16C5"/>
    <w:rsid w:val="002A1912"/>
    <w:rsid w:val="002A1BE6"/>
    <w:rsid w:val="002A1DFA"/>
    <w:rsid w:val="002A1EA0"/>
    <w:rsid w:val="002A1F3D"/>
    <w:rsid w:val="002A2051"/>
    <w:rsid w:val="002A2171"/>
    <w:rsid w:val="002A25DC"/>
    <w:rsid w:val="002A263D"/>
    <w:rsid w:val="002A28ED"/>
    <w:rsid w:val="002A292C"/>
    <w:rsid w:val="002A3038"/>
    <w:rsid w:val="002A3697"/>
    <w:rsid w:val="002A371D"/>
    <w:rsid w:val="002A380E"/>
    <w:rsid w:val="002A3CBA"/>
    <w:rsid w:val="002A3DB3"/>
    <w:rsid w:val="002A4070"/>
    <w:rsid w:val="002A40CA"/>
    <w:rsid w:val="002A427A"/>
    <w:rsid w:val="002A4797"/>
    <w:rsid w:val="002A483E"/>
    <w:rsid w:val="002A4B3A"/>
    <w:rsid w:val="002A4C69"/>
    <w:rsid w:val="002A4D45"/>
    <w:rsid w:val="002A4E65"/>
    <w:rsid w:val="002A4FE3"/>
    <w:rsid w:val="002A52CB"/>
    <w:rsid w:val="002A532B"/>
    <w:rsid w:val="002A53C3"/>
    <w:rsid w:val="002A558E"/>
    <w:rsid w:val="002A5658"/>
    <w:rsid w:val="002A5835"/>
    <w:rsid w:val="002A58B1"/>
    <w:rsid w:val="002A5BD7"/>
    <w:rsid w:val="002A60F8"/>
    <w:rsid w:val="002A660D"/>
    <w:rsid w:val="002A6B97"/>
    <w:rsid w:val="002A6BB6"/>
    <w:rsid w:val="002A6C14"/>
    <w:rsid w:val="002A6C23"/>
    <w:rsid w:val="002A6CB0"/>
    <w:rsid w:val="002A6E02"/>
    <w:rsid w:val="002A6E33"/>
    <w:rsid w:val="002A7066"/>
    <w:rsid w:val="002A722A"/>
    <w:rsid w:val="002A738E"/>
    <w:rsid w:val="002A74F1"/>
    <w:rsid w:val="002A76F8"/>
    <w:rsid w:val="002A7AE3"/>
    <w:rsid w:val="002A7CD5"/>
    <w:rsid w:val="002A7D14"/>
    <w:rsid w:val="002A7DFC"/>
    <w:rsid w:val="002A7E30"/>
    <w:rsid w:val="002B0044"/>
    <w:rsid w:val="002B07E1"/>
    <w:rsid w:val="002B0CBD"/>
    <w:rsid w:val="002B0CC8"/>
    <w:rsid w:val="002B0CE2"/>
    <w:rsid w:val="002B0DAA"/>
    <w:rsid w:val="002B10B0"/>
    <w:rsid w:val="002B125D"/>
    <w:rsid w:val="002B12CA"/>
    <w:rsid w:val="002B1AAE"/>
    <w:rsid w:val="002B1B26"/>
    <w:rsid w:val="002B1DFD"/>
    <w:rsid w:val="002B1EC3"/>
    <w:rsid w:val="002B2032"/>
    <w:rsid w:val="002B2143"/>
    <w:rsid w:val="002B2229"/>
    <w:rsid w:val="002B2825"/>
    <w:rsid w:val="002B2A57"/>
    <w:rsid w:val="002B334D"/>
    <w:rsid w:val="002B381A"/>
    <w:rsid w:val="002B383F"/>
    <w:rsid w:val="002B390C"/>
    <w:rsid w:val="002B397B"/>
    <w:rsid w:val="002B39BC"/>
    <w:rsid w:val="002B3AED"/>
    <w:rsid w:val="002B3F0C"/>
    <w:rsid w:val="002B4089"/>
    <w:rsid w:val="002B4514"/>
    <w:rsid w:val="002B4772"/>
    <w:rsid w:val="002B4A13"/>
    <w:rsid w:val="002B4C4C"/>
    <w:rsid w:val="002B5089"/>
    <w:rsid w:val="002B57E8"/>
    <w:rsid w:val="002B58F2"/>
    <w:rsid w:val="002B58FB"/>
    <w:rsid w:val="002B5A2D"/>
    <w:rsid w:val="002B5DE5"/>
    <w:rsid w:val="002B614A"/>
    <w:rsid w:val="002B61DA"/>
    <w:rsid w:val="002B6632"/>
    <w:rsid w:val="002B6A4C"/>
    <w:rsid w:val="002B7028"/>
    <w:rsid w:val="002B70D7"/>
    <w:rsid w:val="002B72A5"/>
    <w:rsid w:val="002B73BE"/>
    <w:rsid w:val="002B7824"/>
    <w:rsid w:val="002B7873"/>
    <w:rsid w:val="002B7CEE"/>
    <w:rsid w:val="002C0494"/>
    <w:rsid w:val="002C04ED"/>
    <w:rsid w:val="002C0553"/>
    <w:rsid w:val="002C0655"/>
    <w:rsid w:val="002C085D"/>
    <w:rsid w:val="002C0B00"/>
    <w:rsid w:val="002C0F79"/>
    <w:rsid w:val="002C11E6"/>
    <w:rsid w:val="002C142E"/>
    <w:rsid w:val="002C1449"/>
    <w:rsid w:val="002C144D"/>
    <w:rsid w:val="002C16E6"/>
    <w:rsid w:val="002C179E"/>
    <w:rsid w:val="002C1998"/>
    <w:rsid w:val="002C19C6"/>
    <w:rsid w:val="002C1D54"/>
    <w:rsid w:val="002C1D69"/>
    <w:rsid w:val="002C1E18"/>
    <w:rsid w:val="002C20BB"/>
    <w:rsid w:val="002C20E1"/>
    <w:rsid w:val="002C21FA"/>
    <w:rsid w:val="002C24F4"/>
    <w:rsid w:val="002C2620"/>
    <w:rsid w:val="002C292A"/>
    <w:rsid w:val="002C2A21"/>
    <w:rsid w:val="002C2E8E"/>
    <w:rsid w:val="002C2F6F"/>
    <w:rsid w:val="002C3603"/>
    <w:rsid w:val="002C3748"/>
    <w:rsid w:val="002C3857"/>
    <w:rsid w:val="002C39F5"/>
    <w:rsid w:val="002C3B09"/>
    <w:rsid w:val="002C402F"/>
    <w:rsid w:val="002C436F"/>
    <w:rsid w:val="002C44AE"/>
    <w:rsid w:val="002C4522"/>
    <w:rsid w:val="002C4605"/>
    <w:rsid w:val="002C4826"/>
    <w:rsid w:val="002C4A83"/>
    <w:rsid w:val="002C506C"/>
    <w:rsid w:val="002C51EC"/>
    <w:rsid w:val="002C53A7"/>
    <w:rsid w:val="002C566C"/>
    <w:rsid w:val="002C56B6"/>
    <w:rsid w:val="002C59A2"/>
    <w:rsid w:val="002C5C85"/>
    <w:rsid w:val="002C6AA3"/>
    <w:rsid w:val="002C6EC6"/>
    <w:rsid w:val="002C6FBE"/>
    <w:rsid w:val="002C7122"/>
    <w:rsid w:val="002C7206"/>
    <w:rsid w:val="002C72FF"/>
    <w:rsid w:val="002C75D6"/>
    <w:rsid w:val="002C7854"/>
    <w:rsid w:val="002C7D89"/>
    <w:rsid w:val="002C7E5A"/>
    <w:rsid w:val="002C7FB0"/>
    <w:rsid w:val="002D0006"/>
    <w:rsid w:val="002D0555"/>
    <w:rsid w:val="002D0635"/>
    <w:rsid w:val="002D09D9"/>
    <w:rsid w:val="002D1140"/>
    <w:rsid w:val="002D1336"/>
    <w:rsid w:val="002D13D8"/>
    <w:rsid w:val="002D1509"/>
    <w:rsid w:val="002D1DA8"/>
    <w:rsid w:val="002D1E0F"/>
    <w:rsid w:val="002D2072"/>
    <w:rsid w:val="002D20D6"/>
    <w:rsid w:val="002D2153"/>
    <w:rsid w:val="002D2768"/>
    <w:rsid w:val="002D2A9E"/>
    <w:rsid w:val="002D2AE7"/>
    <w:rsid w:val="002D2C86"/>
    <w:rsid w:val="002D2EB0"/>
    <w:rsid w:val="002D3000"/>
    <w:rsid w:val="002D3014"/>
    <w:rsid w:val="002D32FB"/>
    <w:rsid w:val="002D33D6"/>
    <w:rsid w:val="002D35E8"/>
    <w:rsid w:val="002D3673"/>
    <w:rsid w:val="002D373F"/>
    <w:rsid w:val="002D3967"/>
    <w:rsid w:val="002D3A48"/>
    <w:rsid w:val="002D3C8C"/>
    <w:rsid w:val="002D3CA8"/>
    <w:rsid w:val="002D41F1"/>
    <w:rsid w:val="002D4785"/>
    <w:rsid w:val="002D47E4"/>
    <w:rsid w:val="002D4A60"/>
    <w:rsid w:val="002D4C7D"/>
    <w:rsid w:val="002D4D68"/>
    <w:rsid w:val="002D4FEC"/>
    <w:rsid w:val="002D588B"/>
    <w:rsid w:val="002D5982"/>
    <w:rsid w:val="002D5C83"/>
    <w:rsid w:val="002D5ECD"/>
    <w:rsid w:val="002D6014"/>
    <w:rsid w:val="002D6038"/>
    <w:rsid w:val="002D626A"/>
    <w:rsid w:val="002D62F8"/>
    <w:rsid w:val="002D63CC"/>
    <w:rsid w:val="002D652E"/>
    <w:rsid w:val="002D6B67"/>
    <w:rsid w:val="002D6F81"/>
    <w:rsid w:val="002D7261"/>
    <w:rsid w:val="002D7377"/>
    <w:rsid w:val="002D73B0"/>
    <w:rsid w:val="002D79BD"/>
    <w:rsid w:val="002D7BA6"/>
    <w:rsid w:val="002D7DA2"/>
    <w:rsid w:val="002E0539"/>
    <w:rsid w:val="002E0573"/>
    <w:rsid w:val="002E0574"/>
    <w:rsid w:val="002E060E"/>
    <w:rsid w:val="002E0708"/>
    <w:rsid w:val="002E07DC"/>
    <w:rsid w:val="002E07FF"/>
    <w:rsid w:val="002E0A4F"/>
    <w:rsid w:val="002E0BD2"/>
    <w:rsid w:val="002E0CC6"/>
    <w:rsid w:val="002E0CCF"/>
    <w:rsid w:val="002E12A9"/>
    <w:rsid w:val="002E18FD"/>
    <w:rsid w:val="002E1AF1"/>
    <w:rsid w:val="002E1B2C"/>
    <w:rsid w:val="002E1CB3"/>
    <w:rsid w:val="002E1D94"/>
    <w:rsid w:val="002E2389"/>
    <w:rsid w:val="002E25D5"/>
    <w:rsid w:val="002E2785"/>
    <w:rsid w:val="002E289D"/>
    <w:rsid w:val="002E2ACD"/>
    <w:rsid w:val="002E2EFE"/>
    <w:rsid w:val="002E2F8D"/>
    <w:rsid w:val="002E31CD"/>
    <w:rsid w:val="002E3454"/>
    <w:rsid w:val="002E3602"/>
    <w:rsid w:val="002E38D7"/>
    <w:rsid w:val="002E3B4E"/>
    <w:rsid w:val="002E3D64"/>
    <w:rsid w:val="002E3E0B"/>
    <w:rsid w:val="002E3EAE"/>
    <w:rsid w:val="002E4269"/>
    <w:rsid w:val="002E48EF"/>
    <w:rsid w:val="002E4BAD"/>
    <w:rsid w:val="002E4EDC"/>
    <w:rsid w:val="002E50BB"/>
    <w:rsid w:val="002E5341"/>
    <w:rsid w:val="002E53DA"/>
    <w:rsid w:val="002E58A0"/>
    <w:rsid w:val="002E5BF2"/>
    <w:rsid w:val="002E5C88"/>
    <w:rsid w:val="002E5CD6"/>
    <w:rsid w:val="002E60DB"/>
    <w:rsid w:val="002E61AC"/>
    <w:rsid w:val="002E62C4"/>
    <w:rsid w:val="002E63EB"/>
    <w:rsid w:val="002E63F0"/>
    <w:rsid w:val="002E643C"/>
    <w:rsid w:val="002E658A"/>
    <w:rsid w:val="002E69F6"/>
    <w:rsid w:val="002E6BA8"/>
    <w:rsid w:val="002E6F93"/>
    <w:rsid w:val="002E6FC5"/>
    <w:rsid w:val="002E6FE2"/>
    <w:rsid w:val="002E72C5"/>
    <w:rsid w:val="002E73BE"/>
    <w:rsid w:val="002E75F3"/>
    <w:rsid w:val="002E7912"/>
    <w:rsid w:val="002E791E"/>
    <w:rsid w:val="002E7992"/>
    <w:rsid w:val="002E7A13"/>
    <w:rsid w:val="002E7C69"/>
    <w:rsid w:val="002E7E60"/>
    <w:rsid w:val="002F012D"/>
    <w:rsid w:val="002F04C0"/>
    <w:rsid w:val="002F061B"/>
    <w:rsid w:val="002F06E8"/>
    <w:rsid w:val="002F08AB"/>
    <w:rsid w:val="002F0D0F"/>
    <w:rsid w:val="002F0D5B"/>
    <w:rsid w:val="002F0DE6"/>
    <w:rsid w:val="002F0E2D"/>
    <w:rsid w:val="002F130A"/>
    <w:rsid w:val="002F1719"/>
    <w:rsid w:val="002F184C"/>
    <w:rsid w:val="002F1E5C"/>
    <w:rsid w:val="002F1FAB"/>
    <w:rsid w:val="002F25CF"/>
    <w:rsid w:val="002F28BC"/>
    <w:rsid w:val="002F2A38"/>
    <w:rsid w:val="002F2D92"/>
    <w:rsid w:val="002F2ED2"/>
    <w:rsid w:val="002F33ED"/>
    <w:rsid w:val="002F341E"/>
    <w:rsid w:val="002F3444"/>
    <w:rsid w:val="002F38E3"/>
    <w:rsid w:val="002F3C69"/>
    <w:rsid w:val="002F3DD8"/>
    <w:rsid w:val="002F416B"/>
    <w:rsid w:val="002F447E"/>
    <w:rsid w:val="002F4B6F"/>
    <w:rsid w:val="002F4C16"/>
    <w:rsid w:val="002F4F4E"/>
    <w:rsid w:val="002F4F54"/>
    <w:rsid w:val="002F5092"/>
    <w:rsid w:val="002F557D"/>
    <w:rsid w:val="002F5712"/>
    <w:rsid w:val="002F571B"/>
    <w:rsid w:val="002F5FF2"/>
    <w:rsid w:val="002F6028"/>
    <w:rsid w:val="002F64B8"/>
    <w:rsid w:val="002F6BB6"/>
    <w:rsid w:val="002F6D15"/>
    <w:rsid w:val="002F6F54"/>
    <w:rsid w:val="002F7325"/>
    <w:rsid w:val="002F75D0"/>
    <w:rsid w:val="002F7893"/>
    <w:rsid w:val="002F7C01"/>
    <w:rsid w:val="002F7C79"/>
    <w:rsid w:val="002F7DCF"/>
    <w:rsid w:val="002F7F37"/>
    <w:rsid w:val="003000CD"/>
    <w:rsid w:val="0030014C"/>
    <w:rsid w:val="00300CC5"/>
    <w:rsid w:val="00300D74"/>
    <w:rsid w:val="003012ED"/>
    <w:rsid w:val="0030132C"/>
    <w:rsid w:val="0030134D"/>
    <w:rsid w:val="003013D1"/>
    <w:rsid w:val="00301442"/>
    <w:rsid w:val="0030179B"/>
    <w:rsid w:val="0030190B"/>
    <w:rsid w:val="00301C6C"/>
    <w:rsid w:val="0030204B"/>
    <w:rsid w:val="003021C2"/>
    <w:rsid w:val="00302692"/>
    <w:rsid w:val="0030290F"/>
    <w:rsid w:val="00302A54"/>
    <w:rsid w:val="00302A86"/>
    <w:rsid w:val="00302BF7"/>
    <w:rsid w:val="00302CF4"/>
    <w:rsid w:val="00302ED2"/>
    <w:rsid w:val="00302FEF"/>
    <w:rsid w:val="00303351"/>
    <w:rsid w:val="00303792"/>
    <w:rsid w:val="00303801"/>
    <w:rsid w:val="0030381E"/>
    <w:rsid w:val="00303AF4"/>
    <w:rsid w:val="00303AF6"/>
    <w:rsid w:val="00303B0D"/>
    <w:rsid w:val="003045A5"/>
    <w:rsid w:val="003046CE"/>
    <w:rsid w:val="00304934"/>
    <w:rsid w:val="00304B92"/>
    <w:rsid w:val="00304CC2"/>
    <w:rsid w:val="00304D11"/>
    <w:rsid w:val="00304E85"/>
    <w:rsid w:val="00304FBC"/>
    <w:rsid w:val="00305105"/>
    <w:rsid w:val="00305112"/>
    <w:rsid w:val="003051DF"/>
    <w:rsid w:val="00305292"/>
    <w:rsid w:val="003052E0"/>
    <w:rsid w:val="00305416"/>
    <w:rsid w:val="00305673"/>
    <w:rsid w:val="003059BF"/>
    <w:rsid w:val="00305A8F"/>
    <w:rsid w:val="00305BAB"/>
    <w:rsid w:val="00305D71"/>
    <w:rsid w:val="00305F89"/>
    <w:rsid w:val="003064F7"/>
    <w:rsid w:val="003065DF"/>
    <w:rsid w:val="003067E8"/>
    <w:rsid w:val="00306D6E"/>
    <w:rsid w:val="00307044"/>
    <w:rsid w:val="0030714C"/>
    <w:rsid w:val="00307529"/>
    <w:rsid w:val="00307AEC"/>
    <w:rsid w:val="00310202"/>
    <w:rsid w:val="00310479"/>
    <w:rsid w:val="003104AE"/>
    <w:rsid w:val="00310867"/>
    <w:rsid w:val="00310A25"/>
    <w:rsid w:val="00310AE6"/>
    <w:rsid w:val="00310E97"/>
    <w:rsid w:val="00310F1B"/>
    <w:rsid w:val="003111FA"/>
    <w:rsid w:val="003114AC"/>
    <w:rsid w:val="00311CBF"/>
    <w:rsid w:val="00311DB6"/>
    <w:rsid w:val="00311E10"/>
    <w:rsid w:val="0031279F"/>
    <w:rsid w:val="00312D9E"/>
    <w:rsid w:val="00312F0D"/>
    <w:rsid w:val="00313284"/>
    <w:rsid w:val="003134FC"/>
    <w:rsid w:val="00313546"/>
    <w:rsid w:val="00313836"/>
    <w:rsid w:val="00313975"/>
    <w:rsid w:val="00313A0C"/>
    <w:rsid w:val="00313AD5"/>
    <w:rsid w:val="00313E2F"/>
    <w:rsid w:val="00314009"/>
    <w:rsid w:val="00314012"/>
    <w:rsid w:val="0031402E"/>
    <w:rsid w:val="00314206"/>
    <w:rsid w:val="00314569"/>
    <w:rsid w:val="00314965"/>
    <w:rsid w:val="00314969"/>
    <w:rsid w:val="003149F1"/>
    <w:rsid w:val="003151B8"/>
    <w:rsid w:val="00315609"/>
    <w:rsid w:val="00315614"/>
    <w:rsid w:val="0031581E"/>
    <w:rsid w:val="00315C00"/>
    <w:rsid w:val="0031600A"/>
    <w:rsid w:val="00316284"/>
    <w:rsid w:val="00316441"/>
    <w:rsid w:val="00316715"/>
    <w:rsid w:val="003167C5"/>
    <w:rsid w:val="00316814"/>
    <w:rsid w:val="00316B23"/>
    <w:rsid w:val="00316B82"/>
    <w:rsid w:val="0031706E"/>
    <w:rsid w:val="00317246"/>
    <w:rsid w:val="003174C2"/>
    <w:rsid w:val="00317924"/>
    <w:rsid w:val="00317A98"/>
    <w:rsid w:val="00317B6D"/>
    <w:rsid w:val="00317FBD"/>
    <w:rsid w:val="00320040"/>
    <w:rsid w:val="0032014F"/>
    <w:rsid w:val="003201D3"/>
    <w:rsid w:val="00320309"/>
    <w:rsid w:val="00320546"/>
    <w:rsid w:val="0032063E"/>
    <w:rsid w:val="00320699"/>
    <w:rsid w:val="00320854"/>
    <w:rsid w:val="0032085D"/>
    <w:rsid w:val="00320AEE"/>
    <w:rsid w:val="00320B81"/>
    <w:rsid w:val="00320BD7"/>
    <w:rsid w:val="00320D69"/>
    <w:rsid w:val="00320EDC"/>
    <w:rsid w:val="00320F24"/>
    <w:rsid w:val="00321260"/>
    <w:rsid w:val="00321324"/>
    <w:rsid w:val="00321331"/>
    <w:rsid w:val="0032140A"/>
    <w:rsid w:val="00321461"/>
    <w:rsid w:val="003214C3"/>
    <w:rsid w:val="003215D7"/>
    <w:rsid w:val="003216A9"/>
    <w:rsid w:val="003218DF"/>
    <w:rsid w:val="0032191E"/>
    <w:rsid w:val="00321951"/>
    <w:rsid w:val="00321A3E"/>
    <w:rsid w:val="00321A40"/>
    <w:rsid w:val="003221D0"/>
    <w:rsid w:val="00322355"/>
    <w:rsid w:val="00322AF7"/>
    <w:rsid w:val="003231A1"/>
    <w:rsid w:val="0032355B"/>
    <w:rsid w:val="003235AA"/>
    <w:rsid w:val="00323935"/>
    <w:rsid w:val="0032393D"/>
    <w:rsid w:val="00323C7A"/>
    <w:rsid w:val="00323C7F"/>
    <w:rsid w:val="00323CE8"/>
    <w:rsid w:val="00323DEE"/>
    <w:rsid w:val="00323E36"/>
    <w:rsid w:val="00324AF1"/>
    <w:rsid w:val="00324B0A"/>
    <w:rsid w:val="00324DB4"/>
    <w:rsid w:val="00324DC9"/>
    <w:rsid w:val="003251A0"/>
    <w:rsid w:val="0032544D"/>
    <w:rsid w:val="0032551A"/>
    <w:rsid w:val="003258D1"/>
    <w:rsid w:val="003259DB"/>
    <w:rsid w:val="00325E66"/>
    <w:rsid w:val="003262BA"/>
    <w:rsid w:val="00326700"/>
    <w:rsid w:val="00326904"/>
    <w:rsid w:val="00326A2F"/>
    <w:rsid w:val="00326A33"/>
    <w:rsid w:val="00326B6C"/>
    <w:rsid w:val="00326BAB"/>
    <w:rsid w:val="00326DEE"/>
    <w:rsid w:val="003270A3"/>
    <w:rsid w:val="003271A1"/>
    <w:rsid w:val="00327301"/>
    <w:rsid w:val="003274EB"/>
    <w:rsid w:val="00327543"/>
    <w:rsid w:val="003275FC"/>
    <w:rsid w:val="00327616"/>
    <w:rsid w:val="003279A4"/>
    <w:rsid w:val="003279AC"/>
    <w:rsid w:val="00327A0B"/>
    <w:rsid w:val="00327A5C"/>
    <w:rsid w:val="00327ABA"/>
    <w:rsid w:val="00327B5C"/>
    <w:rsid w:val="00327D92"/>
    <w:rsid w:val="0033031D"/>
    <w:rsid w:val="003303E3"/>
    <w:rsid w:val="003308BD"/>
    <w:rsid w:val="00330AD2"/>
    <w:rsid w:val="00330B9E"/>
    <w:rsid w:val="00330F90"/>
    <w:rsid w:val="00331207"/>
    <w:rsid w:val="0033195D"/>
    <w:rsid w:val="00331996"/>
    <w:rsid w:val="00331A7A"/>
    <w:rsid w:val="00331D09"/>
    <w:rsid w:val="00331DCE"/>
    <w:rsid w:val="00331EC8"/>
    <w:rsid w:val="00331F6F"/>
    <w:rsid w:val="00332004"/>
    <w:rsid w:val="00332348"/>
    <w:rsid w:val="00332BCD"/>
    <w:rsid w:val="00332BE6"/>
    <w:rsid w:val="00332E88"/>
    <w:rsid w:val="00332ED9"/>
    <w:rsid w:val="00333200"/>
    <w:rsid w:val="0033352E"/>
    <w:rsid w:val="0033376D"/>
    <w:rsid w:val="003337B5"/>
    <w:rsid w:val="003337FC"/>
    <w:rsid w:val="00333908"/>
    <w:rsid w:val="0033390A"/>
    <w:rsid w:val="00333C05"/>
    <w:rsid w:val="00333CA6"/>
    <w:rsid w:val="00333F04"/>
    <w:rsid w:val="003340DF"/>
    <w:rsid w:val="003341E7"/>
    <w:rsid w:val="003344F5"/>
    <w:rsid w:val="003347E4"/>
    <w:rsid w:val="003347E8"/>
    <w:rsid w:val="003348FA"/>
    <w:rsid w:val="00334CB6"/>
    <w:rsid w:val="00334E65"/>
    <w:rsid w:val="00334F72"/>
    <w:rsid w:val="0033507E"/>
    <w:rsid w:val="003353C7"/>
    <w:rsid w:val="003358A2"/>
    <w:rsid w:val="00335A12"/>
    <w:rsid w:val="00335A27"/>
    <w:rsid w:val="00335A88"/>
    <w:rsid w:val="00335C82"/>
    <w:rsid w:val="00335CB1"/>
    <w:rsid w:val="00335DD7"/>
    <w:rsid w:val="00336175"/>
    <w:rsid w:val="003365C7"/>
    <w:rsid w:val="0033660E"/>
    <w:rsid w:val="00336710"/>
    <w:rsid w:val="003368B1"/>
    <w:rsid w:val="00336A72"/>
    <w:rsid w:val="003370A3"/>
    <w:rsid w:val="003373D7"/>
    <w:rsid w:val="003376D2"/>
    <w:rsid w:val="00337880"/>
    <w:rsid w:val="00337B27"/>
    <w:rsid w:val="00337D20"/>
    <w:rsid w:val="00337E28"/>
    <w:rsid w:val="00340109"/>
    <w:rsid w:val="00340192"/>
    <w:rsid w:val="003405FB"/>
    <w:rsid w:val="0034064D"/>
    <w:rsid w:val="0034068E"/>
    <w:rsid w:val="003406EA"/>
    <w:rsid w:val="0034073E"/>
    <w:rsid w:val="003408FD"/>
    <w:rsid w:val="00340AF1"/>
    <w:rsid w:val="0034109D"/>
    <w:rsid w:val="00341105"/>
    <w:rsid w:val="00341314"/>
    <w:rsid w:val="003415A4"/>
    <w:rsid w:val="00341898"/>
    <w:rsid w:val="00341AE7"/>
    <w:rsid w:val="00341F08"/>
    <w:rsid w:val="00341F59"/>
    <w:rsid w:val="00341F94"/>
    <w:rsid w:val="00342014"/>
    <w:rsid w:val="0034211E"/>
    <w:rsid w:val="00342315"/>
    <w:rsid w:val="0034253E"/>
    <w:rsid w:val="003426CB"/>
    <w:rsid w:val="00342A68"/>
    <w:rsid w:val="00342C14"/>
    <w:rsid w:val="00342D63"/>
    <w:rsid w:val="00342EED"/>
    <w:rsid w:val="00343284"/>
    <w:rsid w:val="003432A3"/>
    <w:rsid w:val="00343389"/>
    <w:rsid w:val="0034345C"/>
    <w:rsid w:val="003435A7"/>
    <w:rsid w:val="00343675"/>
    <w:rsid w:val="003437D1"/>
    <w:rsid w:val="00343C24"/>
    <w:rsid w:val="00343CE8"/>
    <w:rsid w:val="00343E2A"/>
    <w:rsid w:val="00343F39"/>
    <w:rsid w:val="0034407A"/>
    <w:rsid w:val="003444DF"/>
    <w:rsid w:val="003444E9"/>
    <w:rsid w:val="00344549"/>
    <w:rsid w:val="003445D5"/>
    <w:rsid w:val="003448ED"/>
    <w:rsid w:val="00344A0E"/>
    <w:rsid w:val="00344A60"/>
    <w:rsid w:val="00344E3F"/>
    <w:rsid w:val="003451FB"/>
    <w:rsid w:val="00345271"/>
    <w:rsid w:val="00345348"/>
    <w:rsid w:val="00345682"/>
    <w:rsid w:val="003456BE"/>
    <w:rsid w:val="00345826"/>
    <w:rsid w:val="00345CAA"/>
    <w:rsid w:val="00345CAF"/>
    <w:rsid w:val="00345D46"/>
    <w:rsid w:val="00345DCC"/>
    <w:rsid w:val="00345EDD"/>
    <w:rsid w:val="00345F14"/>
    <w:rsid w:val="00345FF9"/>
    <w:rsid w:val="00346030"/>
    <w:rsid w:val="003461A7"/>
    <w:rsid w:val="003461D4"/>
    <w:rsid w:val="003466C8"/>
    <w:rsid w:val="0034672B"/>
    <w:rsid w:val="00346D80"/>
    <w:rsid w:val="00346DF2"/>
    <w:rsid w:val="00346DF9"/>
    <w:rsid w:val="00346F36"/>
    <w:rsid w:val="003471F1"/>
    <w:rsid w:val="00347209"/>
    <w:rsid w:val="00347827"/>
    <w:rsid w:val="003479A5"/>
    <w:rsid w:val="00347A87"/>
    <w:rsid w:val="00347C30"/>
    <w:rsid w:val="00347D79"/>
    <w:rsid w:val="00350406"/>
    <w:rsid w:val="00350422"/>
    <w:rsid w:val="003506A3"/>
    <w:rsid w:val="00350DF2"/>
    <w:rsid w:val="00350E71"/>
    <w:rsid w:val="0035120E"/>
    <w:rsid w:val="003513C5"/>
    <w:rsid w:val="00351466"/>
    <w:rsid w:val="0035151F"/>
    <w:rsid w:val="003518E8"/>
    <w:rsid w:val="00351952"/>
    <w:rsid w:val="00351993"/>
    <w:rsid w:val="00351B80"/>
    <w:rsid w:val="00351CA8"/>
    <w:rsid w:val="00352168"/>
    <w:rsid w:val="0035221A"/>
    <w:rsid w:val="003523D6"/>
    <w:rsid w:val="003526D0"/>
    <w:rsid w:val="0035285E"/>
    <w:rsid w:val="0035286E"/>
    <w:rsid w:val="00352911"/>
    <w:rsid w:val="00352D89"/>
    <w:rsid w:val="00352DF8"/>
    <w:rsid w:val="00352F72"/>
    <w:rsid w:val="00352FA8"/>
    <w:rsid w:val="00353106"/>
    <w:rsid w:val="0035379C"/>
    <w:rsid w:val="003538A4"/>
    <w:rsid w:val="003538F7"/>
    <w:rsid w:val="00353DBD"/>
    <w:rsid w:val="003540F6"/>
    <w:rsid w:val="00354390"/>
    <w:rsid w:val="0035458E"/>
    <w:rsid w:val="00354893"/>
    <w:rsid w:val="00354AA4"/>
    <w:rsid w:val="00354D69"/>
    <w:rsid w:val="00354EA6"/>
    <w:rsid w:val="003551B9"/>
    <w:rsid w:val="003551CF"/>
    <w:rsid w:val="0035527F"/>
    <w:rsid w:val="0035534E"/>
    <w:rsid w:val="0035537D"/>
    <w:rsid w:val="0035581F"/>
    <w:rsid w:val="003559AF"/>
    <w:rsid w:val="00355E88"/>
    <w:rsid w:val="00355FDC"/>
    <w:rsid w:val="003561CC"/>
    <w:rsid w:val="00356333"/>
    <w:rsid w:val="00356434"/>
    <w:rsid w:val="003566F8"/>
    <w:rsid w:val="00356708"/>
    <w:rsid w:val="00356733"/>
    <w:rsid w:val="00356802"/>
    <w:rsid w:val="00356987"/>
    <w:rsid w:val="00356C7E"/>
    <w:rsid w:val="0035712D"/>
    <w:rsid w:val="003576F0"/>
    <w:rsid w:val="00357868"/>
    <w:rsid w:val="00360343"/>
    <w:rsid w:val="0036039C"/>
    <w:rsid w:val="00360441"/>
    <w:rsid w:val="0036044E"/>
    <w:rsid w:val="00360552"/>
    <w:rsid w:val="003605A3"/>
    <w:rsid w:val="00360612"/>
    <w:rsid w:val="003608AF"/>
    <w:rsid w:val="00360D81"/>
    <w:rsid w:val="00360F6B"/>
    <w:rsid w:val="0036115E"/>
    <w:rsid w:val="00361471"/>
    <w:rsid w:val="003618C0"/>
    <w:rsid w:val="003619F9"/>
    <w:rsid w:val="00361A13"/>
    <w:rsid w:val="00361C49"/>
    <w:rsid w:val="0036202C"/>
    <w:rsid w:val="00362328"/>
    <w:rsid w:val="003623F3"/>
    <w:rsid w:val="00362826"/>
    <w:rsid w:val="00362A40"/>
    <w:rsid w:val="00362D4A"/>
    <w:rsid w:val="00362D78"/>
    <w:rsid w:val="00362E2F"/>
    <w:rsid w:val="0036354D"/>
    <w:rsid w:val="003639B9"/>
    <w:rsid w:val="003639C8"/>
    <w:rsid w:val="00363AAA"/>
    <w:rsid w:val="00363AD0"/>
    <w:rsid w:val="00363CF5"/>
    <w:rsid w:val="0036408A"/>
    <w:rsid w:val="0036409C"/>
    <w:rsid w:val="00364416"/>
    <w:rsid w:val="0036469B"/>
    <w:rsid w:val="003646ED"/>
    <w:rsid w:val="0036477D"/>
    <w:rsid w:val="0036483B"/>
    <w:rsid w:val="00364986"/>
    <w:rsid w:val="00364BE8"/>
    <w:rsid w:val="00364D63"/>
    <w:rsid w:val="00364DCC"/>
    <w:rsid w:val="00364F56"/>
    <w:rsid w:val="003652D4"/>
    <w:rsid w:val="00365749"/>
    <w:rsid w:val="00365806"/>
    <w:rsid w:val="00365986"/>
    <w:rsid w:val="00365AC6"/>
    <w:rsid w:val="003665DE"/>
    <w:rsid w:val="00366614"/>
    <w:rsid w:val="003667CA"/>
    <w:rsid w:val="00366828"/>
    <w:rsid w:val="003668EA"/>
    <w:rsid w:val="00366B12"/>
    <w:rsid w:val="00366D17"/>
    <w:rsid w:val="0036704F"/>
    <w:rsid w:val="00367170"/>
    <w:rsid w:val="0037004D"/>
    <w:rsid w:val="003700AD"/>
    <w:rsid w:val="003703D9"/>
    <w:rsid w:val="00370418"/>
    <w:rsid w:val="00370467"/>
    <w:rsid w:val="003704B0"/>
    <w:rsid w:val="0037066F"/>
    <w:rsid w:val="00370950"/>
    <w:rsid w:val="00370A92"/>
    <w:rsid w:val="00370AB5"/>
    <w:rsid w:val="0037146E"/>
    <w:rsid w:val="003714DD"/>
    <w:rsid w:val="00371567"/>
    <w:rsid w:val="0037165C"/>
    <w:rsid w:val="00371AA5"/>
    <w:rsid w:val="00371D1D"/>
    <w:rsid w:val="00371E96"/>
    <w:rsid w:val="00371E9B"/>
    <w:rsid w:val="00372081"/>
    <w:rsid w:val="003720B7"/>
    <w:rsid w:val="0037226C"/>
    <w:rsid w:val="00372364"/>
    <w:rsid w:val="003725E7"/>
    <w:rsid w:val="00372854"/>
    <w:rsid w:val="003729CD"/>
    <w:rsid w:val="00372A3B"/>
    <w:rsid w:val="00373028"/>
    <w:rsid w:val="0037378F"/>
    <w:rsid w:val="00373849"/>
    <w:rsid w:val="003739F0"/>
    <w:rsid w:val="00373ACD"/>
    <w:rsid w:val="00373E3D"/>
    <w:rsid w:val="00373EB6"/>
    <w:rsid w:val="003741B1"/>
    <w:rsid w:val="00374300"/>
    <w:rsid w:val="00374310"/>
    <w:rsid w:val="00374649"/>
    <w:rsid w:val="003746C4"/>
    <w:rsid w:val="003747C9"/>
    <w:rsid w:val="00374827"/>
    <w:rsid w:val="00374DB6"/>
    <w:rsid w:val="00374F0B"/>
    <w:rsid w:val="00374F4D"/>
    <w:rsid w:val="00374FF4"/>
    <w:rsid w:val="00375257"/>
    <w:rsid w:val="003756E8"/>
    <w:rsid w:val="0037571D"/>
    <w:rsid w:val="00375839"/>
    <w:rsid w:val="0037585D"/>
    <w:rsid w:val="0037585E"/>
    <w:rsid w:val="0037587E"/>
    <w:rsid w:val="00375BD4"/>
    <w:rsid w:val="00375D3B"/>
    <w:rsid w:val="00376081"/>
    <w:rsid w:val="00376098"/>
    <w:rsid w:val="003765BB"/>
    <w:rsid w:val="0037674F"/>
    <w:rsid w:val="00376784"/>
    <w:rsid w:val="003768F7"/>
    <w:rsid w:val="003769C1"/>
    <w:rsid w:val="00376B75"/>
    <w:rsid w:val="00376E7F"/>
    <w:rsid w:val="00376E97"/>
    <w:rsid w:val="00376EB3"/>
    <w:rsid w:val="0037713A"/>
    <w:rsid w:val="00377A67"/>
    <w:rsid w:val="00377F0A"/>
    <w:rsid w:val="0038014F"/>
    <w:rsid w:val="00380371"/>
    <w:rsid w:val="003803FB"/>
    <w:rsid w:val="00380436"/>
    <w:rsid w:val="003805AA"/>
    <w:rsid w:val="0038079F"/>
    <w:rsid w:val="0038097E"/>
    <w:rsid w:val="00380B4A"/>
    <w:rsid w:val="00380BB4"/>
    <w:rsid w:val="00380DBB"/>
    <w:rsid w:val="0038102E"/>
    <w:rsid w:val="003810BF"/>
    <w:rsid w:val="003810E4"/>
    <w:rsid w:val="003812E9"/>
    <w:rsid w:val="00381553"/>
    <w:rsid w:val="00381606"/>
    <w:rsid w:val="0038179F"/>
    <w:rsid w:val="003817B3"/>
    <w:rsid w:val="00381911"/>
    <w:rsid w:val="00381AB1"/>
    <w:rsid w:val="00381AF6"/>
    <w:rsid w:val="00381C56"/>
    <w:rsid w:val="00381DF5"/>
    <w:rsid w:val="003821A1"/>
    <w:rsid w:val="003822E7"/>
    <w:rsid w:val="00382639"/>
    <w:rsid w:val="003826F9"/>
    <w:rsid w:val="003829B2"/>
    <w:rsid w:val="00382BBF"/>
    <w:rsid w:val="00382DBC"/>
    <w:rsid w:val="00382EB4"/>
    <w:rsid w:val="00383618"/>
    <w:rsid w:val="0038396D"/>
    <w:rsid w:val="00383A5B"/>
    <w:rsid w:val="00383E4E"/>
    <w:rsid w:val="00383ED4"/>
    <w:rsid w:val="003840DC"/>
    <w:rsid w:val="0038415C"/>
    <w:rsid w:val="003841D7"/>
    <w:rsid w:val="003842B9"/>
    <w:rsid w:val="00384557"/>
    <w:rsid w:val="0038469F"/>
    <w:rsid w:val="003846F0"/>
    <w:rsid w:val="00384849"/>
    <w:rsid w:val="00384929"/>
    <w:rsid w:val="00384C44"/>
    <w:rsid w:val="00384D0D"/>
    <w:rsid w:val="003853E4"/>
    <w:rsid w:val="0038567E"/>
    <w:rsid w:val="0038574C"/>
    <w:rsid w:val="00385881"/>
    <w:rsid w:val="00385CF2"/>
    <w:rsid w:val="003869A6"/>
    <w:rsid w:val="00386A1C"/>
    <w:rsid w:val="00386A42"/>
    <w:rsid w:val="00386B01"/>
    <w:rsid w:val="00386C61"/>
    <w:rsid w:val="00386D2C"/>
    <w:rsid w:val="00386FD2"/>
    <w:rsid w:val="00387610"/>
    <w:rsid w:val="0038765A"/>
    <w:rsid w:val="00387B9F"/>
    <w:rsid w:val="00387C84"/>
    <w:rsid w:val="00387D45"/>
    <w:rsid w:val="00387EF9"/>
    <w:rsid w:val="003905EB"/>
    <w:rsid w:val="00390A15"/>
    <w:rsid w:val="00390DAD"/>
    <w:rsid w:val="00391304"/>
    <w:rsid w:val="00391709"/>
    <w:rsid w:val="0039181E"/>
    <w:rsid w:val="003918EC"/>
    <w:rsid w:val="0039198A"/>
    <w:rsid w:val="00391A0C"/>
    <w:rsid w:val="00391BD3"/>
    <w:rsid w:val="00391C68"/>
    <w:rsid w:val="00391DFD"/>
    <w:rsid w:val="00392220"/>
    <w:rsid w:val="003922D2"/>
    <w:rsid w:val="0039231F"/>
    <w:rsid w:val="003923E4"/>
    <w:rsid w:val="0039259B"/>
    <w:rsid w:val="003926E9"/>
    <w:rsid w:val="0039281D"/>
    <w:rsid w:val="003928D6"/>
    <w:rsid w:val="00392BA0"/>
    <w:rsid w:val="00392C29"/>
    <w:rsid w:val="00392E29"/>
    <w:rsid w:val="00393196"/>
    <w:rsid w:val="0039398D"/>
    <w:rsid w:val="00393AE7"/>
    <w:rsid w:val="00393BA5"/>
    <w:rsid w:val="00393C3B"/>
    <w:rsid w:val="00393D7B"/>
    <w:rsid w:val="003940DE"/>
    <w:rsid w:val="003941E2"/>
    <w:rsid w:val="00394215"/>
    <w:rsid w:val="00394512"/>
    <w:rsid w:val="003949A0"/>
    <w:rsid w:val="00394B41"/>
    <w:rsid w:val="00394BD6"/>
    <w:rsid w:val="00394C30"/>
    <w:rsid w:val="00394CB7"/>
    <w:rsid w:val="003953B5"/>
    <w:rsid w:val="003957C0"/>
    <w:rsid w:val="00395AAA"/>
    <w:rsid w:val="00395C1A"/>
    <w:rsid w:val="00395D1E"/>
    <w:rsid w:val="0039694C"/>
    <w:rsid w:val="00396A0B"/>
    <w:rsid w:val="00396C6B"/>
    <w:rsid w:val="00396F55"/>
    <w:rsid w:val="0039704B"/>
    <w:rsid w:val="003970C9"/>
    <w:rsid w:val="003970D7"/>
    <w:rsid w:val="0039716B"/>
    <w:rsid w:val="00397299"/>
    <w:rsid w:val="0039764A"/>
    <w:rsid w:val="003979C2"/>
    <w:rsid w:val="00397A21"/>
    <w:rsid w:val="00397A4F"/>
    <w:rsid w:val="00397C80"/>
    <w:rsid w:val="00397CBC"/>
    <w:rsid w:val="00397CCA"/>
    <w:rsid w:val="003A0085"/>
    <w:rsid w:val="003A0233"/>
    <w:rsid w:val="003A03DD"/>
    <w:rsid w:val="003A0560"/>
    <w:rsid w:val="003A0594"/>
    <w:rsid w:val="003A05C3"/>
    <w:rsid w:val="003A0611"/>
    <w:rsid w:val="003A0C2D"/>
    <w:rsid w:val="003A0C7A"/>
    <w:rsid w:val="003A0CDE"/>
    <w:rsid w:val="003A0D50"/>
    <w:rsid w:val="003A0DF7"/>
    <w:rsid w:val="003A0EAE"/>
    <w:rsid w:val="003A0F57"/>
    <w:rsid w:val="003A1127"/>
    <w:rsid w:val="003A142C"/>
    <w:rsid w:val="003A1502"/>
    <w:rsid w:val="003A1508"/>
    <w:rsid w:val="003A1572"/>
    <w:rsid w:val="003A15BE"/>
    <w:rsid w:val="003A165B"/>
    <w:rsid w:val="003A1864"/>
    <w:rsid w:val="003A1B77"/>
    <w:rsid w:val="003A1BE8"/>
    <w:rsid w:val="003A1CF3"/>
    <w:rsid w:val="003A1DC7"/>
    <w:rsid w:val="003A1DFF"/>
    <w:rsid w:val="003A2238"/>
    <w:rsid w:val="003A2339"/>
    <w:rsid w:val="003A23A6"/>
    <w:rsid w:val="003A273E"/>
    <w:rsid w:val="003A2928"/>
    <w:rsid w:val="003A2C2D"/>
    <w:rsid w:val="003A2C69"/>
    <w:rsid w:val="003A2DD6"/>
    <w:rsid w:val="003A2E1E"/>
    <w:rsid w:val="003A3027"/>
    <w:rsid w:val="003A30C3"/>
    <w:rsid w:val="003A31A2"/>
    <w:rsid w:val="003A31A7"/>
    <w:rsid w:val="003A33C6"/>
    <w:rsid w:val="003A35CD"/>
    <w:rsid w:val="003A384E"/>
    <w:rsid w:val="003A3903"/>
    <w:rsid w:val="003A39C5"/>
    <w:rsid w:val="003A3C33"/>
    <w:rsid w:val="003A3CA9"/>
    <w:rsid w:val="003A3D7C"/>
    <w:rsid w:val="003A3FCE"/>
    <w:rsid w:val="003A4091"/>
    <w:rsid w:val="003A410C"/>
    <w:rsid w:val="003A4424"/>
    <w:rsid w:val="003A45E3"/>
    <w:rsid w:val="003A4984"/>
    <w:rsid w:val="003A4CA8"/>
    <w:rsid w:val="003A4D1C"/>
    <w:rsid w:val="003A4F0D"/>
    <w:rsid w:val="003A519A"/>
    <w:rsid w:val="003A5817"/>
    <w:rsid w:val="003A5C52"/>
    <w:rsid w:val="003A5E8D"/>
    <w:rsid w:val="003A5EF7"/>
    <w:rsid w:val="003A5F2D"/>
    <w:rsid w:val="003A5F7C"/>
    <w:rsid w:val="003A63C2"/>
    <w:rsid w:val="003A65BE"/>
    <w:rsid w:val="003A6726"/>
    <w:rsid w:val="003A6BB0"/>
    <w:rsid w:val="003A6DD8"/>
    <w:rsid w:val="003A6F46"/>
    <w:rsid w:val="003A704E"/>
    <w:rsid w:val="003A70F6"/>
    <w:rsid w:val="003A72B0"/>
    <w:rsid w:val="003A773F"/>
    <w:rsid w:val="003A7837"/>
    <w:rsid w:val="003A786F"/>
    <w:rsid w:val="003A7A2B"/>
    <w:rsid w:val="003A7ADE"/>
    <w:rsid w:val="003B014C"/>
    <w:rsid w:val="003B0443"/>
    <w:rsid w:val="003B0474"/>
    <w:rsid w:val="003B0876"/>
    <w:rsid w:val="003B0985"/>
    <w:rsid w:val="003B0BCD"/>
    <w:rsid w:val="003B0DFD"/>
    <w:rsid w:val="003B1048"/>
    <w:rsid w:val="003B11C0"/>
    <w:rsid w:val="003B14D2"/>
    <w:rsid w:val="003B14E1"/>
    <w:rsid w:val="003B158D"/>
    <w:rsid w:val="003B1A33"/>
    <w:rsid w:val="003B1EC7"/>
    <w:rsid w:val="003B2465"/>
    <w:rsid w:val="003B290F"/>
    <w:rsid w:val="003B2E88"/>
    <w:rsid w:val="003B32C0"/>
    <w:rsid w:val="003B32ED"/>
    <w:rsid w:val="003B343D"/>
    <w:rsid w:val="003B35E3"/>
    <w:rsid w:val="003B372D"/>
    <w:rsid w:val="003B374F"/>
    <w:rsid w:val="003B3861"/>
    <w:rsid w:val="003B3C4F"/>
    <w:rsid w:val="003B3D8D"/>
    <w:rsid w:val="003B3E79"/>
    <w:rsid w:val="003B4051"/>
    <w:rsid w:val="003B4261"/>
    <w:rsid w:val="003B4378"/>
    <w:rsid w:val="003B4380"/>
    <w:rsid w:val="003B439A"/>
    <w:rsid w:val="003B4963"/>
    <w:rsid w:val="003B4BDD"/>
    <w:rsid w:val="003B4D52"/>
    <w:rsid w:val="003B52C6"/>
    <w:rsid w:val="003B55EB"/>
    <w:rsid w:val="003B57CE"/>
    <w:rsid w:val="003B59FC"/>
    <w:rsid w:val="003B5B34"/>
    <w:rsid w:val="003B5B6C"/>
    <w:rsid w:val="003B5F3B"/>
    <w:rsid w:val="003B62B1"/>
    <w:rsid w:val="003B665A"/>
    <w:rsid w:val="003B66CB"/>
    <w:rsid w:val="003B6CEA"/>
    <w:rsid w:val="003B6EB5"/>
    <w:rsid w:val="003B7A4E"/>
    <w:rsid w:val="003B7CE1"/>
    <w:rsid w:val="003B7ECC"/>
    <w:rsid w:val="003C00D8"/>
    <w:rsid w:val="003C016B"/>
    <w:rsid w:val="003C01DC"/>
    <w:rsid w:val="003C0210"/>
    <w:rsid w:val="003C038D"/>
    <w:rsid w:val="003C038F"/>
    <w:rsid w:val="003C05E9"/>
    <w:rsid w:val="003C091F"/>
    <w:rsid w:val="003C0E45"/>
    <w:rsid w:val="003C0EEC"/>
    <w:rsid w:val="003C1201"/>
    <w:rsid w:val="003C1609"/>
    <w:rsid w:val="003C1BB2"/>
    <w:rsid w:val="003C1C5C"/>
    <w:rsid w:val="003C1C72"/>
    <w:rsid w:val="003C1FA7"/>
    <w:rsid w:val="003C2111"/>
    <w:rsid w:val="003C2230"/>
    <w:rsid w:val="003C2493"/>
    <w:rsid w:val="003C2696"/>
    <w:rsid w:val="003C2829"/>
    <w:rsid w:val="003C2B4E"/>
    <w:rsid w:val="003C2C4A"/>
    <w:rsid w:val="003C2D77"/>
    <w:rsid w:val="003C2DDB"/>
    <w:rsid w:val="003C2EA4"/>
    <w:rsid w:val="003C2F71"/>
    <w:rsid w:val="003C3307"/>
    <w:rsid w:val="003C3325"/>
    <w:rsid w:val="003C3466"/>
    <w:rsid w:val="003C3473"/>
    <w:rsid w:val="003C35D0"/>
    <w:rsid w:val="003C374A"/>
    <w:rsid w:val="003C3AA6"/>
    <w:rsid w:val="003C3DD6"/>
    <w:rsid w:val="003C3EB1"/>
    <w:rsid w:val="003C4663"/>
    <w:rsid w:val="003C46E8"/>
    <w:rsid w:val="003C4873"/>
    <w:rsid w:val="003C490A"/>
    <w:rsid w:val="003C4B50"/>
    <w:rsid w:val="003C4DBE"/>
    <w:rsid w:val="003C4EB3"/>
    <w:rsid w:val="003C50E7"/>
    <w:rsid w:val="003C51D0"/>
    <w:rsid w:val="003C5372"/>
    <w:rsid w:val="003C540B"/>
    <w:rsid w:val="003C5474"/>
    <w:rsid w:val="003C55A5"/>
    <w:rsid w:val="003C560E"/>
    <w:rsid w:val="003C5A31"/>
    <w:rsid w:val="003C5B0C"/>
    <w:rsid w:val="003C6105"/>
    <w:rsid w:val="003C68C8"/>
    <w:rsid w:val="003C6AF0"/>
    <w:rsid w:val="003C6B77"/>
    <w:rsid w:val="003C6C7A"/>
    <w:rsid w:val="003C71C0"/>
    <w:rsid w:val="003C724E"/>
    <w:rsid w:val="003C72FC"/>
    <w:rsid w:val="003C73E3"/>
    <w:rsid w:val="003C7597"/>
    <w:rsid w:val="003C75FE"/>
    <w:rsid w:val="003C787C"/>
    <w:rsid w:val="003C78D4"/>
    <w:rsid w:val="003C7C39"/>
    <w:rsid w:val="003C7C64"/>
    <w:rsid w:val="003C7D87"/>
    <w:rsid w:val="003C7E38"/>
    <w:rsid w:val="003D0611"/>
    <w:rsid w:val="003D0674"/>
    <w:rsid w:val="003D06D0"/>
    <w:rsid w:val="003D07EF"/>
    <w:rsid w:val="003D0913"/>
    <w:rsid w:val="003D09C3"/>
    <w:rsid w:val="003D09F2"/>
    <w:rsid w:val="003D0D94"/>
    <w:rsid w:val="003D0E15"/>
    <w:rsid w:val="003D0E57"/>
    <w:rsid w:val="003D118C"/>
    <w:rsid w:val="003D11A5"/>
    <w:rsid w:val="003D1422"/>
    <w:rsid w:val="003D14CC"/>
    <w:rsid w:val="003D1512"/>
    <w:rsid w:val="003D16F7"/>
    <w:rsid w:val="003D1AE7"/>
    <w:rsid w:val="003D1CA7"/>
    <w:rsid w:val="003D1E11"/>
    <w:rsid w:val="003D1F78"/>
    <w:rsid w:val="003D201A"/>
    <w:rsid w:val="003D2066"/>
    <w:rsid w:val="003D20F8"/>
    <w:rsid w:val="003D22AB"/>
    <w:rsid w:val="003D2376"/>
    <w:rsid w:val="003D23E4"/>
    <w:rsid w:val="003D2C94"/>
    <w:rsid w:val="003D33D0"/>
    <w:rsid w:val="003D36AB"/>
    <w:rsid w:val="003D3789"/>
    <w:rsid w:val="003D38BD"/>
    <w:rsid w:val="003D39C0"/>
    <w:rsid w:val="003D3B13"/>
    <w:rsid w:val="003D3B41"/>
    <w:rsid w:val="003D3B85"/>
    <w:rsid w:val="003D3B8D"/>
    <w:rsid w:val="003D3BBD"/>
    <w:rsid w:val="003D3C59"/>
    <w:rsid w:val="003D4002"/>
    <w:rsid w:val="003D46EF"/>
    <w:rsid w:val="003D4775"/>
    <w:rsid w:val="003D4B1D"/>
    <w:rsid w:val="003D4BA5"/>
    <w:rsid w:val="003D4DB2"/>
    <w:rsid w:val="003D5486"/>
    <w:rsid w:val="003D59A6"/>
    <w:rsid w:val="003D5A8B"/>
    <w:rsid w:val="003D5B0E"/>
    <w:rsid w:val="003D5B91"/>
    <w:rsid w:val="003D5C65"/>
    <w:rsid w:val="003D5CBD"/>
    <w:rsid w:val="003D60E6"/>
    <w:rsid w:val="003D6435"/>
    <w:rsid w:val="003D64C6"/>
    <w:rsid w:val="003D688D"/>
    <w:rsid w:val="003D69C7"/>
    <w:rsid w:val="003D6A80"/>
    <w:rsid w:val="003D711F"/>
    <w:rsid w:val="003D7439"/>
    <w:rsid w:val="003D7782"/>
    <w:rsid w:val="003D7931"/>
    <w:rsid w:val="003D7BBA"/>
    <w:rsid w:val="003E00C6"/>
    <w:rsid w:val="003E00FC"/>
    <w:rsid w:val="003E038C"/>
    <w:rsid w:val="003E0571"/>
    <w:rsid w:val="003E0A12"/>
    <w:rsid w:val="003E1719"/>
    <w:rsid w:val="003E1754"/>
    <w:rsid w:val="003E17CF"/>
    <w:rsid w:val="003E1863"/>
    <w:rsid w:val="003E197C"/>
    <w:rsid w:val="003E19EC"/>
    <w:rsid w:val="003E1D12"/>
    <w:rsid w:val="003E207D"/>
    <w:rsid w:val="003E22CD"/>
    <w:rsid w:val="003E237C"/>
    <w:rsid w:val="003E23B3"/>
    <w:rsid w:val="003E24EB"/>
    <w:rsid w:val="003E27AB"/>
    <w:rsid w:val="003E2D0B"/>
    <w:rsid w:val="003E2F65"/>
    <w:rsid w:val="003E312A"/>
    <w:rsid w:val="003E3CEF"/>
    <w:rsid w:val="003E3F58"/>
    <w:rsid w:val="003E3FD5"/>
    <w:rsid w:val="003E419E"/>
    <w:rsid w:val="003E421B"/>
    <w:rsid w:val="003E43AD"/>
    <w:rsid w:val="003E43E2"/>
    <w:rsid w:val="003E467B"/>
    <w:rsid w:val="003E4690"/>
    <w:rsid w:val="003E47E9"/>
    <w:rsid w:val="003E4CFA"/>
    <w:rsid w:val="003E4DFD"/>
    <w:rsid w:val="003E4E91"/>
    <w:rsid w:val="003E4F34"/>
    <w:rsid w:val="003E500D"/>
    <w:rsid w:val="003E5069"/>
    <w:rsid w:val="003E507E"/>
    <w:rsid w:val="003E51C6"/>
    <w:rsid w:val="003E52E7"/>
    <w:rsid w:val="003E54A6"/>
    <w:rsid w:val="003E5557"/>
    <w:rsid w:val="003E5774"/>
    <w:rsid w:val="003E5C60"/>
    <w:rsid w:val="003E5F22"/>
    <w:rsid w:val="003E6016"/>
    <w:rsid w:val="003E63A3"/>
    <w:rsid w:val="003E65BF"/>
    <w:rsid w:val="003E66D6"/>
    <w:rsid w:val="003E694E"/>
    <w:rsid w:val="003E6A8C"/>
    <w:rsid w:val="003E6B04"/>
    <w:rsid w:val="003E6C5E"/>
    <w:rsid w:val="003E7198"/>
    <w:rsid w:val="003E727F"/>
    <w:rsid w:val="003E7642"/>
    <w:rsid w:val="003E7E8D"/>
    <w:rsid w:val="003E7F08"/>
    <w:rsid w:val="003F014C"/>
    <w:rsid w:val="003F0624"/>
    <w:rsid w:val="003F0B22"/>
    <w:rsid w:val="003F0D75"/>
    <w:rsid w:val="003F0E9E"/>
    <w:rsid w:val="003F1B0E"/>
    <w:rsid w:val="003F1ED8"/>
    <w:rsid w:val="003F25B5"/>
    <w:rsid w:val="003F2783"/>
    <w:rsid w:val="003F29E2"/>
    <w:rsid w:val="003F2A4F"/>
    <w:rsid w:val="003F2A98"/>
    <w:rsid w:val="003F2C85"/>
    <w:rsid w:val="003F2E94"/>
    <w:rsid w:val="003F2F48"/>
    <w:rsid w:val="003F317E"/>
    <w:rsid w:val="003F31CF"/>
    <w:rsid w:val="003F34AB"/>
    <w:rsid w:val="003F3881"/>
    <w:rsid w:val="003F38F5"/>
    <w:rsid w:val="003F3917"/>
    <w:rsid w:val="003F3B9B"/>
    <w:rsid w:val="003F3CFC"/>
    <w:rsid w:val="003F3F81"/>
    <w:rsid w:val="003F3FC6"/>
    <w:rsid w:val="003F4312"/>
    <w:rsid w:val="003F43A8"/>
    <w:rsid w:val="003F44C9"/>
    <w:rsid w:val="003F4528"/>
    <w:rsid w:val="003F45D8"/>
    <w:rsid w:val="003F4CB8"/>
    <w:rsid w:val="003F4D2E"/>
    <w:rsid w:val="003F4F55"/>
    <w:rsid w:val="003F5020"/>
    <w:rsid w:val="003F507C"/>
    <w:rsid w:val="003F5109"/>
    <w:rsid w:val="003F543F"/>
    <w:rsid w:val="003F55A1"/>
    <w:rsid w:val="003F5810"/>
    <w:rsid w:val="003F58C5"/>
    <w:rsid w:val="003F5D31"/>
    <w:rsid w:val="003F6253"/>
    <w:rsid w:val="003F6411"/>
    <w:rsid w:val="003F644B"/>
    <w:rsid w:val="003F65DA"/>
    <w:rsid w:val="003F676B"/>
    <w:rsid w:val="003F6D80"/>
    <w:rsid w:val="003F6E0D"/>
    <w:rsid w:val="003F7511"/>
    <w:rsid w:val="003F7748"/>
    <w:rsid w:val="003F778A"/>
    <w:rsid w:val="003F793F"/>
    <w:rsid w:val="003F7B20"/>
    <w:rsid w:val="003F7B70"/>
    <w:rsid w:val="003F7B74"/>
    <w:rsid w:val="003F7EDE"/>
    <w:rsid w:val="003F7F7F"/>
    <w:rsid w:val="00400195"/>
    <w:rsid w:val="00400266"/>
    <w:rsid w:val="00400312"/>
    <w:rsid w:val="0040039D"/>
    <w:rsid w:val="004006F1"/>
    <w:rsid w:val="00400CD7"/>
    <w:rsid w:val="0040110D"/>
    <w:rsid w:val="00401875"/>
    <w:rsid w:val="0040199E"/>
    <w:rsid w:val="00401EF8"/>
    <w:rsid w:val="00402094"/>
    <w:rsid w:val="004021F3"/>
    <w:rsid w:val="00402828"/>
    <w:rsid w:val="00402BA4"/>
    <w:rsid w:val="00402C41"/>
    <w:rsid w:val="00402C55"/>
    <w:rsid w:val="00402C87"/>
    <w:rsid w:val="00402D6D"/>
    <w:rsid w:val="00402D7E"/>
    <w:rsid w:val="00402E01"/>
    <w:rsid w:val="004031F1"/>
    <w:rsid w:val="004033E4"/>
    <w:rsid w:val="0040396A"/>
    <w:rsid w:val="00403984"/>
    <w:rsid w:val="00403E81"/>
    <w:rsid w:val="00403EEF"/>
    <w:rsid w:val="00404067"/>
    <w:rsid w:val="004041B8"/>
    <w:rsid w:val="004043B6"/>
    <w:rsid w:val="004043CA"/>
    <w:rsid w:val="0040467D"/>
    <w:rsid w:val="004047BE"/>
    <w:rsid w:val="004049B2"/>
    <w:rsid w:val="00404AC8"/>
    <w:rsid w:val="00404B81"/>
    <w:rsid w:val="00404C4F"/>
    <w:rsid w:val="00404D60"/>
    <w:rsid w:val="00405234"/>
    <w:rsid w:val="0040527A"/>
    <w:rsid w:val="004054A9"/>
    <w:rsid w:val="004056B7"/>
    <w:rsid w:val="00405768"/>
    <w:rsid w:val="0040588E"/>
    <w:rsid w:val="004059E1"/>
    <w:rsid w:val="00405A8E"/>
    <w:rsid w:val="00405AE5"/>
    <w:rsid w:val="00405E7D"/>
    <w:rsid w:val="004060E1"/>
    <w:rsid w:val="00406300"/>
    <w:rsid w:val="0040632D"/>
    <w:rsid w:val="00406626"/>
    <w:rsid w:val="0040689F"/>
    <w:rsid w:val="004069D3"/>
    <w:rsid w:val="00406B65"/>
    <w:rsid w:val="00406D0B"/>
    <w:rsid w:val="00406DE8"/>
    <w:rsid w:val="00406EFC"/>
    <w:rsid w:val="0040701E"/>
    <w:rsid w:val="00407323"/>
    <w:rsid w:val="00407689"/>
    <w:rsid w:val="00407937"/>
    <w:rsid w:val="00407A96"/>
    <w:rsid w:val="00407D35"/>
    <w:rsid w:val="00407DCB"/>
    <w:rsid w:val="00407E1D"/>
    <w:rsid w:val="00410021"/>
    <w:rsid w:val="00410316"/>
    <w:rsid w:val="00410594"/>
    <w:rsid w:val="00410970"/>
    <w:rsid w:val="00410B96"/>
    <w:rsid w:val="00410C3B"/>
    <w:rsid w:val="00410E79"/>
    <w:rsid w:val="004110B2"/>
    <w:rsid w:val="00411413"/>
    <w:rsid w:val="00411419"/>
    <w:rsid w:val="0041189C"/>
    <w:rsid w:val="00411C40"/>
    <w:rsid w:val="00411DAB"/>
    <w:rsid w:val="004120C4"/>
    <w:rsid w:val="00412318"/>
    <w:rsid w:val="0041245B"/>
    <w:rsid w:val="00412740"/>
    <w:rsid w:val="004127F2"/>
    <w:rsid w:val="00412C51"/>
    <w:rsid w:val="00412C9E"/>
    <w:rsid w:val="00412E02"/>
    <w:rsid w:val="00413828"/>
    <w:rsid w:val="00413AFC"/>
    <w:rsid w:val="00413B51"/>
    <w:rsid w:val="00413C6C"/>
    <w:rsid w:val="00413D94"/>
    <w:rsid w:val="00413F27"/>
    <w:rsid w:val="00414281"/>
    <w:rsid w:val="004148CE"/>
    <w:rsid w:val="004149A4"/>
    <w:rsid w:val="00414DCB"/>
    <w:rsid w:val="00414E26"/>
    <w:rsid w:val="00414E85"/>
    <w:rsid w:val="004152F0"/>
    <w:rsid w:val="0041557C"/>
    <w:rsid w:val="004155DF"/>
    <w:rsid w:val="00415606"/>
    <w:rsid w:val="00415868"/>
    <w:rsid w:val="00415921"/>
    <w:rsid w:val="0041592F"/>
    <w:rsid w:val="00415A4A"/>
    <w:rsid w:val="00415C29"/>
    <w:rsid w:val="00415D39"/>
    <w:rsid w:val="00415DF7"/>
    <w:rsid w:val="004164D5"/>
    <w:rsid w:val="0041694B"/>
    <w:rsid w:val="00416A91"/>
    <w:rsid w:val="00416C04"/>
    <w:rsid w:val="00417091"/>
    <w:rsid w:val="004171EA"/>
    <w:rsid w:val="0041725D"/>
    <w:rsid w:val="00417555"/>
    <w:rsid w:val="00417856"/>
    <w:rsid w:val="00417889"/>
    <w:rsid w:val="00417952"/>
    <w:rsid w:val="00417C9B"/>
    <w:rsid w:val="0042017B"/>
    <w:rsid w:val="00420C50"/>
    <w:rsid w:val="00420CDD"/>
    <w:rsid w:val="00420DFC"/>
    <w:rsid w:val="004210F3"/>
    <w:rsid w:val="004214BD"/>
    <w:rsid w:val="0042152B"/>
    <w:rsid w:val="004216DC"/>
    <w:rsid w:val="004217B6"/>
    <w:rsid w:val="00421A33"/>
    <w:rsid w:val="00421BA2"/>
    <w:rsid w:val="00421C6E"/>
    <w:rsid w:val="00421CA6"/>
    <w:rsid w:val="00421D40"/>
    <w:rsid w:val="00421F96"/>
    <w:rsid w:val="00422067"/>
    <w:rsid w:val="0042221B"/>
    <w:rsid w:val="00422495"/>
    <w:rsid w:val="00422527"/>
    <w:rsid w:val="004228C3"/>
    <w:rsid w:val="00422B1F"/>
    <w:rsid w:val="00422B30"/>
    <w:rsid w:val="00422B82"/>
    <w:rsid w:val="00422BB5"/>
    <w:rsid w:val="00422E0A"/>
    <w:rsid w:val="00422E1F"/>
    <w:rsid w:val="004232A5"/>
    <w:rsid w:val="004239FD"/>
    <w:rsid w:val="00423C30"/>
    <w:rsid w:val="00423C84"/>
    <w:rsid w:val="00423CF9"/>
    <w:rsid w:val="00423D1F"/>
    <w:rsid w:val="0042406E"/>
    <w:rsid w:val="004240AA"/>
    <w:rsid w:val="004249B7"/>
    <w:rsid w:val="00424BA6"/>
    <w:rsid w:val="00424D82"/>
    <w:rsid w:val="00424EAB"/>
    <w:rsid w:val="00424FB5"/>
    <w:rsid w:val="0042526A"/>
    <w:rsid w:val="004254AC"/>
    <w:rsid w:val="00425648"/>
    <w:rsid w:val="004256E4"/>
    <w:rsid w:val="00425AF4"/>
    <w:rsid w:val="00425F52"/>
    <w:rsid w:val="00426039"/>
    <w:rsid w:val="00426230"/>
    <w:rsid w:val="0042636A"/>
    <w:rsid w:val="00426477"/>
    <w:rsid w:val="00426531"/>
    <w:rsid w:val="004268E1"/>
    <w:rsid w:val="00426A30"/>
    <w:rsid w:val="004275B8"/>
    <w:rsid w:val="004276CC"/>
    <w:rsid w:val="004276ED"/>
    <w:rsid w:val="0042789E"/>
    <w:rsid w:val="004279E0"/>
    <w:rsid w:val="004279F6"/>
    <w:rsid w:val="00427DB1"/>
    <w:rsid w:val="00427E5F"/>
    <w:rsid w:val="00427F11"/>
    <w:rsid w:val="004300EB"/>
    <w:rsid w:val="004302DC"/>
    <w:rsid w:val="00430695"/>
    <w:rsid w:val="00430AD2"/>
    <w:rsid w:val="00430D9F"/>
    <w:rsid w:val="004318B5"/>
    <w:rsid w:val="004318FF"/>
    <w:rsid w:val="00431BAF"/>
    <w:rsid w:val="00432809"/>
    <w:rsid w:val="00432818"/>
    <w:rsid w:val="00432925"/>
    <w:rsid w:val="00432949"/>
    <w:rsid w:val="0043297F"/>
    <w:rsid w:val="00432BB1"/>
    <w:rsid w:val="00432C42"/>
    <w:rsid w:val="00432D02"/>
    <w:rsid w:val="00432E87"/>
    <w:rsid w:val="004331B5"/>
    <w:rsid w:val="00433C8B"/>
    <w:rsid w:val="00433DF7"/>
    <w:rsid w:val="00433E8B"/>
    <w:rsid w:val="00434157"/>
    <w:rsid w:val="00434216"/>
    <w:rsid w:val="00434330"/>
    <w:rsid w:val="004345D7"/>
    <w:rsid w:val="004347FB"/>
    <w:rsid w:val="004348E5"/>
    <w:rsid w:val="00434A3D"/>
    <w:rsid w:val="00434CEB"/>
    <w:rsid w:val="00434E3A"/>
    <w:rsid w:val="00434FEB"/>
    <w:rsid w:val="00435028"/>
    <w:rsid w:val="00435094"/>
    <w:rsid w:val="0043529B"/>
    <w:rsid w:val="0043545B"/>
    <w:rsid w:val="00435AC0"/>
    <w:rsid w:val="00435C3B"/>
    <w:rsid w:val="00435D47"/>
    <w:rsid w:val="00435E5E"/>
    <w:rsid w:val="00436594"/>
    <w:rsid w:val="004369E3"/>
    <w:rsid w:val="00436C3D"/>
    <w:rsid w:val="00436D9A"/>
    <w:rsid w:val="0043709F"/>
    <w:rsid w:val="004371A6"/>
    <w:rsid w:val="0043754C"/>
    <w:rsid w:val="004375C4"/>
    <w:rsid w:val="00437647"/>
    <w:rsid w:val="00437691"/>
    <w:rsid w:val="00437773"/>
    <w:rsid w:val="00437814"/>
    <w:rsid w:val="00437916"/>
    <w:rsid w:val="00437B2B"/>
    <w:rsid w:val="00437E6A"/>
    <w:rsid w:val="00437F67"/>
    <w:rsid w:val="00440167"/>
    <w:rsid w:val="00440414"/>
    <w:rsid w:val="004404A9"/>
    <w:rsid w:val="0044052C"/>
    <w:rsid w:val="0044062C"/>
    <w:rsid w:val="00440666"/>
    <w:rsid w:val="00440818"/>
    <w:rsid w:val="0044095D"/>
    <w:rsid w:val="00440AF7"/>
    <w:rsid w:val="00440DB1"/>
    <w:rsid w:val="004412D5"/>
    <w:rsid w:val="00441339"/>
    <w:rsid w:val="00441446"/>
    <w:rsid w:val="00441BE2"/>
    <w:rsid w:val="00441CD3"/>
    <w:rsid w:val="00442158"/>
    <w:rsid w:val="004423C6"/>
    <w:rsid w:val="00442560"/>
    <w:rsid w:val="00442679"/>
    <w:rsid w:val="004427EB"/>
    <w:rsid w:val="004427FB"/>
    <w:rsid w:val="004428EC"/>
    <w:rsid w:val="0044294A"/>
    <w:rsid w:val="0044369F"/>
    <w:rsid w:val="004439A7"/>
    <w:rsid w:val="00443BC1"/>
    <w:rsid w:val="00443BCD"/>
    <w:rsid w:val="00443C0C"/>
    <w:rsid w:val="00443CC4"/>
    <w:rsid w:val="00443D56"/>
    <w:rsid w:val="00443DDB"/>
    <w:rsid w:val="00443E93"/>
    <w:rsid w:val="00443F26"/>
    <w:rsid w:val="0044411E"/>
    <w:rsid w:val="004448A3"/>
    <w:rsid w:val="0044499E"/>
    <w:rsid w:val="00444EEC"/>
    <w:rsid w:val="00444FD7"/>
    <w:rsid w:val="004452C5"/>
    <w:rsid w:val="00445360"/>
    <w:rsid w:val="00445398"/>
    <w:rsid w:val="0044540C"/>
    <w:rsid w:val="00445539"/>
    <w:rsid w:val="004456E1"/>
    <w:rsid w:val="0044588A"/>
    <w:rsid w:val="004462E2"/>
    <w:rsid w:val="00446440"/>
    <w:rsid w:val="004464DF"/>
    <w:rsid w:val="0044696B"/>
    <w:rsid w:val="00446E5A"/>
    <w:rsid w:val="00446EAB"/>
    <w:rsid w:val="004473D0"/>
    <w:rsid w:val="004474B1"/>
    <w:rsid w:val="004474E5"/>
    <w:rsid w:val="004475C6"/>
    <w:rsid w:val="00447777"/>
    <w:rsid w:val="004477C1"/>
    <w:rsid w:val="00447A79"/>
    <w:rsid w:val="00447B9B"/>
    <w:rsid w:val="00447C43"/>
    <w:rsid w:val="00447CC8"/>
    <w:rsid w:val="00450337"/>
    <w:rsid w:val="0045038D"/>
    <w:rsid w:val="0045072B"/>
    <w:rsid w:val="004507E7"/>
    <w:rsid w:val="00450855"/>
    <w:rsid w:val="0045096B"/>
    <w:rsid w:val="00450A56"/>
    <w:rsid w:val="00450BA1"/>
    <w:rsid w:val="00450F97"/>
    <w:rsid w:val="0045100D"/>
    <w:rsid w:val="0045145C"/>
    <w:rsid w:val="00451575"/>
    <w:rsid w:val="004516BF"/>
    <w:rsid w:val="004518FF"/>
    <w:rsid w:val="00451AEA"/>
    <w:rsid w:val="00451B5E"/>
    <w:rsid w:val="00451CDE"/>
    <w:rsid w:val="00451EFD"/>
    <w:rsid w:val="00451FEF"/>
    <w:rsid w:val="0045201B"/>
    <w:rsid w:val="004521F8"/>
    <w:rsid w:val="00452462"/>
    <w:rsid w:val="00452536"/>
    <w:rsid w:val="0045255E"/>
    <w:rsid w:val="00452874"/>
    <w:rsid w:val="00452AA9"/>
    <w:rsid w:val="00453004"/>
    <w:rsid w:val="00453069"/>
    <w:rsid w:val="00453464"/>
    <w:rsid w:val="0045361B"/>
    <w:rsid w:val="004537C0"/>
    <w:rsid w:val="00453BB9"/>
    <w:rsid w:val="00453D55"/>
    <w:rsid w:val="00454007"/>
    <w:rsid w:val="0045414E"/>
    <w:rsid w:val="004542A6"/>
    <w:rsid w:val="0045438D"/>
    <w:rsid w:val="004543B2"/>
    <w:rsid w:val="004543B4"/>
    <w:rsid w:val="004543C9"/>
    <w:rsid w:val="0045440B"/>
    <w:rsid w:val="0045469F"/>
    <w:rsid w:val="00454B7B"/>
    <w:rsid w:val="00454D1F"/>
    <w:rsid w:val="00454D94"/>
    <w:rsid w:val="00454F0E"/>
    <w:rsid w:val="00454F5E"/>
    <w:rsid w:val="0045512D"/>
    <w:rsid w:val="00455484"/>
    <w:rsid w:val="0045550F"/>
    <w:rsid w:val="00455586"/>
    <w:rsid w:val="0045567D"/>
    <w:rsid w:val="00455D73"/>
    <w:rsid w:val="004560B3"/>
    <w:rsid w:val="004560EC"/>
    <w:rsid w:val="004561E7"/>
    <w:rsid w:val="00456395"/>
    <w:rsid w:val="0045647D"/>
    <w:rsid w:val="00456493"/>
    <w:rsid w:val="004564AE"/>
    <w:rsid w:val="00456532"/>
    <w:rsid w:val="004569A7"/>
    <w:rsid w:val="00456BCE"/>
    <w:rsid w:val="00457569"/>
    <w:rsid w:val="004577B9"/>
    <w:rsid w:val="004579EC"/>
    <w:rsid w:val="00457B0A"/>
    <w:rsid w:val="00457C43"/>
    <w:rsid w:val="0046001A"/>
    <w:rsid w:val="0046007A"/>
    <w:rsid w:val="004601F7"/>
    <w:rsid w:val="0046025A"/>
    <w:rsid w:val="00460285"/>
    <w:rsid w:val="004602DE"/>
    <w:rsid w:val="00460425"/>
    <w:rsid w:val="0046045D"/>
    <w:rsid w:val="00460732"/>
    <w:rsid w:val="0046088F"/>
    <w:rsid w:val="004609CE"/>
    <w:rsid w:val="00460B5E"/>
    <w:rsid w:val="00460D73"/>
    <w:rsid w:val="00460F8D"/>
    <w:rsid w:val="00461253"/>
    <w:rsid w:val="00461392"/>
    <w:rsid w:val="004614AA"/>
    <w:rsid w:val="00461595"/>
    <w:rsid w:val="00461835"/>
    <w:rsid w:val="004619D1"/>
    <w:rsid w:val="00461F43"/>
    <w:rsid w:val="00462330"/>
    <w:rsid w:val="00462438"/>
    <w:rsid w:val="00462862"/>
    <w:rsid w:val="00462D7D"/>
    <w:rsid w:val="00462EEC"/>
    <w:rsid w:val="0046305E"/>
    <w:rsid w:val="00463166"/>
    <w:rsid w:val="004632EC"/>
    <w:rsid w:val="0046335C"/>
    <w:rsid w:val="0046336E"/>
    <w:rsid w:val="00463559"/>
    <w:rsid w:val="0046359A"/>
    <w:rsid w:val="0046382A"/>
    <w:rsid w:val="00463867"/>
    <w:rsid w:val="004638E1"/>
    <w:rsid w:val="00463A8A"/>
    <w:rsid w:val="00463CB9"/>
    <w:rsid w:val="00463DC8"/>
    <w:rsid w:val="00464001"/>
    <w:rsid w:val="0046403C"/>
    <w:rsid w:val="0046410B"/>
    <w:rsid w:val="00464158"/>
    <w:rsid w:val="00464171"/>
    <w:rsid w:val="004643E8"/>
    <w:rsid w:val="0046455D"/>
    <w:rsid w:val="004649F0"/>
    <w:rsid w:val="00464BEE"/>
    <w:rsid w:val="00464F5D"/>
    <w:rsid w:val="0046506C"/>
    <w:rsid w:val="0046522F"/>
    <w:rsid w:val="00465265"/>
    <w:rsid w:val="004653F0"/>
    <w:rsid w:val="00465531"/>
    <w:rsid w:val="00465694"/>
    <w:rsid w:val="00465945"/>
    <w:rsid w:val="00465BC9"/>
    <w:rsid w:val="00465E0F"/>
    <w:rsid w:val="00465E38"/>
    <w:rsid w:val="00465F80"/>
    <w:rsid w:val="0046609A"/>
    <w:rsid w:val="00466120"/>
    <w:rsid w:val="00466148"/>
    <w:rsid w:val="00466870"/>
    <w:rsid w:val="00466F2E"/>
    <w:rsid w:val="004674FE"/>
    <w:rsid w:val="004675AF"/>
    <w:rsid w:val="004675E0"/>
    <w:rsid w:val="00467755"/>
    <w:rsid w:val="0046791C"/>
    <w:rsid w:val="00467A01"/>
    <w:rsid w:val="00467AAA"/>
    <w:rsid w:val="00467EDA"/>
    <w:rsid w:val="00467F50"/>
    <w:rsid w:val="00470061"/>
    <w:rsid w:val="00470140"/>
    <w:rsid w:val="00470157"/>
    <w:rsid w:val="00470187"/>
    <w:rsid w:val="0047021B"/>
    <w:rsid w:val="004703E9"/>
    <w:rsid w:val="00470814"/>
    <w:rsid w:val="004709CF"/>
    <w:rsid w:val="00470A4C"/>
    <w:rsid w:val="00470AE5"/>
    <w:rsid w:val="00470E38"/>
    <w:rsid w:val="004710C8"/>
    <w:rsid w:val="004711A2"/>
    <w:rsid w:val="00471641"/>
    <w:rsid w:val="0047164E"/>
    <w:rsid w:val="00471666"/>
    <w:rsid w:val="00471B89"/>
    <w:rsid w:val="00471C90"/>
    <w:rsid w:val="00471FC9"/>
    <w:rsid w:val="0047204D"/>
    <w:rsid w:val="00472091"/>
    <w:rsid w:val="0047234B"/>
    <w:rsid w:val="00472640"/>
    <w:rsid w:val="00472A20"/>
    <w:rsid w:val="00472B1D"/>
    <w:rsid w:val="00472B75"/>
    <w:rsid w:val="00472F80"/>
    <w:rsid w:val="00472FCB"/>
    <w:rsid w:val="00473027"/>
    <w:rsid w:val="0047303F"/>
    <w:rsid w:val="004730EE"/>
    <w:rsid w:val="004731F9"/>
    <w:rsid w:val="00473294"/>
    <w:rsid w:val="004733AA"/>
    <w:rsid w:val="0047342F"/>
    <w:rsid w:val="004737C0"/>
    <w:rsid w:val="00473BC3"/>
    <w:rsid w:val="00473E31"/>
    <w:rsid w:val="00473ED3"/>
    <w:rsid w:val="00474997"/>
    <w:rsid w:val="00474DDB"/>
    <w:rsid w:val="00475047"/>
    <w:rsid w:val="0047510D"/>
    <w:rsid w:val="00475258"/>
    <w:rsid w:val="0047525D"/>
    <w:rsid w:val="0047544A"/>
    <w:rsid w:val="00475456"/>
    <w:rsid w:val="0047549E"/>
    <w:rsid w:val="004754E1"/>
    <w:rsid w:val="00475563"/>
    <w:rsid w:val="00475584"/>
    <w:rsid w:val="0047563C"/>
    <w:rsid w:val="00475914"/>
    <w:rsid w:val="00475A5F"/>
    <w:rsid w:val="00476088"/>
    <w:rsid w:val="004760ED"/>
    <w:rsid w:val="0047632A"/>
    <w:rsid w:val="00476383"/>
    <w:rsid w:val="004765ED"/>
    <w:rsid w:val="00476639"/>
    <w:rsid w:val="004767B0"/>
    <w:rsid w:val="00476A13"/>
    <w:rsid w:val="00476AE5"/>
    <w:rsid w:val="00476B62"/>
    <w:rsid w:val="00476F8A"/>
    <w:rsid w:val="00477178"/>
    <w:rsid w:val="00477362"/>
    <w:rsid w:val="00477700"/>
    <w:rsid w:val="00477BDE"/>
    <w:rsid w:val="00477D26"/>
    <w:rsid w:val="00477DF2"/>
    <w:rsid w:val="0048009F"/>
    <w:rsid w:val="00480330"/>
    <w:rsid w:val="004807C7"/>
    <w:rsid w:val="00480867"/>
    <w:rsid w:val="00480899"/>
    <w:rsid w:val="00480997"/>
    <w:rsid w:val="004809F8"/>
    <w:rsid w:val="00480B84"/>
    <w:rsid w:val="00480EA0"/>
    <w:rsid w:val="00481235"/>
    <w:rsid w:val="0048140E"/>
    <w:rsid w:val="00481496"/>
    <w:rsid w:val="004815B4"/>
    <w:rsid w:val="0048167E"/>
    <w:rsid w:val="004817AD"/>
    <w:rsid w:val="00481BDF"/>
    <w:rsid w:val="00481D57"/>
    <w:rsid w:val="00481E8D"/>
    <w:rsid w:val="00481EB7"/>
    <w:rsid w:val="0048250E"/>
    <w:rsid w:val="00482629"/>
    <w:rsid w:val="00482AC8"/>
    <w:rsid w:val="00482C58"/>
    <w:rsid w:val="004834CF"/>
    <w:rsid w:val="0048361A"/>
    <w:rsid w:val="00483A24"/>
    <w:rsid w:val="00483C0E"/>
    <w:rsid w:val="00483C37"/>
    <w:rsid w:val="00483D88"/>
    <w:rsid w:val="00484502"/>
    <w:rsid w:val="0048472E"/>
    <w:rsid w:val="00484782"/>
    <w:rsid w:val="0048499B"/>
    <w:rsid w:val="00484ADD"/>
    <w:rsid w:val="00484D0B"/>
    <w:rsid w:val="00484F5D"/>
    <w:rsid w:val="00485117"/>
    <w:rsid w:val="0048512E"/>
    <w:rsid w:val="004851E7"/>
    <w:rsid w:val="004852B0"/>
    <w:rsid w:val="004852F4"/>
    <w:rsid w:val="004857E0"/>
    <w:rsid w:val="00485A05"/>
    <w:rsid w:val="0048600C"/>
    <w:rsid w:val="004863D2"/>
    <w:rsid w:val="004867DD"/>
    <w:rsid w:val="00487146"/>
    <w:rsid w:val="0048721A"/>
    <w:rsid w:val="00487231"/>
    <w:rsid w:val="00487394"/>
    <w:rsid w:val="004875A1"/>
    <w:rsid w:val="004878A1"/>
    <w:rsid w:val="00487EC8"/>
    <w:rsid w:val="004900A4"/>
    <w:rsid w:val="004902E4"/>
    <w:rsid w:val="00490601"/>
    <w:rsid w:val="0049071B"/>
    <w:rsid w:val="004909B3"/>
    <w:rsid w:val="00490A56"/>
    <w:rsid w:val="00490B52"/>
    <w:rsid w:val="00490DF5"/>
    <w:rsid w:val="00490F89"/>
    <w:rsid w:val="0049112B"/>
    <w:rsid w:val="004912B2"/>
    <w:rsid w:val="00491764"/>
    <w:rsid w:val="00491A86"/>
    <w:rsid w:val="00491B91"/>
    <w:rsid w:val="00491F9F"/>
    <w:rsid w:val="0049204F"/>
    <w:rsid w:val="004928B4"/>
    <w:rsid w:val="00492A41"/>
    <w:rsid w:val="00492D40"/>
    <w:rsid w:val="00492DA6"/>
    <w:rsid w:val="00492ED8"/>
    <w:rsid w:val="004931C9"/>
    <w:rsid w:val="0049320C"/>
    <w:rsid w:val="00493302"/>
    <w:rsid w:val="0049346D"/>
    <w:rsid w:val="004934B5"/>
    <w:rsid w:val="004935BD"/>
    <w:rsid w:val="0049360B"/>
    <w:rsid w:val="00493AD7"/>
    <w:rsid w:val="00493D27"/>
    <w:rsid w:val="00493DFD"/>
    <w:rsid w:val="00493E6D"/>
    <w:rsid w:val="00493EBC"/>
    <w:rsid w:val="00493F66"/>
    <w:rsid w:val="004943AB"/>
    <w:rsid w:val="00494614"/>
    <w:rsid w:val="0049485A"/>
    <w:rsid w:val="00494A65"/>
    <w:rsid w:val="00494A80"/>
    <w:rsid w:val="00494B75"/>
    <w:rsid w:val="00494BD6"/>
    <w:rsid w:val="00494BFF"/>
    <w:rsid w:val="004950BB"/>
    <w:rsid w:val="0049520E"/>
    <w:rsid w:val="004953A4"/>
    <w:rsid w:val="004955E4"/>
    <w:rsid w:val="004958C2"/>
    <w:rsid w:val="00495BFA"/>
    <w:rsid w:val="00496002"/>
    <w:rsid w:val="00496062"/>
    <w:rsid w:val="004963BB"/>
    <w:rsid w:val="004963FB"/>
    <w:rsid w:val="004966AF"/>
    <w:rsid w:val="00496BF9"/>
    <w:rsid w:val="00496C02"/>
    <w:rsid w:val="00496C66"/>
    <w:rsid w:val="00496C7C"/>
    <w:rsid w:val="00496E29"/>
    <w:rsid w:val="00496E68"/>
    <w:rsid w:val="004974D6"/>
    <w:rsid w:val="0049769E"/>
    <w:rsid w:val="00497A67"/>
    <w:rsid w:val="00497F93"/>
    <w:rsid w:val="004A0016"/>
    <w:rsid w:val="004A036E"/>
    <w:rsid w:val="004A04B9"/>
    <w:rsid w:val="004A054F"/>
    <w:rsid w:val="004A0690"/>
    <w:rsid w:val="004A06EA"/>
    <w:rsid w:val="004A08EA"/>
    <w:rsid w:val="004A0B46"/>
    <w:rsid w:val="004A0BDC"/>
    <w:rsid w:val="004A0BF0"/>
    <w:rsid w:val="004A0FE5"/>
    <w:rsid w:val="004A1211"/>
    <w:rsid w:val="004A126B"/>
    <w:rsid w:val="004A13A7"/>
    <w:rsid w:val="004A1416"/>
    <w:rsid w:val="004A17D8"/>
    <w:rsid w:val="004A18F1"/>
    <w:rsid w:val="004A197F"/>
    <w:rsid w:val="004A1A25"/>
    <w:rsid w:val="004A208D"/>
    <w:rsid w:val="004A20B6"/>
    <w:rsid w:val="004A20F9"/>
    <w:rsid w:val="004A22FF"/>
    <w:rsid w:val="004A26DA"/>
    <w:rsid w:val="004A293B"/>
    <w:rsid w:val="004A2BCD"/>
    <w:rsid w:val="004A2E0B"/>
    <w:rsid w:val="004A2E22"/>
    <w:rsid w:val="004A2FEF"/>
    <w:rsid w:val="004A3166"/>
    <w:rsid w:val="004A31D2"/>
    <w:rsid w:val="004A3249"/>
    <w:rsid w:val="004A35B9"/>
    <w:rsid w:val="004A3941"/>
    <w:rsid w:val="004A3E61"/>
    <w:rsid w:val="004A3FBF"/>
    <w:rsid w:val="004A4291"/>
    <w:rsid w:val="004A445D"/>
    <w:rsid w:val="004A456E"/>
    <w:rsid w:val="004A4570"/>
    <w:rsid w:val="004A4951"/>
    <w:rsid w:val="004A4D46"/>
    <w:rsid w:val="004A4D5B"/>
    <w:rsid w:val="004A4E31"/>
    <w:rsid w:val="004A4EF1"/>
    <w:rsid w:val="004A5185"/>
    <w:rsid w:val="004A5216"/>
    <w:rsid w:val="004A56CF"/>
    <w:rsid w:val="004A5700"/>
    <w:rsid w:val="004A5BF0"/>
    <w:rsid w:val="004A5C0F"/>
    <w:rsid w:val="004A5E50"/>
    <w:rsid w:val="004A6138"/>
    <w:rsid w:val="004A616B"/>
    <w:rsid w:val="004A6197"/>
    <w:rsid w:val="004A6296"/>
    <w:rsid w:val="004A630B"/>
    <w:rsid w:val="004A653A"/>
    <w:rsid w:val="004A656E"/>
    <w:rsid w:val="004A6691"/>
    <w:rsid w:val="004A68E5"/>
    <w:rsid w:val="004A6C6A"/>
    <w:rsid w:val="004A6CEE"/>
    <w:rsid w:val="004A7151"/>
    <w:rsid w:val="004A756D"/>
    <w:rsid w:val="004A76E1"/>
    <w:rsid w:val="004A7BF1"/>
    <w:rsid w:val="004A7DEB"/>
    <w:rsid w:val="004B0933"/>
    <w:rsid w:val="004B0B53"/>
    <w:rsid w:val="004B0E74"/>
    <w:rsid w:val="004B1096"/>
    <w:rsid w:val="004B11EF"/>
    <w:rsid w:val="004B135B"/>
    <w:rsid w:val="004B16BE"/>
    <w:rsid w:val="004B1741"/>
    <w:rsid w:val="004B1750"/>
    <w:rsid w:val="004B1877"/>
    <w:rsid w:val="004B18B3"/>
    <w:rsid w:val="004B19C5"/>
    <w:rsid w:val="004B1AC3"/>
    <w:rsid w:val="004B1BAC"/>
    <w:rsid w:val="004B1C4F"/>
    <w:rsid w:val="004B1CE1"/>
    <w:rsid w:val="004B1D7B"/>
    <w:rsid w:val="004B1E2F"/>
    <w:rsid w:val="004B1E7D"/>
    <w:rsid w:val="004B1EA4"/>
    <w:rsid w:val="004B2027"/>
    <w:rsid w:val="004B2071"/>
    <w:rsid w:val="004B208D"/>
    <w:rsid w:val="004B219B"/>
    <w:rsid w:val="004B23CA"/>
    <w:rsid w:val="004B263F"/>
    <w:rsid w:val="004B2776"/>
    <w:rsid w:val="004B2963"/>
    <w:rsid w:val="004B2A1E"/>
    <w:rsid w:val="004B2A94"/>
    <w:rsid w:val="004B2EB4"/>
    <w:rsid w:val="004B301E"/>
    <w:rsid w:val="004B3233"/>
    <w:rsid w:val="004B3476"/>
    <w:rsid w:val="004B393A"/>
    <w:rsid w:val="004B3BEC"/>
    <w:rsid w:val="004B3DD3"/>
    <w:rsid w:val="004B3F6D"/>
    <w:rsid w:val="004B4679"/>
    <w:rsid w:val="004B4B2A"/>
    <w:rsid w:val="004B4CB8"/>
    <w:rsid w:val="004B4D78"/>
    <w:rsid w:val="004B507D"/>
    <w:rsid w:val="004B527D"/>
    <w:rsid w:val="004B5908"/>
    <w:rsid w:val="004B6273"/>
    <w:rsid w:val="004B645A"/>
    <w:rsid w:val="004B66A1"/>
    <w:rsid w:val="004B6B82"/>
    <w:rsid w:val="004B6D33"/>
    <w:rsid w:val="004B6D49"/>
    <w:rsid w:val="004B6E09"/>
    <w:rsid w:val="004B6E42"/>
    <w:rsid w:val="004B6F6A"/>
    <w:rsid w:val="004B71FA"/>
    <w:rsid w:val="004B775F"/>
    <w:rsid w:val="004B776F"/>
    <w:rsid w:val="004B78C7"/>
    <w:rsid w:val="004B7A80"/>
    <w:rsid w:val="004B7AFD"/>
    <w:rsid w:val="004C00B0"/>
    <w:rsid w:val="004C0182"/>
    <w:rsid w:val="004C02A9"/>
    <w:rsid w:val="004C0596"/>
    <w:rsid w:val="004C05FC"/>
    <w:rsid w:val="004C0861"/>
    <w:rsid w:val="004C0965"/>
    <w:rsid w:val="004C0CE2"/>
    <w:rsid w:val="004C0FE8"/>
    <w:rsid w:val="004C134E"/>
    <w:rsid w:val="004C1675"/>
    <w:rsid w:val="004C16B4"/>
    <w:rsid w:val="004C1860"/>
    <w:rsid w:val="004C1985"/>
    <w:rsid w:val="004C1BF3"/>
    <w:rsid w:val="004C1C58"/>
    <w:rsid w:val="004C1CEB"/>
    <w:rsid w:val="004C2150"/>
    <w:rsid w:val="004C22BE"/>
    <w:rsid w:val="004C241B"/>
    <w:rsid w:val="004C2552"/>
    <w:rsid w:val="004C2843"/>
    <w:rsid w:val="004C2F4B"/>
    <w:rsid w:val="004C30F9"/>
    <w:rsid w:val="004C315F"/>
    <w:rsid w:val="004C336A"/>
    <w:rsid w:val="004C342C"/>
    <w:rsid w:val="004C35A2"/>
    <w:rsid w:val="004C37A4"/>
    <w:rsid w:val="004C39FB"/>
    <w:rsid w:val="004C3F3C"/>
    <w:rsid w:val="004C3F52"/>
    <w:rsid w:val="004C401B"/>
    <w:rsid w:val="004C4233"/>
    <w:rsid w:val="004C42A3"/>
    <w:rsid w:val="004C4467"/>
    <w:rsid w:val="004C4569"/>
    <w:rsid w:val="004C45F8"/>
    <w:rsid w:val="004C4631"/>
    <w:rsid w:val="004C465F"/>
    <w:rsid w:val="004C49D9"/>
    <w:rsid w:val="004C4E10"/>
    <w:rsid w:val="004C4EBB"/>
    <w:rsid w:val="004C50AD"/>
    <w:rsid w:val="004C549F"/>
    <w:rsid w:val="004C5572"/>
    <w:rsid w:val="004C568B"/>
    <w:rsid w:val="004C56E2"/>
    <w:rsid w:val="004C5B80"/>
    <w:rsid w:val="004C6107"/>
    <w:rsid w:val="004C641C"/>
    <w:rsid w:val="004C659B"/>
    <w:rsid w:val="004C65A4"/>
    <w:rsid w:val="004C6628"/>
    <w:rsid w:val="004C6ADC"/>
    <w:rsid w:val="004C6D6A"/>
    <w:rsid w:val="004C6EF4"/>
    <w:rsid w:val="004C71AD"/>
    <w:rsid w:val="004C721D"/>
    <w:rsid w:val="004C7A4F"/>
    <w:rsid w:val="004C7EE5"/>
    <w:rsid w:val="004C7FBD"/>
    <w:rsid w:val="004D0862"/>
    <w:rsid w:val="004D0B42"/>
    <w:rsid w:val="004D0E9F"/>
    <w:rsid w:val="004D0EFA"/>
    <w:rsid w:val="004D0FAE"/>
    <w:rsid w:val="004D1132"/>
    <w:rsid w:val="004D1232"/>
    <w:rsid w:val="004D16F6"/>
    <w:rsid w:val="004D18CA"/>
    <w:rsid w:val="004D18DD"/>
    <w:rsid w:val="004D18F9"/>
    <w:rsid w:val="004D1962"/>
    <w:rsid w:val="004D1CA6"/>
    <w:rsid w:val="004D1E36"/>
    <w:rsid w:val="004D1E92"/>
    <w:rsid w:val="004D1EF2"/>
    <w:rsid w:val="004D219B"/>
    <w:rsid w:val="004D24A2"/>
    <w:rsid w:val="004D260E"/>
    <w:rsid w:val="004D28A4"/>
    <w:rsid w:val="004D2CEE"/>
    <w:rsid w:val="004D2D46"/>
    <w:rsid w:val="004D2E78"/>
    <w:rsid w:val="004D2EE4"/>
    <w:rsid w:val="004D30DA"/>
    <w:rsid w:val="004D318B"/>
    <w:rsid w:val="004D31CE"/>
    <w:rsid w:val="004D339E"/>
    <w:rsid w:val="004D3650"/>
    <w:rsid w:val="004D39A8"/>
    <w:rsid w:val="004D3A2E"/>
    <w:rsid w:val="004D418F"/>
    <w:rsid w:val="004D41A7"/>
    <w:rsid w:val="004D421F"/>
    <w:rsid w:val="004D422E"/>
    <w:rsid w:val="004D4294"/>
    <w:rsid w:val="004D4401"/>
    <w:rsid w:val="004D4536"/>
    <w:rsid w:val="004D479B"/>
    <w:rsid w:val="004D4915"/>
    <w:rsid w:val="004D4A0E"/>
    <w:rsid w:val="004D4D3E"/>
    <w:rsid w:val="004D54E3"/>
    <w:rsid w:val="004D564D"/>
    <w:rsid w:val="004D573C"/>
    <w:rsid w:val="004D5B00"/>
    <w:rsid w:val="004D60BB"/>
    <w:rsid w:val="004D62EF"/>
    <w:rsid w:val="004D62FA"/>
    <w:rsid w:val="004D638E"/>
    <w:rsid w:val="004D66AC"/>
    <w:rsid w:val="004D6A82"/>
    <w:rsid w:val="004D6D6C"/>
    <w:rsid w:val="004D6FFE"/>
    <w:rsid w:val="004D70AE"/>
    <w:rsid w:val="004D71A4"/>
    <w:rsid w:val="004D7267"/>
    <w:rsid w:val="004D7A4B"/>
    <w:rsid w:val="004D7DF1"/>
    <w:rsid w:val="004E0017"/>
    <w:rsid w:val="004E029B"/>
    <w:rsid w:val="004E02A2"/>
    <w:rsid w:val="004E0991"/>
    <w:rsid w:val="004E0BE0"/>
    <w:rsid w:val="004E0F27"/>
    <w:rsid w:val="004E10EB"/>
    <w:rsid w:val="004E1338"/>
    <w:rsid w:val="004E15A8"/>
    <w:rsid w:val="004E1983"/>
    <w:rsid w:val="004E19FA"/>
    <w:rsid w:val="004E1AD7"/>
    <w:rsid w:val="004E1C8C"/>
    <w:rsid w:val="004E1FF3"/>
    <w:rsid w:val="004E259A"/>
    <w:rsid w:val="004E2AAE"/>
    <w:rsid w:val="004E2AEA"/>
    <w:rsid w:val="004E2B4A"/>
    <w:rsid w:val="004E2D31"/>
    <w:rsid w:val="004E2FD6"/>
    <w:rsid w:val="004E3150"/>
    <w:rsid w:val="004E32DC"/>
    <w:rsid w:val="004E3410"/>
    <w:rsid w:val="004E366C"/>
    <w:rsid w:val="004E38EB"/>
    <w:rsid w:val="004E3CAE"/>
    <w:rsid w:val="004E3CB1"/>
    <w:rsid w:val="004E4214"/>
    <w:rsid w:val="004E441B"/>
    <w:rsid w:val="004E45ED"/>
    <w:rsid w:val="004E49C6"/>
    <w:rsid w:val="004E4DC1"/>
    <w:rsid w:val="004E4E63"/>
    <w:rsid w:val="004E4F70"/>
    <w:rsid w:val="004E50AB"/>
    <w:rsid w:val="004E5290"/>
    <w:rsid w:val="004E5398"/>
    <w:rsid w:val="004E59C2"/>
    <w:rsid w:val="004E5A9C"/>
    <w:rsid w:val="004E5B3D"/>
    <w:rsid w:val="004E5CAE"/>
    <w:rsid w:val="004E5D02"/>
    <w:rsid w:val="004E5E30"/>
    <w:rsid w:val="004E6196"/>
    <w:rsid w:val="004E6313"/>
    <w:rsid w:val="004E63C2"/>
    <w:rsid w:val="004E6BA5"/>
    <w:rsid w:val="004E6FCF"/>
    <w:rsid w:val="004E7056"/>
    <w:rsid w:val="004E733E"/>
    <w:rsid w:val="004E7502"/>
    <w:rsid w:val="004E75D1"/>
    <w:rsid w:val="004E7626"/>
    <w:rsid w:val="004E7806"/>
    <w:rsid w:val="004E7BF0"/>
    <w:rsid w:val="004E7E5F"/>
    <w:rsid w:val="004E7FD0"/>
    <w:rsid w:val="004F00AD"/>
    <w:rsid w:val="004F055B"/>
    <w:rsid w:val="004F0963"/>
    <w:rsid w:val="004F09D5"/>
    <w:rsid w:val="004F0B5C"/>
    <w:rsid w:val="004F0EEF"/>
    <w:rsid w:val="004F10AE"/>
    <w:rsid w:val="004F1275"/>
    <w:rsid w:val="004F1278"/>
    <w:rsid w:val="004F1423"/>
    <w:rsid w:val="004F157D"/>
    <w:rsid w:val="004F17D9"/>
    <w:rsid w:val="004F1852"/>
    <w:rsid w:val="004F1927"/>
    <w:rsid w:val="004F1A50"/>
    <w:rsid w:val="004F1F49"/>
    <w:rsid w:val="004F249E"/>
    <w:rsid w:val="004F2925"/>
    <w:rsid w:val="004F29B5"/>
    <w:rsid w:val="004F2BB4"/>
    <w:rsid w:val="004F2BB7"/>
    <w:rsid w:val="004F2F60"/>
    <w:rsid w:val="004F31A2"/>
    <w:rsid w:val="004F349B"/>
    <w:rsid w:val="004F38D9"/>
    <w:rsid w:val="004F3DFD"/>
    <w:rsid w:val="004F3E28"/>
    <w:rsid w:val="004F3E33"/>
    <w:rsid w:val="004F3E68"/>
    <w:rsid w:val="004F3FE7"/>
    <w:rsid w:val="004F451D"/>
    <w:rsid w:val="004F464B"/>
    <w:rsid w:val="004F4673"/>
    <w:rsid w:val="004F489F"/>
    <w:rsid w:val="004F4A7B"/>
    <w:rsid w:val="004F4ADE"/>
    <w:rsid w:val="004F4E91"/>
    <w:rsid w:val="004F4F72"/>
    <w:rsid w:val="004F59E8"/>
    <w:rsid w:val="004F5ABF"/>
    <w:rsid w:val="004F5BDF"/>
    <w:rsid w:val="004F6241"/>
    <w:rsid w:val="004F630B"/>
    <w:rsid w:val="004F6657"/>
    <w:rsid w:val="004F6FF3"/>
    <w:rsid w:val="004F7163"/>
    <w:rsid w:val="004F78DB"/>
    <w:rsid w:val="004F7A64"/>
    <w:rsid w:val="004F7FA2"/>
    <w:rsid w:val="005002EC"/>
    <w:rsid w:val="005004A5"/>
    <w:rsid w:val="0050055A"/>
    <w:rsid w:val="00500685"/>
    <w:rsid w:val="005006CC"/>
    <w:rsid w:val="00500AC9"/>
    <w:rsid w:val="00500B42"/>
    <w:rsid w:val="00500CD8"/>
    <w:rsid w:val="00500D35"/>
    <w:rsid w:val="00500E0F"/>
    <w:rsid w:val="00500E57"/>
    <w:rsid w:val="00500F84"/>
    <w:rsid w:val="00501113"/>
    <w:rsid w:val="005015C7"/>
    <w:rsid w:val="005015FF"/>
    <w:rsid w:val="005018C0"/>
    <w:rsid w:val="005019B1"/>
    <w:rsid w:val="00501A32"/>
    <w:rsid w:val="0050206F"/>
    <w:rsid w:val="0050227C"/>
    <w:rsid w:val="00502460"/>
    <w:rsid w:val="00502493"/>
    <w:rsid w:val="00502638"/>
    <w:rsid w:val="00502B58"/>
    <w:rsid w:val="0050300D"/>
    <w:rsid w:val="00503083"/>
    <w:rsid w:val="00503124"/>
    <w:rsid w:val="00503512"/>
    <w:rsid w:val="00503A02"/>
    <w:rsid w:val="00503AC2"/>
    <w:rsid w:val="00503BAB"/>
    <w:rsid w:val="00503C09"/>
    <w:rsid w:val="00503DC3"/>
    <w:rsid w:val="0050404E"/>
    <w:rsid w:val="0050410A"/>
    <w:rsid w:val="00504394"/>
    <w:rsid w:val="005045C8"/>
    <w:rsid w:val="00504687"/>
    <w:rsid w:val="0050478D"/>
    <w:rsid w:val="00504D5C"/>
    <w:rsid w:val="00504DCA"/>
    <w:rsid w:val="00505283"/>
    <w:rsid w:val="005057DE"/>
    <w:rsid w:val="00505948"/>
    <w:rsid w:val="00505BBB"/>
    <w:rsid w:val="00505E89"/>
    <w:rsid w:val="00505E97"/>
    <w:rsid w:val="00505FC3"/>
    <w:rsid w:val="0050632B"/>
    <w:rsid w:val="00506347"/>
    <w:rsid w:val="005066AF"/>
    <w:rsid w:val="005067CA"/>
    <w:rsid w:val="005069FF"/>
    <w:rsid w:val="00506B5A"/>
    <w:rsid w:val="00506D5E"/>
    <w:rsid w:val="00507256"/>
    <w:rsid w:val="0050759F"/>
    <w:rsid w:val="00507605"/>
    <w:rsid w:val="0050785A"/>
    <w:rsid w:val="005078C9"/>
    <w:rsid w:val="005078FF"/>
    <w:rsid w:val="00510190"/>
    <w:rsid w:val="005102F3"/>
    <w:rsid w:val="0051030F"/>
    <w:rsid w:val="00510385"/>
    <w:rsid w:val="005104B1"/>
    <w:rsid w:val="00510609"/>
    <w:rsid w:val="0051061C"/>
    <w:rsid w:val="0051073D"/>
    <w:rsid w:val="00510CA7"/>
    <w:rsid w:val="00510E1C"/>
    <w:rsid w:val="00510F47"/>
    <w:rsid w:val="005110B9"/>
    <w:rsid w:val="005111C4"/>
    <w:rsid w:val="0051125A"/>
    <w:rsid w:val="00511A6F"/>
    <w:rsid w:val="00511B92"/>
    <w:rsid w:val="00511E7D"/>
    <w:rsid w:val="00511ECA"/>
    <w:rsid w:val="00512151"/>
    <w:rsid w:val="005123A8"/>
    <w:rsid w:val="0051261A"/>
    <w:rsid w:val="005127CC"/>
    <w:rsid w:val="00512C07"/>
    <w:rsid w:val="00512C2C"/>
    <w:rsid w:val="00512CF6"/>
    <w:rsid w:val="00512D08"/>
    <w:rsid w:val="00512D9D"/>
    <w:rsid w:val="00513051"/>
    <w:rsid w:val="005130E8"/>
    <w:rsid w:val="00513607"/>
    <w:rsid w:val="00513761"/>
    <w:rsid w:val="0051386A"/>
    <w:rsid w:val="005138DA"/>
    <w:rsid w:val="005139D1"/>
    <w:rsid w:val="00513BBB"/>
    <w:rsid w:val="00513EE2"/>
    <w:rsid w:val="005144D4"/>
    <w:rsid w:val="00514501"/>
    <w:rsid w:val="0051457B"/>
    <w:rsid w:val="005147DB"/>
    <w:rsid w:val="00514C30"/>
    <w:rsid w:val="00514C76"/>
    <w:rsid w:val="00514EE7"/>
    <w:rsid w:val="00514F36"/>
    <w:rsid w:val="005155DF"/>
    <w:rsid w:val="00515A47"/>
    <w:rsid w:val="00515F1C"/>
    <w:rsid w:val="005160BF"/>
    <w:rsid w:val="0051610D"/>
    <w:rsid w:val="005162B4"/>
    <w:rsid w:val="005162C5"/>
    <w:rsid w:val="0051642E"/>
    <w:rsid w:val="005169A9"/>
    <w:rsid w:val="00516AA4"/>
    <w:rsid w:val="00516F11"/>
    <w:rsid w:val="0051729F"/>
    <w:rsid w:val="005172F9"/>
    <w:rsid w:val="00517654"/>
    <w:rsid w:val="00517678"/>
    <w:rsid w:val="0051769E"/>
    <w:rsid w:val="005177AD"/>
    <w:rsid w:val="00517A79"/>
    <w:rsid w:val="00517AE0"/>
    <w:rsid w:val="00517BAF"/>
    <w:rsid w:val="00517E11"/>
    <w:rsid w:val="00517F6A"/>
    <w:rsid w:val="0052005C"/>
    <w:rsid w:val="005200B6"/>
    <w:rsid w:val="005201D7"/>
    <w:rsid w:val="005202BF"/>
    <w:rsid w:val="005202D1"/>
    <w:rsid w:val="00520498"/>
    <w:rsid w:val="005204E7"/>
    <w:rsid w:val="0052059B"/>
    <w:rsid w:val="0052083D"/>
    <w:rsid w:val="005208B3"/>
    <w:rsid w:val="005209FA"/>
    <w:rsid w:val="00520A36"/>
    <w:rsid w:val="00520C06"/>
    <w:rsid w:val="00520C92"/>
    <w:rsid w:val="00520D5D"/>
    <w:rsid w:val="00520D74"/>
    <w:rsid w:val="0052103E"/>
    <w:rsid w:val="00521082"/>
    <w:rsid w:val="00521A51"/>
    <w:rsid w:val="00521B3B"/>
    <w:rsid w:val="00521F52"/>
    <w:rsid w:val="005221CC"/>
    <w:rsid w:val="00522410"/>
    <w:rsid w:val="0052266A"/>
    <w:rsid w:val="00522771"/>
    <w:rsid w:val="0052279A"/>
    <w:rsid w:val="00522BDF"/>
    <w:rsid w:val="00522CE2"/>
    <w:rsid w:val="00522E30"/>
    <w:rsid w:val="00522F36"/>
    <w:rsid w:val="0052364C"/>
    <w:rsid w:val="00523823"/>
    <w:rsid w:val="0052390C"/>
    <w:rsid w:val="00523B98"/>
    <w:rsid w:val="00523DC4"/>
    <w:rsid w:val="00524338"/>
    <w:rsid w:val="005245B9"/>
    <w:rsid w:val="00524641"/>
    <w:rsid w:val="0052488E"/>
    <w:rsid w:val="00524AFA"/>
    <w:rsid w:val="00525188"/>
    <w:rsid w:val="0052529C"/>
    <w:rsid w:val="005253EF"/>
    <w:rsid w:val="005254C5"/>
    <w:rsid w:val="005254D2"/>
    <w:rsid w:val="00525578"/>
    <w:rsid w:val="0052587F"/>
    <w:rsid w:val="00525968"/>
    <w:rsid w:val="00525996"/>
    <w:rsid w:val="005259C0"/>
    <w:rsid w:val="005259FB"/>
    <w:rsid w:val="00526281"/>
    <w:rsid w:val="00526AE3"/>
    <w:rsid w:val="00526F4D"/>
    <w:rsid w:val="00527186"/>
    <w:rsid w:val="005273C2"/>
    <w:rsid w:val="0052741D"/>
    <w:rsid w:val="005277B8"/>
    <w:rsid w:val="005277C8"/>
    <w:rsid w:val="00527838"/>
    <w:rsid w:val="00527FEA"/>
    <w:rsid w:val="005300BC"/>
    <w:rsid w:val="0053020B"/>
    <w:rsid w:val="005302BC"/>
    <w:rsid w:val="00530655"/>
    <w:rsid w:val="00530914"/>
    <w:rsid w:val="00530C9B"/>
    <w:rsid w:val="005310C3"/>
    <w:rsid w:val="0053114E"/>
    <w:rsid w:val="00531315"/>
    <w:rsid w:val="005313E3"/>
    <w:rsid w:val="0053143E"/>
    <w:rsid w:val="00531544"/>
    <w:rsid w:val="00531573"/>
    <w:rsid w:val="00531969"/>
    <w:rsid w:val="00531AA5"/>
    <w:rsid w:val="00531BF7"/>
    <w:rsid w:val="00531CAE"/>
    <w:rsid w:val="00531D77"/>
    <w:rsid w:val="00532238"/>
    <w:rsid w:val="00532493"/>
    <w:rsid w:val="0053281B"/>
    <w:rsid w:val="00532D3A"/>
    <w:rsid w:val="00532ED5"/>
    <w:rsid w:val="00533209"/>
    <w:rsid w:val="005332ED"/>
    <w:rsid w:val="005333BE"/>
    <w:rsid w:val="00533458"/>
    <w:rsid w:val="00533574"/>
    <w:rsid w:val="0053362B"/>
    <w:rsid w:val="0053367D"/>
    <w:rsid w:val="005336B1"/>
    <w:rsid w:val="00533832"/>
    <w:rsid w:val="00533A3F"/>
    <w:rsid w:val="00533E6A"/>
    <w:rsid w:val="005345AB"/>
    <w:rsid w:val="005348CB"/>
    <w:rsid w:val="00534922"/>
    <w:rsid w:val="00534D46"/>
    <w:rsid w:val="00534D84"/>
    <w:rsid w:val="00534F37"/>
    <w:rsid w:val="005352CA"/>
    <w:rsid w:val="005356EC"/>
    <w:rsid w:val="005356F5"/>
    <w:rsid w:val="0053575F"/>
    <w:rsid w:val="00535A98"/>
    <w:rsid w:val="00536029"/>
    <w:rsid w:val="00536088"/>
    <w:rsid w:val="00536478"/>
    <w:rsid w:val="00536583"/>
    <w:rsid w:val="00536690"/>
    <w:rsid w:val="00536706"/>
    <w:rsid w:val="005367B3"/>
    <w:rsid w:val="0053696F"/>
    <w:rsid w:val="00536A23"/>
    <w:rsid w:val="00536BD9"/>
    <w:rsid w:val="00536E42"/>
    <w:rsid w:val="00536FA2"/>
    <w:rsid w:val="0053707A"/>
    <w:rsid w:val="00537505"/>
    <w:rsid w:val="005375D5"/>
    <w:rsid w:val="00537651"/>
    <w:rsid w:val="00537A96"/>
    <w:rsid w:val="00537B90"/>
    <w:rsid w:val="00537ED1"/>
    <w:rsid w:val="00540071"/>
    <w:rsid w:val="005400AC"/>
    <w:rsid w:val="00540427"/>
    <w:rsid w:val="00540A8B"/>
    <w:rsid w:val="00540C04"/>
    <w:rsid w:val="005411BE"/>
    <w:rsid w:val="00541837"/>
    <w:rsid w:val="005418E2"/>
    <w:rsid w:val="00541A17"/>
    <w:rsid w:val="00541A64"/>
    <w:rsid w:val="00541AF1"/>
    <w:rsid w:val="00541D7E"/>
    <w:rsid w:val="00541E0A"/>
    <w:rsid w:val="005425DD"/>
    <w:rsid w:val="00542A50"/>
    <w:rsid w:val="00542A52"/>
    <w:rsid w:val="00542BC7"/>
    <w:rsid w:val="00543120"/>
    <w:rsid w:val="005432E1"/>
    <w:rsid w:val="00543531"/>
    <w:rsid w:val="00543893"/>
    <w:rsid w:val="005439DB"/>
    <w:rsid w:val="00543AE5"/>
    <w:rsid w:val="00543E89"/>
    <w:rsid w:val="00543F9B"/>
    <w:rsid w:val="0054415A"/>
    <w:rsid w:val="005443D8"/>
    <w:rsid w:val="00544653"/>
    <w:rsid w:val="00544BC6"/>
    <w:rsid w:val="00544F66"/>
    <w:rsid w:val="00544FD3"/>
    <w:rsid w:val="00545072"/>
    <w:rsid w:val="0054512F"/>
    <w:rsid w:val="0054515A"/>
    <w:rsid w:val="005452A3"/>
    <w:rsid w:val="005452B6"/>
    <w:rsid w:val="0054540F"/>
    <w:rsid w:val="0054543A"/>
    <w:rsid w:val="005455B6"/>
    <w:rsid w:val="005455F8"/>
    <w:rsid w:val="005458CC"/>
    <w:rsid w:val="005459E8"/>
    <w:rsid w:val="00545AB8"/>
    <w:rsid w:val="00545E01"/>
    <w:rsid w:val="00545EC7"/>
    <w:rsid w:val="00545F20"/>
    <w:rsid w:val="0054626D"/>
    <w:rsid w:val="0054645F"/>
    <w:rsid w:val="00546486"/>
    <w:rsid w:val="00546AD5"/>
    <w:rsid w:val="00546B7E"/>
    <w:rsid w:val="00546CAA"/>
    <w:rsid w:val="0054730B"/>
    <w:rsid w:val="00547416"/>
    <w:rsid w:val="005477AD"/>
    <w:rsid w:val="00547B76"/>
    <w:rsid w:val="00547B8B"/>
    <w:rsid w:val="00547C4B"/>
    <w:rsid w:val="00547C77"/>
    <w:rsid w:val="0055030D"/>
    <w:rsid w:val="0055082D"/>
    <w:rsid w:val="00550936"/>
    <w:rsid w:val="00550AF5"/>
    <w:rsid w:val="00550DAD"/>
    <w:rsid w:val="00550F09"/>
    <w:rsid w:val="0055132D"/>
    <w:rsid w:val="0055180C"/>
    <w:rsid w:val="00551A1F"/>
    <w:rsid w:val="00551A7C"/>
    <w:rsid w:val="00551D94"/>
    <w:rsid w:val="00551DD4"/>
    <w:rsid w:val="00551F4A"/>
    <w:rsid w:val="0055217A"/>
    <w:rsid w:val="00552834"/>
    <w:rsid w:val="00552838"/>
    <w:rsid w:val="00552B00"/>
    <w:rsid w:val="00552E24"/>
    <w:rsid w:val="00552F85"/>
    <w:rsid w:val="00553020"/>
    <w:rsid w:val="005530DE"/>
    <w:rsid w:val="005533FF"/>
    <w:rsid w:val="0055348E"/>
    <w:rsid w:val="00553503"/>
    <w:rsid w:val="00553521"/>
    <w:rsid w:val="005535E4"/>
    <w:rsid w:val="005535E6"/>
    <w:rsid w:val="00553748"/>
    <w:rsid w:val="0055385C"/>
    <w:rsid w:val="00553946"/>
    <w:rsid w:val="005539E4"/>
    <w:rsid w:val="00553C2A"/>
    <w:rsid w:val="00553D73"/>
    <w:rsid w:val="0055407F"/>
    <w:rsid w:val="005544D0"/>
    <w:rsid w:val="00554512"/>
    <w:rsid w:val="00554967"/>
    <w:rsid w:val="00554D90"/>
    <w:rsid w:val="00554F17"/>
    <w:rsid w:val="0055501C"/>
    <w:rsid w:val="005551AD"/>
    <w:rsid w:val="0055524A"/>
    <w:rsid w:val="00555253"/>
    <w:rsid w:val="005552C0"/>
    <w:rsid w:val="00555877"/>
    <w:rsid w:val="00555AF0"/>
    <w:rsid w:val="00555C58"/>
    <w:rsid w:val="00555CEF"/>
    <w:rsid w:val="00555CF5"/>
    <w:rsid w:val="00555D2C"/>
    <w:rsid w:val="00555E9F"/>
    <w:rsid w:val="00555EDA"/>
    <w:rsid w:val="005562DC"/>
    <w:rsid w:val="00556441"/>
    <w:rsid w:val="0055645A"/>
    <w:rsid w:val="00556500"/>
    <w:rsid w:val="00556C62"/>
    <w:rsid w:val="00556E03"/>
    <w:rsid w:val="00556F3F"/>
    <w:rsid w:val="0055714B"/>
    <w:rsid w:val="00557186"/>
    <w:rsid w:val="005572E8"/>
    <w:rsid w:val="00557351"/>
    <w:rsid w:val="00557474"/>
    <w:rsid w:val="005577F9"/>
    <w:rsid w:val="00557C96"/>
    <w:rsid w:val="00557D24"/>
    <w:rsid w:val="00557DE2"/>
    <w:rsid w:val="00557E89"/>
    <w:rsid w:val="00560276"/>
    <w:rsid w:val="005602E4"/>
    <w:rsid w:val="0056030A"/>
    <w:rsid w:val="0056061A"/>
    <w:rsid w:val="00560670"/>
    <w:rsid w:val="005606A0"/>
    <w:rsid w:val="005607C0"/>
    <w:rsid w:val="00560851"/>
    <w:rsid w:val="00560876"/>
    <w:rsid w:val="00560A31"/>
    <w:rsid w:val="00560F2E"/>
    <w:rsid w:val="00560FB5"/>
    <w:rsid w:val="0056107E"/>
    <w:rsid w:val="005611D5"/>
    <w:rsid w:val="005615BC"/>
    <w:rsid w:val="005619AD"/>
    <w:rsid w:val="00561C19"/>
    <w:rsid w:val="00561E38"/>
    <w:rsid w:val="00561F53"/>
    <w:rsid w:val="00562467"/>
    <w:rsid w:val="0056246A"/>
    <w:rsid w:val="0056246D"/>
    <w:rsid w:val="005626EB"/>
    <w:rsid w:val="0056282B"/>
    <w:rsid w:val="00562C60"/>
    <w:rsid w:val="00562F58"/>
    <w:rsid w:val="0056310E"/>
    <w:rsid w:val="0056323F"/>
    <w:rsid w:val="005632C5"/>
    <w:rsid w:val="005634BB"/>
    <w:rsid w:val="005637BC"/>
    <w:rsid w:val="00563B95"/>
    <w:rsid w:val="00564168"/>
    <w:rsid w:val="00564834"/>
    <w:rsid w:val="005648FF"/>
    <w:rsid w:val="00564CBD"/>
    <w:rsid w:val="00564D9F"/>
    <w:rsid w:val="00564F9B"/>
    <w:rsid w:val="00564FBC"/>
    <w:rsid w:val="005653D5"/>
    <w:rsid w:val="00565770"/>
    <w:rsid w:val="00565802"/>
    <w:rsid w:val="005658A7"/>
    <w:rsid w:val="00565A2F"/>
    <w:rsid w:val="00565E05"/>
    <w:rsid w:val="00565F0F"/>
    <w:rsid w:val="00565FE6"/>
    <w:rsid w:val="00565FF5"/>
    <w:rsid w:val="005662E1"/>
    <w:rsid w:val="00566B79"/>
    <w:rsid w:val="00567195"/>
    <w:rsid w:val="005675DD"/>
    <w:rsid w:val="00567D6F"/>
    <w:rsid w:val="00567EC2"/>
    <w:rsid w:val="00570331"/>
    <w:rsid w:val="0057047A"/>
    <w:rsid w:val="0057068B"/>
    <w:rsid w:val="00570841"/>
    <w:rsid w:val="00570932"/>
    <w:rsid w:val="00570F7A"/>
    <w:rsid w:val="005711FA"/>
    <w:rsid w:val="00571535"/>
    <w:rsid w:val="00571E18"/>
    <w:rsid w:val="00572311"/>
    <w:rsid w:val="005725C3"/>
    <w:rsid w:val="00572B59"/>
    <w:rsid w:val="00572C3D"/>
    <w:rsid w:val="00572EB3"/>
    <w:rsid w:val="00572FD5"/>
    <w:rsid w:val="005732FF"/>
    <w:rsid w:val="005736CE"/>
    <w:rsid w:val="00573759"/>
    <w:rsid w:val="005739E9"/>
    <w:rsid w:val="00573B83"/>
    <w:rsid w:val="00573C9F"/>
    <w:rsid w:val="005741CC"/>
    <w:rsid w:val="005741D2"/>
    <w:rsid w:val="00574534"/>
    <w:rsid w:val="00574780"/>
    <w:rsid w:val="00574924"/>
    <w:rsid w:val="005749F6"/>
    <w:rsid w:val="00574DFD"/>
    <w:rsid w:val="0057513F"/>
    <w:rsid w:val="005751C7"/>
    <w:rsid w:val="005752B5"/>
    <w:rsid w:val="005752C3"/>
    <w:rsid w:val="005752D1"/>
    <w:rsid w:val="00575353"/>
    <w:rsid w:val="00575866"/>
    <w:rsid w:val="005758CA"/>
    <w:rsid w:val="00575A2A"/>
    <w:rsid w:val="00575A65"/>
    <w:rsid w:val="00575AAC"/>
    <w:rsid w:val="00575ABB"/>
    <w:rsid w:val="00575E4F"/>
    <w:rsid w:val="00575EA9"/>
    <w:rsid w:val="00575FA7"/>
    <w:rsid w:val="0057651C"/>
    <w:rsid w:val="005765F4"/>
    <w:rsid w:val="005765FA"/>
    <w:rsid w:val="00576A0F"/>
    <w:rsid w:val="00576C5F"/>
    <w:rsid w:val="00576CFF"/>
    <w:rsid w:val="0057700E"/>
    <w:rsid w:val="005772AC"/>
    <w:rsid w:val="005772B7"/>
    <w:rsid w:val="00577463"/>
    <w:rsid w:val="00577645"/>
    <w:rsid w:val="005776D4"/>
    <w:rsid w:val="00577743"/>
    <w:rsid w:val="005778A2"/>
    <w:rsid w:val="005778DB"/>
    <w:rsid w:val="005804C3"/>
    <w:rsid w:val="00580615"/>
    <w:rsid w:val="00581127"/>
    <w:rsid w:val="005814AB"/>
    <w:rsid w:val="0058160F"/>
    <w:rsid w:val="00581C1D"/>
    <w:rsid w:val="0058200F"/>
    <w:rsid w:val="005820E7"/>
    <w:rsid w:val="005821D0"/>
    <w:rsid w:val="005825EC"/>
    <w:rsid w:val="0058283F"/>
    <w:rsid w:val="00582CF0"/>
    <w:rsid w:val="00583337"/>
    <w:rsid w:val="005833F5"/>
    <w:rsid w:val="00583576"/>
    <w:rsid w:val="005835AB"/>
    <w:rsid w:val="005836D3"/>
    <w:rsid w:val="00583A0C"/>
    <w:rsid w:val="00583B1F"/>
    <w:rsid w:val="00583E23"/>
    <w:rsid w:val="00583FC5"/>
    <w:rsid w:val="005840A7"/>
    <w:rsid w:val="0058413E"/>
    <w:rsid w:val="005841A1"/>
    <w:rsid w:val="00584797"/>
    <w:rsid w:val="005849AD"/>
    <w:rsid w:val="00584C68"/>
    <w:rsid w:val="00584D2E"/>
    <w:rsid w:val="00584E36"/>
    <w:rsid w:val="0058519C"/>
    <w:rsid w:val="005853EC"/>
    <w:rsid w:val="00585735"/>
    <w:rsid w:val="005857BA"/>
    <w:rsid w:val="0058582D"/>
    <w:rsid w:val="005858FE"/>
    <w:rsid w:val="00585A06"/>
    <w:rsid w:val="00585E2F"/>
    <w:rsid w:val="00585F08"/>
    <w:rsid w:val="00586266"/>
    <w:rsid w:val="00586450"/>
    <w:rsid w:val="0058647F"/>
    <w:rsid w:val="00586828"/>
    <w:rsid w:val="005869E4"/>
    <w:rsid w:val="00586CA3"/>
    <w:rsid w:val="00587113"/>
    <w:rsid w:val="00587616"/>
    <w:rsid w:val="0058762A"/>
    <w:rsid w:val="00587811"/>
    <w:rsid w:val="00587AF6"/>
    <w:rsid w:val="00590202"/>
    <w:rsid w:val="00590383"/>
    <w:rsid w:val="0059066C"/>
    <w:rsid w:val="00590A74"/>
    <w:rsid w:val="00590C8B"/>
    <w:rsid w:val="00590DDE"/>
    <w:rsid w:val="005914ED"/>
    <w:rsid w:val="0059187C"/>
    <w:rsid w:val="005918EF"/>
    <w:rsid w:val="00591CC6"/>
    <w:rsid w:val="00591FAE"/>
    <w:rsid w:val="00592275"/>
    <w:rsid w:val="005922EB"/>
    <w:rsid w:val="0059247A"/>
    <w:rsid w:val="005924E1"/>
    <w:rsid w:val="00592556"/>
    <w:rsid w:val="0059266B"/>
    <w:rsid w:val="00592763"/>
    <w:rsid w:val="005929D6"/>
    <w:rsid w:val="00592B9E"/>
    <w:rsid w:val="00592C9F"/>
    <w:rsid w:val="00592EDE"/>
    <w:rsid w:val="0059313E"/>
    <w:rsid w:val="005932EE"/>
    <w:rsid w:val="0059344E"/>
    <w:rsid w:val="00593502"/>
    <w:rsid w:val="0059364D"/>
    <w:rsid w:val="005939B1"/>
    <w:rsid w:val="00593A74"/>
    <w:rsid w:val="00593A7A"/>
    <w:rsid w:val="00593BF4"/>
    <w:rsid w:val="00593C81"/>
    <w:rsid w:val="00594199"/>
    <w:rsid w:val="0059453A"/>
    <w:rsid w:val="0059462C"/>
    <w:rsid w:val="005947BF"/>
    <w:rsid w:val="005947CD"/>
    <w:rsid w:val="00594CDA"/>
    <w:rsid w:val="0059593B"/>
    <w:rsid w:val="00595C2B"/>
    <w:rsid w:val="00595C4C"/>
    <w:rsid w:val="00595CD9"/>
    <w:rsid w:val="00595D3B"/>
    <w:rsid w:val="00595E01"/>
    <w:rsid w:val="0059627D"/>
    <w:rsid w:val="00596328"/>
    <w:rsid w:val="005966F5"/>
    <w:rsid w:val="0059673B"/>
    <w:rsid w:val="00596810"/>
    <w:rsid w:val="005968C5"/>
    <w:rsid w:val="005968D8"/>
    <w:rsid w:val="00596AA2"/>
    <w:rsid w:val="00596D01"/>
    <w:rsid w:val="005976A9"/>
    <w:rsid w:val="005977DC"/>
    <w:rsid w:val="00597AA7"/>
    <w:rsid w:val="00597AE9"/>
    <w:rsid w:val="00597CA2"/>
    <w:rsid w:val="005A0387"/>
    <w:rsid w:val="005A0660"/>
    <w:rsid w:val="005A0678"/>
    <w:rsid w:val="005A06BA"/>
    <w:rsid w:val="005A0B6C"/>
    <w:rsid w:val="005A0CA0"/>
    <w:rsid w:val="005A13C4"/>
    <w:rsid w:val="005A14E2"/>
    <w:rsid w:val="005A15AC"/>
    <w:rsid w:val="005A17C3"/>
    <w:rsid w:val="005A1C71"/>
    <w:rsid w:val="005A1D71"/>
    <w:rsid w:val="005A1D7D"/>
    <w:rsid w:val="005A1E7F"/>
    <w:rsid w:val="005A28C6"/>
    <w:rsid w:val="005A2909"/>
    <w:rsid w:val="005A2AB9"/>
    <w:rsid w:val="005A2B36"/>
    <w:rsid w:val="005A31FB"/>
    <w:rsid w:val="005A320F"/>
    <w:rsid w:val="005A324E"/>
    <w:rsid w:val="005A3381"/>
    <w:rsid w:val="005A37F7"/>
    <w:rsid w:val="005A394D"/>
    <w:rsid w:val="005A3AF9"/>
    <w:rsid w:val="005A3B28"/>
    <w:rsid w:val="005A3BB8"/>
    <w:rsid w:val="005A4014"/>
    <w:rsid w:val="005A4279"/>
    <w:rsid w:val="005A4328"/>
    <w:rsid w:val="005A465D"/>
    <w:rsid w:val="005A4996"/>
    <w:rsid w:val="005A4B26"/>
    <w:rsid w:val="005A4D3E"/>
    <w:rsid w:val="005A4E4D"/>
    <w:rsid w:val="005A5169"/>
    <w:rsid w:val="005A5213"/>
    <w:rsid w:val="005A54F6"/>
    <w:rsid w:val="005A59AD"/>
    <w:rsid w:val="005A5A35"/>
    <w:rsid w:val="005A5C8C"/>
    <w:rsid w:val="005A60ED"/>
    <w:rsid w:val="005A6745"/>
    <w:rsid w:val="005A68CF"/>
    <w:rsid w:val="005A6B06"/>
    <w:rsid w:val="005A6FAF"/>
    <w:rsid w:val="005A7165"/>
    <w:rsid w:val="005A7808"/>
    <w:rsid w:val="005A7E37"/>
    <w:rsid w:val="005B0072"/>
    <w:rsid w:val="005B02A1"/>
    <w:rsid w:val="005B04BB"/>
    <w:rsid w:val="005B0579"/>
    <w:rsid w:val="005B0A42"/>
    <w:rsid w:val="005B0CC3"/>
    <w:rsid w:val="005B0D45"/>
    <w:rsid w:val="005B0D9C"/>
    <w:rsid w:val="005B110E"/>
    <w:rsid w:val="005B1488"/>
    <w:rsid w:val="005B184C"/>
    <w:rsid w:val="005B1A27"/>
    <w:rsid w:val="005B1B11"/>
    <w:rsid w:val="005B1B60"/>
    <w:rsid w:val="005B1B6B"/>
    <w:rsid w:val="005B1DFA"/>
    <w:rsid w:val="005B22E1"/>
    <w:rsid w:val="005B2448"/>
    <w:rsid w:val="005B26D9"/>
    <w:rsid w:val="005B2B30"/>
    <w:rsid w:val="005B2B6A"/>
    <w:rsid w:val="005B2C67"/>
    <w:rsid w:val="005B3077"/>
    <w:rsid w:val="005B3327"/>
    <w:rsid w:val="005B3604"/>
    <w:rsid w:val="005B3691"/>
    <w:rsid w:val="005B36BF"/>
    <w:rsid w:val="005B3752"/>
    <w:rsid w:val="005B3855"/>
    <w:rsid w:val="005B39D3"/>
    <w:rsid w:val="005B3AE0"/>
    <w:rsid w:val="005B3B5A"/>
    <w:rsid w:val="005B3BDA"/>
    <w:rsid w:val="005B3C29"/>
    <w:rsid w:val="005B3C4F"/>
    <w:rsid w:val="005B3DFB"/>
    <w:rsid w:val="005B3F1C"/>
    <w:rsid w:val="005B4066"/>
    <w:rsid w:val="005B4245"/>
    <w:rsid w:val="005B4528"/>
    <w:rsid w:val="005B4C27"/>
    <w:rsid w:val="005B4C29"/>
    <w:rsid w:val="005B4D6D"/>
    <w:rsid w:val="005B4EF7"/>
    <w:rsid w:val="005B5073"/>
    <w:rsid w:val="005B520D"/>
    <w:rsid w:val="005B5284"/>
    <w:rsid w:val="005B536A"/>
    <w:rsid w:val="005B5441"/>
    <w:rsid w:val="005B55A8"/>
    <w:rsid w:val="005B55D6"/>
    <w:rsid w:val="005B58A3"/>
    <w:rsid w:val="005B5E91"/>
    <w:rsid w:val="005B5E9E"/>
    <w:rsid w:val="005B60DB"/>
    <w:rsid w:val="005B65A2"/>
    <w:rsid w:val="005B6C44"/>
    <w:rsid w:val="005B6C5E"/>
    <w:rsid w:val="005B6EBA"/>
    <w:rsid w:val="005B703F"/>
    <w:rsid w:val="005B7306"/>
    <w:rsid w:val="005B7408"/>
    <w:rsid w:val="005B7414"/>
    <w:rsid w:val="005B761D"/>
    <w:rsid w:val="005B76EC"/>
    <w:rsid w:val="005B77E5"/>
    <w:rsid w:val="005B7985"/>
    <w:rsid w:val="005B79F0"/>
    <w:rsid w:val="005B79F6"/>
    <w:rsid w:val="005B7BC5"/>
    <w:rsid w:val="005B7EBF"/>
    <w:rsid w:val="005C02EB"/>
    <w:rsid w:val="005C0637"/>
    <w:rsid w:val="005C0638"/>
    <w:rsid w:val="005C0693"/>
    <w:rsid w:val="005C0863"/>
    <w:rsid w:val="005C0A38"/>
    <w:rsid w:val="005C0B35"/>
    <w:rsid w:val="005C0BAC"/>
    <w:rsid w:val="005C0C6D"/>
    <w:rsid w:val="005C0C90"/>
    <w:rsid w:val="005C0DE2"/>
    <w:rsid w:val="005C1057"/>
    <w:rsid w:val="005C10B1"/>
    <w:rsid w:val="005C189D"/>
    <w:rsid w:val="005C18CA"/>
    <w:rsid w:val="005C19B0"/>
    <w:rsid w:val="005C19B6"/>
    <w:rsid w:val="005C20AA"/>
    <w:rsid w:val="005C22B2"/>
    <w:rsid w:val="005C2323"/>
    <w:rsid w:val="005C24F6"/>
    <w:rsid w:val="005C25DA"/>
    <w:rsid w:val="005C26B0"/>
    <w:rsid w:val="005C26D0"/>
    <w:rsid w:val="005C271F"/>
    <w:rsid w:val="005C28E8"/>
    <w:rsid w:val="005C2933"/>
    <w:rsid w:val="005C2963"/>
    <w:rsid w:val="005C2E23"/>
    <w:rsid w:val="005C311E"/>
    <w:rsid w:val="005C3149"/>
    <w:rsid w:val="005C318A"/>
    <w:rsid w:val="005C34BF"/>
    <w:rsid w:val="005C35C0"/>
    <w:rsid w:val="005C3F79"/>
    <w:rsid w:val="005C4138"/>
    <w:rsid w:val="005C4258"/>
    <w:rsid w:val="005C43BA"/>
    <w:rsid w:val="005C43BF"/>
    <w:rsid w:val="005C446F"/>
    <w:rsid w:val="005C45EC"/>
    <w:rsid w:val="005C46C4"/>
    <w:rsid w:val="005C4738"/>
    <w:rsid w:val="005C5349"/>
    <w:rsid w:val="005C5399"/>
    <w:rsid w:val="005C5478"/>
    <w:rsid w:val="005C57D7"/>
    <w:rsid w:val="005C5D79"/>
    <w:rsid w:val="005C5EDF"/>
    <w:rsid w:val="005C5F37"/>
    <w:rsid w:val="005C6304"/>
    <w:rsid w:val="005C6430"/>
    <w:rsid w:val="005C64AB"/>
    <w:rsid w:val="005C6558"/>
    <w:rsid w:val="005C658C"/>
    <w:rsid w:val="005C65CC"/>
    <w:rsid w:val="005C6880"/>
    <w:rsid w:val="005C68DE"/>
    <w:rsid w:val="005C6A11"/>
    <w:rsid w:val="005C6B17"/>
    <w:rsid w:val="005C6BE9"/>
    <w:rsid w:val="005C6C17"/>
    <w:rsid w:val="005C73CB"/>
    <w:rsid w:val="005C764B"/>
    <w:rsid w:val="005C7863"/>
    <w:rsid w:val="005C794B"/>
    <w:rsid w:val="005C7A21"/>
    <w:rsid w:val="005C7BB7"/>
    <w:rsid w:val="005C7F51"/>
    <w:rsid w:val="005D0FAA"/>
    <w:rsid w:val="005D10D0"/>
    <w:rsid w:val="005D15E4"/>
    <w:rsid w:val="005D19EE"/>
    <w:rsid w:val="005D1B2E"/>
    <w:rsid w:val="005D1DA2"/>
    <w:rsid w:val="005D1DA5"/>
    <w:rsid w:val="005D1F7F"/>
    <w:rsid w:val="005D220D"/>
    <w:rsid w:val="005D2A59"/>
    <w:rsid w:val="005D2B53"/>
    <w:rsid w:val="005D2F8A"/>
    <w:rsid w:val="005D3194"/>
    <w:rsid w:val="005D35B2"/>
    <w:rsid w:val="005D364F"/>
    <w:rsid w:val="005D36BD"/>
    <w:rsid w:val="005D37AB"/>
    <w:rsid w:val="005D395E"/>
    <w:rsid w:val="005D3A98"/>
    <w:rsid w:val="005D42F1"/>
    <w:rsid w:val="005D43A4"/>
    <w:rsid w:val="005D4455"/>
    <w:rsid w:val="005D44B3"/>
    <w:rsid w:val="005D4A84"/>
    <w:rsid w:val="005D4B85"/>
    <w:rsid w:val="005D4DC6"/>
    <w:rsid w:val="005D50B6"/>
    <w:rsid w:val="005D50BD"/>
    <w:rsid w:val="005D5175"/>
    <w:rsid w:val="005D526A"/>
    <w:rsid w:val="005D54B7"/>
    <w:rsid w:val="005D56D9"/>
    <w:rsid w:val="005D595A"/>
    <w:rsid w:val="005D5F31"/>
    <w:rsid w:val="005D604E"/>
    <w:rsid w:val="005D63AB"/>
    <w:rsid w:val="005D6656"/>
    <w:rsid w:val="005D6685"/>
    <w:rsid w:val="005D68B9"/>
    <w:rsid w:val="005D68DA"/>
    <w:rsid w:val="005D743B"/>
    <w:rsid w:val="005D74B3"/>
    <w:rsid w:val="005D764F"/>
    <w:rsid w:val="005D7674"/>
    <w:rsid w:val="005D7A86"/>
    <w:rsid w:val="005D7ACA"/>
    <w:rsid w:val="005D7BB6"/>
    <w:rsid w:val="005D7E13"/>
    <w:rsid w:val="005E019E"/>
    <w:rsid w:val="005E01E3"/>
    <w:rsid w:val="005E02C7"/>
    <w:rsid w:val="005E042F"/>
    <w:rsid w:val="005E0748"/>
    <w:rsid w:val="005E078F"/>
    <w:rsid w:val="005E0ACB"/>
    <w:rsid w:val="005E0B3D"/>
    <w:rsid w:val="005E0F0D"/>
    <w:rsid w:val="005E10FE"/>
    <w:rsid w:val="005E16A0"/>
    <w:rsid w:val="005E18AD"/>
    <w:rsid w:val="005E1FBA"/>
    <w:rsid w:val="005E20BD"/>
    <w:rsid w:val="005E2526"/>
    <w:rsid w:val="005E2AC1"/>
    <w:rsid w:val="005E2B18"/>
    <w:rsid w:val="005E2C0A"/>
    <w:rsid w:val="005E2D62"/>
    <w:rsid w:val="005E302E"/>
    <w:rsid w:val="005E30F9"/>
    <w:rsid w:val="005E32CB"/>
    <w:rsid w:val="005E3489"/>
    <w:rsid w:val="005E37EA"/>
    <w:rsid w:val="005E3828"/>
    <w:rsid w:val="005E3923"/>
    <w:rsid w:val="005E3975"/>
    <w:rsid w:val="005E3BAB"/>
    <w:rsid w:val="005E3E7D"/>
    <w:rsid w:val="005E4032"/>
    <w:rsid w:val="005E412A"/>
    <w:rsid w:val="005E42DC"/>
    <w:rsid w:val="005E440C"/>
    <w:rsid w:val="005E4553"/>
    <w:rsid w:val="005E4AF5"/>
    <w:rsid w:val="005E577C"/>
    <w:rsid w:val="005E595D"/>
    <w:rsid w:val="005E5B1F"/>
    <w:rsid w:val="005E5C46"/>
    <w:rsid w:val="005E5C92"/>
    <w:rsid w:val="005E5CE4"/>
    <w:rsid w:val="005E5EC1"/>
    <w:rsid w:val="005E61EF"/>
    <w:rsid w:val="005E6249"/>
    <w:rsid w:val="005E6336"/>
    <w:rsid w:val="005E6539"/>
    <w:rsid w:val="005E65C9"/>
    <w:rsid w:val="005E6764"/>
    <w:rsid w:val="005E6AA5"/>
    <w:rsid w:val="005E6DD9"/>
    <w:rsid w:val="005E6DDB"/>
    <w:rsid w:val="005E6EC8"/>
    <w:rsid w:val="005E7079"/>
    <w:rsid w:val="005E7152"/>
    <w:rsid w:val="005E71CB"/>
    <w:rsid w:val="005E7359"/>
    <w:rsid w:val="005E754C"/>
    <w:rsid w:val="005E7AA4"/>
    <w:rsid w:val="005E7BBA"/>
    <w:rsid w:val="005E7BFD"/>
    <w:rsid w:val="005E7F9C"/>
    <w:rsid w:val="005F0031"/>
    <w:rsid w:val="005F00EB"/>
    <w:rsid w:val="005F0125"/>
    <w:rsid w:val="005F067F"/>
    <w:rsid w:val="005F0742"/>
    <w:rsid w:val="005F0919"/>
    <w:rsid w:val="005F0985"/>
    <w:rsid w:val="005F0BE3"/>
    <w:rsid w:val="005F0D2E"/>
    <w:rsid w:val="005F0EF2"/>
    <w:rsid w:val="005F0FC2"/>
    <w:rsid w:val="005F0FD8"/>
    <w:rsid w:val="005F13CA"/>
    <w:rsid w:val="005F1454"/>
    <w:rsid w:val="005F145C"/>
    <w:rsid w:val="005F14BB"/>
    <w:rsid w:val="005F1843"/>
    <w:rsid w:val="005F1970"/>
    <w:rsid w:val="005F1A5F"/>
    <w:rsid w:val="005F1DD5"/>
    <w:rsid w:val="005F1DEE"/>
    <w:rsid w:val="005F2025"/>
    <w:rsid w:val="005F208A"/>
    <w:rsid w:val="005F20DB"/>
    <w:rsid w:val="005F2363"/>
    <w:rsid w:val="005F23B5"/>
    <w:rsid w:val="005F2531"/>
    <w:rsid w:val="005F2E1F"/>
    <w:rsid w:val="005F2F6C"/>
    <w:rsid w:val="005F30D5"/>
    <w:rsid w:val="005F31DA"/>
    <w:rsid w:val="005F346F"/>
    <w:rsid w:val="005F359B"/>
    <w:rsid w:val="005F35C1"/>
    <w:rsid w:val="005F36A5"/>
    <w:rsid w:val="005F3739"/>
    <w:rsid w:val="005F39D0"/>
    <w:rsid w:val="005F3BBA"/>
    <w:rsid w:val="005F3ECA"/>
    <w:rsid w:val="005F4096"/>
    <w:rsid w:val="005F4407"/>
    <w:rsid w:val="005F44C7"/>
    <w:rsid w:val="005F48D1"/>
    <w:rsid w:val="005F4D9F"/>
    <w:rsid w:val="005F50EC"/>
    <w:rsid w:val="005F52F4"/>
    <w:rsid w:val="005F5312"/>
    <w:rsid w:val="005F58E9"/>
    <w:rsid w:val="005F5994"/>
    <w:rsid w:val="005F5B2F"/>
    <w:rsid w:val="005F5F71"/>
    <w:rsid w:val="005F6188"/>
    <w:rsid w:val="005F6203"/>
    <w:rsid w:val="005F628E"/>
    <w:rsid w:val="005F696C"/>
    <w:rsid w:val="005F6B9C"/>
    <w:rsid w:val="005F6ECA"/>
    <w:rsid w:val="005F7905"/>
    <w:rsid w:val="005F7D70"/>
    <w:rsid w:val="005F7E42"/>
    <w:rsid w:val="005F7FFD"/>
    <w:rsid w:val="006001C6"/>
    <w:rsid w:val="0060080E"/>
    <w:rsid w:val="00600B3C"/>
    <w:rsid w:val="00600BBD"/>
    <w:rsid w:val="00600CEF"/>
    <w:rsid w:val="006013A0"/>
    <w:rsid w:val="006015B0"/>
    <w:rsid w:val="0060162C"/>
    <w:rsid w:val="006016BE"/>
    <w:rsid w:val="00601A33"/>
    <w:rsid w:val="00601A3C"/>
    <w:rsid w:val="00601AE6"/>
    <w:rsid w:val="00601BA2"/>
    <w:rsid w:val="006020F3"/>
    <w:rsid w:val="006023A8"/>
    <w:rsid w:val="0060274A"/>
    <w:rsid w:val="00602AD9"/>
    <w:rsid w:val="00602CF8"/>
    <w:rsid w:val="00602D54"/>
    <w:rsid w:val="00602E86"/>
    <w:rsid w:val="00602EA9"/>
    <w:rsid w:val="00603262"/>
    <w:rsid w:val="00603BAE"/>
    <w:rsid w:val="00603E4C"/>
    <w:rsid w:val="00603E9E"/>
    <w:rsid w:val="00604256"/>
    <w:rsid w:val="00604367"/>
    <w:rsid w:val="006046BF"/>
    <w:rsid w:val="00604755"/>
    <w:rsid w:val="006047BA"/>
    <w:rsid w:val="00604E4E"/>
    <w:rsid w:val="00605204"/>
    <w:rsid w:val="00605378"/>
    <w:rsid w:val="00605551"/>
    <w:rsid w:val="00605562"/>
    <w:rsid w:val="00605836"/>
    <w:rsid w:val="00605A39"/>
    <w:rsid w:val="00605E39"/>
    <w:rsid w:val="0060605C"/>
    <w:rsid w:val="006063B9"/>
    <w:rsid w:val="006063F8"/>
    <w:rsid w:val="00606959"/>
    <w:rsid w:val="00606B03"/>
    <w:rsid w:val="00606D77"/>
    <w:rsid w:val="00606EAE"/>
    <w:rsid w:val="00606F53"/>
    <w:rsid w:val="0060701B"/>
    <w:rsid w:val="006071D4"/>
    <w:rsid w:val="00607580"/>
    <w:rsid w:val="0060798D"/>
    <w:rsid w:val="00607A04"/>
    <w:rsid w:val="00607C2D"/>
    <w:rsid w:val="00607E92"/>
    <w:rsid w:val="00607F6C"/>
    <w:rsid w:val="006100BF"/>
    <w:rsid w:val="006101ED"/>
    <w:rsid w:val="00610356"/>
    <w:rsid w:val="006103EF"/>
    <w:rsid w:val="00610772"/>
    <w:rsid w:val="00610EA2"/>
    <w:rsid w:val="00611697"/>
    <w:rsid w:val="006116E1"/>
    <w:rsid w:val="006119EE"/>
    <w:rsid w:val="00611BDF"/>
    <w:rsid w:val="00611D11"/>
    <w:rsid w:val="00611D96"/>
    <w:rsid w:val="00612418"/>
    <w:rsid w:val="00612AD9"/>
    <w:rsid w:val="00612E15"/>
    <w:rsid w:val="00612E1E"/>
    <w:rsid w:val="006130BB"/>
    <w:rsid w:val="006133D7"/>
    <w:rsid w:val="006137AC"/>
    <w:rsid w:val="00613998"/>
    <w:rsid w:val="00613B0C"/>
    <w:rsid w:val="00613B22"/>
    <w:rsid w:val="00613CC3"/>
    <w:rsid w:val="00613D62"/>
    <w:rsid w:val="00613F05"/>
    <w:rsid w:val="00613F61"/>
    <w:rsid w:val="006143C8"/>
    <w:rsid w:val="00614AAB"/>
    <w:rsid w:val="00614E67"/>
    <w:rsid w:val="006153DF"/>
    <w:rsid w:val="006156D9"/>
    <w:rsid w:val="0061597A"/>
    <w:rsid w:val="00615A11"/>
    <w:rsid w:val="00615C9E"/>
    <w:rsid w:val="00615DA2"/>
    <w:rsid w:val="00615E04"/>
    <w:rsid w:val="006166C8"/>
    <w:rsid w:val="00616B1B"/>
    <w:rsid w:val="00616C27"/>
    <w:rsid w:val="00616E0F"/>
    <w:rsid w:val="006175B8"/>
    <w:rsid w:val="006175D6"/>
    <w:rsid w:val="00617877"/>
    <w:rsid w:val="006178E0"/>
    <w:rsid w:val="00617990"/>
    <w:rsid w:val="00617AC9"/>
    <w:rsid w:val="00617C00"/>
    <w:rsid w:val="00617C27"/>
    <w:rsid w:val="00617CC5"/>
    <w:rsid w:val="00617E80"/>
    <w:rsid w:val="00620140"/>
    <w:rsid w:val="006202A1"/>
    <w:rsid w:val="00620333"/>
    <w:rsid w:val="0062063F"/>
    <w:rsid w:val="006209AE"/>
    <w:rsid w:val="006216F3"/>
    <w:rsid w:val="00621BD5"/>
    <w:rsid w:val="00621BE3"/>
    <w:rsid w:val="00621C25"/>
    <w:rsid w:val="00621C58"/>
    <w:rsid w:val="00621CAB"/>
    <w:rsid w:val="00622021"/>
    <w:rsid w:val="006222C6"/>
    <w:rsid w:val="00622435"/>
    <w:rsid w:val="0062280D"/>
    <w:rsid w:val="00622D21"/>
    <w:rsid w:val="00622D51"/>
    <w:rsid w:val="00622D79"/>
    <w:rsid w:val="00622DEF"/>
    <w:rsid w:val="00622EBB"/>
    <w:rsid w:val="00622FAA"/>
    <w:rsid w:val="006234AA"/>
    <w:rsid w:val="0062359E"/>
    <w:rsid w:val="006238B6"/>
    <w:rsid w:val="00623925"/>
    <w:rsid w:val="00623A30"/>
    <w:rsid w:val="0062417B"/>
    <w:rsid w:val="00624284"/>
    <w:rsid w:val="00624431"/>
    <w:rsid w:val="006245FB"/>
    <w:rsid w:val="00624672"/>
    <w:rsid w:val="006246E3"/>
    <w:rsid w:val="006246E8"/>
    <w:rsid w:val="006247C8"/>
    <w:rsid w:val="006247E9"/>
    <w:rsid w:val="00624D77"/>
    <w:rsid w:val="00624DBC"/>
    <w:rsid w:val="00624EAB"/>
    <w:rsid w:val="00625124"/>
    <w:rsid w:val="006254F7"/>
    <w:rsid w:val="0062551A"/>
    <w:rsid w:val="006257F8"/>
    <w:rsid w:val="00625A82"/>
    <w:rsid w:val="00625BC3"/>
    <w:rsid w:val="00625CFC"/>
    <w:rsid w:val="00625D08"/>
    <w:rsid w:val="00625D6D"/>
    <w:rsid w:val="0062603F"/>
    <w:rsid w:val="006262B7"/>
    <w:rsid w:val="0062638A"/>
    <w:rsid w:val="0062647F"/>
    <w:rsid w:val="00626577"/>
    <w:rsid w:val="00626866"/>
    <w:rsid w:val="006268AB"/>
    <w:rsid w:val="00626AF2"/>
    <w:rsid w:val="00626B9E"/>
    <w:rsid w:val="00626BD8"/>
    <w:rsid w:val="00626D79"/>
    <w:rsid w:val="00627089"/>
    <w:rsid w:val="006276D1"/>
    <w:rsid w:val="00627787"/>
    <w:rsid w:val="00627827"/>
    <w:rsid w:val="006279BC"/>
    <w:rsid w:val="006279F7"/>
    <w:rsid w:val="00627C2A"/>
    <w:rsid w:val="00627EAC"/>
    <w:rsid w:val="006304DD"/>
    <w:rsid w:val="00630782"/>
    <w:rsid w:val="00630B54"/>
    <w:rsid w:val="00630CCC"/>
    <w:rsid w:val="00630D86"/>
    <w:rsid w:val="00631099"/>
    <w:rsid w:val="006310F8"/>
    <w:rsid w:val="006311D1"/>
    <w:rsid w:val="0063133C"/>
    <w:rsid w:val="0063156F"/>
    <w:rsid w:val="00631581"/>
    <w:rsid w:val="00631806"/>
    <w:rsid w:val="006319B1"/>
    <w:rsid w:val="00631C79"/>
    <w:rsid w:val="00631EE6"/>
    <w:rsid w:val="00632714"/>
    <w:rsid w:val="0063290C"/>
    <w:rsid w:val="00632D11"/>
    <w:rsid w:val="00632F88"/>
    <w:rsid w:val="006330A2"/>
    <w:rsid w:val="006330DE"/>
    <w:rsid w:val="0063315E"/>
    <w:rsid w:val="006334DB"/>
    <w:rsid w:val="00633670"/>
    <w:rsid w:val="006336BD"/>
    <w:rsid w:val="00633839"/>
    <w:rsid w:val="00633936"/>
    <w:rsid w:val="006339D7"/>
    <w:rsid w:val="00633D32"/>
    <w:rsid w:val="00634012"/>
    <w:rsid w:val="00634201"/>
    <w:rsid w:val="006347BB"/>
    <w:rsid w:val="00634893"/>
    <w:rsid w:val="0063541B"/>
    <w:rsid w:val="0063548E"/>
    <w:rsid w:val="00635669"/>
    <w:rsid w:val="006357B4"/>
    <w:rsid w:val="00635CB5"/>
    <w:rsid w:val="00635DCA"/>
    <w:rsid w:val="00635DDD"/>
    <w:rsid w:val="00636041"/>
    <w:rsid w:val="006360A8"/>
    <w:rsid w:val="0063617D"/>
    <w:rsid w:val="006362D0"/>
    <w:rsid w:val="0063666C"/>
    <w:rsid w:val="006366E1"/>
    <w:rsid w:val="006366FA"/>
    <w:rsid w:val="006368F3"/>
    <w:rsid w:val="00636C7B"/>
    <w:rsid w:val="00636CB2"/>
    <w:rsid w:val="00636E87"/>
    <w:rsid w:val="00636F65"/>
    <w:rsid w:val="00637115"/>
    <w:rsid w:val="0063739D"/>
    <w:rsid w:val="006373A5"/>
    <w:rsid w:val="00637617"/>
    <w:rsid w:val="0063783E"/>
    <w:rsid w:val="0063795A"/>
    <w:rsid w:val="00637C26"/>
    <w:rsid w:val="00637C58"/>
    <w:rsid w:val="0064015C"/>
    <w:rsid w:val="00640351"/>
    <w:rsid w:val="00640448"/>
    <w:rsid w:val="006405E5"/>
    <w:rsid w:val="006406FD"/>
    <w:rsid w:val="006407A7"/>
    <w:rsid w:val="00640824"/>
    <w:rsid w:val="00640ABD"/>
    <w:rsid w:val="00640ACA"/>
    <w:rsid w:val="006410B2"/>
    <w:rsid w:val="006410C2"/>
    <w:rsid w:val="006413DD"/>
    <w:rsid w:val="00641911"/>
    <w:rsid w:val="00641F31"/>
    <w:rsid w:val="00642306"/>
    <w:rsid w:val="00642325"/>
    <w:rsid w:val="006425A5"/>
    <w:rsid w:val="00642636"/>
    <w:rsid w:val="006427F3"/>
    <w:rsid w:val="00642800"/>
    <w:rsid w:val="006428FA"/>
    <w:rsid w:val="00642EC0"/>
    <w:rsid w:val="006430ED"/>
    <w:rsid w:val="00643204"/>
    <w:rsid w:val="00643519"/>
    <w:rsid w:val="006435B8"/>
    <w:rsid w:val="0064382C"/>
    <w:rsid w:val="00643917"/>
    <w:rsid w:val="00643CD4"/>
    <w:rsid w:val="006441E6"/>
    <w:rsid w:val="00644234"/>
    <w:rsid w:val="006444BC"/>
    <w:rsid w:val="0064450A"/>
    <w:rsid w:val="00644BE0"/>
    <w:rsid w:val="00645116"/>
    <w:rsid w:val="00645573"/>
    <w:rsid w:val="006459B9"/>
    <w:rsid w:val="006461E1"/>
    <w:rsid w:val="00646223"/>
    <w:rsid w:val="006463A9"/>
    <w:rsid w:val="006465E9"/>
    <w:rsid w:val="00646A0D"/>
    <w:rsid w:val="00646A96"/>
    <w:rsid w:val="00646BDE"/>
    <w:rsid w:val="00646D22"/>
    <w:rsid w:val="00646D5B"/>
    <w:rsid w:val="00646E1A"/>
    <w:rsid w:val="00646F73"/>
    <w:rsid w:val="006470A7"/>
    <w:rsid w:val="00647440"/>
    <w:rsid w:val="006474E8"/>
    <w:rsid w:val="00647908"/>
    <w:rsid w:val="00647B87"/>
    <w:rsid w:val="00647BB0"/>
    <w:rsid w:val="00650087"/>
    <w:rsid w:val="00650105"/>
    <w:rsid w:val="00650284"/>
    <w:rsid w:val="006505B3"/>
    <w:rsid w:val="006505D8"/>
    <w:rsid w:val="0065061E"/>
    <w:rsid w:val="006506F7"/>
    <w:rsid w:val="00650F0C"/>
    <w:rsid w:val="00650F73"/>
    <w:rsid w:val="00651627"/>
    <w:rsid w:val="00651794"/>
    <w:rsid w:val="006517B8"/>
    <w:rsid w:val="00651910"/>
    <w:rsid w:val="006519E3"/>
    <w:rsid w:val="006519F2"/>
    <w:rsid w:val="006521F3"/>
    <w:rsid w:val="006524B7"/>
    <w:rsid w:val="00652559"/>
    <w:rsid w:val="0065306B"/>
    <w:rsid w:val="0065355D"/>
    <w:rsid w:val="006538D8"/>
    <w:rsid w:val="00653C1E"/>
    <w:rsid w:val="00653D0D"/>
    <w:rsid w:val="00653E7D"/>
    <w:rsid w:val="0065423C"/>
    <w:rsid w:val="00654850"/>
    <w:rsid w:val="0065499D"/>
    <w:rsid w:val="00654D82"/>
    <w:rsid w:val="006554F8"/>
    <w:rsid w:val="00655971"/>
    <w:rsid w:val="00655C23"/>
    <w:rsid w:val="00655C75"/>
    <w:rsid w:val="006561EE"/>
    <w:rsid w:val="0065641F"/>
    <w:rsid w:val="00656598"/>
    <w:rsid w:val="00656721"/>
    <w:rsid w:val="00656A85"/>
    <w:rsid w:val="00656B70"/>
    <w:rsid w:val="00656EE1"/>
    <w:rsid w:val="00656FD1"/>
    <w:rsid w:val="006571BE"/>
    <w:rsid w:val="00657451"/>
    <w:rsid w:val="006575C6"/>
    <w:rsid w:val="006576E5"/>
    <w:rsid w:val="00657762"/>
    <w:rsid w:val="0065780A"/>
    <w:rsid w:val="0065788D"/>
    <w:rsid w:val="00657A2F"/>
    <w:rsid w:val="00657B62"/>
    <w:rsid w:val="006601F9"/>
    <w:rsid w:val="0066045D"/>
    <w:rsid w:val="00660475"/>
    <w:rsid w:val="006604F0"/>
    <w:rsid w:val="006605D3"/>
    <w:rsid w:val="00660709"/>
    <w:rsid w:val="006607A8"/>
    <w:rsid w:val="00660887"/>
    <w:rsid w:val="00660C9A"/>
    <w:rsid w:val="00660D4D"/>
    <w:rsid w:val="00660F58"/>
    <w:rsid w:val="006613CE"/>
    <w:rsid w:val="00661987"/>
    <w:rsid w:val="00661A0D"/>
    <w:rsid w:val="00661F9D"/>
    <w:rsid w:val="00662089"/>
    <w:rsid w:val="0066225F"/>
    <w:rsid w:val="0066265D"/>
    <w:rsid w:val="00662755"/>
    <w:rsid w:val="00662E21"/>
    <w:rsid w:val="006630A3"/>
    <w:rsid w:val="006630E6"/>
    <w:rsid w:val="00663160"/>
    <w:rsid w:val="006634E4"/>
    <w:rsid w:val="0066364E"/>
    <w:rsid w:val="006636B9"/>
    <w:rsid w:val="00663D93"/>
    <w:rsid w:val="00663F6C"/>
    <w:rsid w:val="0066419E"/>
    <w:rsid w:val="0066450D"/>
    <w:rsid w:val="006647DA"/>
    <w:rsid w:val="00664932"/>
    <w:rsid w:val="006649EA"/>
    <w:rsid w:val="00664ACD"/>
    <w:rsid w:val="00664EC2"/>
    <w:rsid w:val="006652CB"/>
    <w:rsid w:val="00665399"/>
    <w:rsid w:val="0066585A"/>
    <w:rsid w:val="006659ED"/>
    <w:rsid w:val="00665DE2"/>
    <w:rsid w:val="00665E49"/>
    <w:rsid w:val="00665F3B"/>
    <w:rsid w:val="006661E5"/>
    <w:rsid w:val="00666560"/>
    <w:rsid w:val="00666895"/>
    <w:rsid w:val="00666907"/>
    <w:rsid w:val="0066690C"/>
    <w:rsid w:val="00666DFC"/>
    <w:rsid w:val="00666E27"/>
    <w:rsid w:val="0066707C"/>
    <w:rsid w:val="0066718A"/>
    <w:rsid w:val="00667412"/>
    <w:rsid w:val="00667585"/>
    <w:rsid w:val="006675E5"/>
    <w:rsid w:val="00667612"/>
    <w:rsid w:val="00667670"/>
    <w:rsid w:val="00667757"/>
    <w:rsid w:val="00667780"/>
    <w:rsid w:val="0066780F"/>
    <w:rsid w:val="0066791D"/>
    <w:rsid w:val="00667AD4"/>
    <w:rsid w:val="00667DDF"/>
    <w:rsid w:val="00667EA5"/>
    <w:rsid w:val="006702F4"/>
    <w:rsid w:val="006707B9"/>
    <w:rsid w:val="00670824"/>
    <w:rsid w:val="00670C59"/>
    <w:rsid w:val="00670D3F"/>
    <w:rsid w:val="00670F4C"/>
    <w:rsid w:val="00671056"/>
    <w:rsid w:val="00671440"/>
    <w:rsid w:val="00671ADF"/>
    <w:rsid w:val="00671C58"/>
    <w:rsid w:val="00671DBB"/>
    <w:rsid w:val="00672851"/>
    <w:rsid w:val="00672B4D"/>
    <w:rsid w:val="00672D9C"/>
    <w:rsid w:val="00672F13"/>
    <w:rsid w:val="00672F88"/>
    <w:rsid w:val="00673495"/>
    <w:rsid w:val="00673663"/>
    <w:rsid w:val="006739AB"/>
    <w:rsid w:val="00673BEA"/>
    <w:rsid w:val="00673C73"/>
    <w:rsid w:val="00673E1C"/>
    <w:rsid w:val="00673E4F"/>
    <w:rsid w:val="00673FB9"/>
    <w:rsid w:val="0067421F"/>
    <w:rsid w:val="0067443A"/>
    <w:rsid w:val="0067451B"/>
    <w:rsid w:val="00674644"/>
    <w:rsid w:val="00674928"/>
    <w:rsid w:val="00674D0B"/>
    <w:rsid w:val="00674F13"/>
    <w:rsid w:val="00675082"/>
    <w:rsid w:val="00675104"/>
    <w:rsid w:val="00675337"/>
    <w:rsid w:val="00675678"/>
    <w:rsid w:val="0067585C"/>
    <w:rsid w:val="00675B85"/>
    <w:rsid w:val="00675B8C"/>
    <w:rsid w:val="00675CCE"/>
    <w:rsid w:val="00675EEA"/>
    <w:rsid w:val="00675F4D"/>
    <w:rsid w:val="00676201"/>
    <w:rsid w:val="0067631B"/>
    <w:rsid w:val="0067695B"/>
    <w:rsid w:val="00676B0F"/>
    <w:rsid w:val="00676BAF"/>
    <w:rsid w:val="00676CC0"/>
    <w:rsid w:val="00676DC0"/>
    <w:rsid w:val="00677151"/>
    <w:rsid w:val="006777AF"/>
    <w:rsid w:val="00677883"/>
    <w:rsid w:val="00677BEF"/>
    <w:rsid w:val="00677CEF"/>
    <w:rsid w:val="00677FF5"/>
    <w:rsid w:val="0068012F"/>
    <w:rsid w:val="006802B2"/>
    <w:rsid w:val="00680354"/>
    <w:rsid w:val="00680793"/>
    <w:rsid w:val="00680824"/>
    <w:rsid w:val="00680C67"/>
    <w:rsid w:val="00680D46"/>
    <w:rsid w:val="006812D1"/>
    <w:rsid w:val="006814E8"/>
    <w:rsid w:val="0068151F"/>
    <w:rsid w:val="00681EA6"/>
    <w:rsid w:val="006825BB"/>
    <w:rsid w:val="006825C1"/>
    <w:rsid w:val="00682A7B"/>
    <w:rsid w:val="00682B22"/>
    <w:rsid w:val="00682F95"/>
    <w:rsid w:val="00683043"/>
    <w:rsid w:val="006830B9"/>
    <w:rsid w:val="006830C3"/>
    <w:rsid w:val="006834D6"/>
    <w:rsid w:val="006835F9"/>
    <w:rsid w:val="00683696"/>
    <w:rsid w:val="0068387F"/>
    <w:rsid w:val="0068391D"/>
    <w:rsid w:val="00683988"/>
    <w:rsid w:val="00683D15"/>
    <w:rsid w:val="006844CF"/>
    <w:rsid w:val="00684922"/>
    <w:rsid w:val="00684A8B"/>
    <w:rsid w:val="00684B90"/>
    <w:rsid w:val="00684E70"/>
    <w:rsid w:val="00684F7D"/>
    <w:rsid w:val="006850AA"/>
    <w:rsid w:val="00685855"/>
    <w:rsid w:val="00685B23"/>
    <w:rsid w:val="00685B44"/>
    <w:rsid w:val="00685CBD"/>
    <w:rsid w:val="00685FEA"/>
    <w:rsid w:val="006861E3"/>
    <w:rsid w:val="00686268"/>
    <w:rsid w:val="0068655F"/>
    <w:rsid w:val="00686818"/>
    <w:rsid w:val="0068690E"/>
    <w:rsid w:val="00686AD7"/>
    <w:rsid w:val="00686B80"/>
    <w:rsid w:val="00686F76"/>
    <w:rsid w:val="00687035"/>
    <w:rsid w:val="0068721B"/>
    <w:rsid w:val="00687326"/>
    <w:rsid w:val="006874B8"/>
    <w:rsid w:val="006874F4"/>
    <w:rsid w:val="00687561"/>
    <w:rsid w:val="006875D3"/>
    <w:rsid w:val="00687621"/>
    <w:rsid w:val="00687A8C"/>
    <w:rsid w:val="00687E5E"/>
    <w:rsid w:val="00687EF0"/>
    <w:rsid w:val="006901EB"/>
    <w:rsid w:val="00690859"/>
    <w:rsid w:val="00690DA4"/>
    <w:rsid w:val="00690FE2"/>
    <w:rsid w:val="00691027"/>
    <w:rsid w:val="00691075"/>
    <w:rsid w:val="006915FF"/>
    <w:rsid w:val="0069165E"/>
    <w:rsid w:val="00691810"/>
    <w:rsid w:val="00691EAB"/>
    <w:rsid w:val="00691FBB"/>
    <w:rsid w:val="00692010"/>
    <w:rsid w:val="00692299"/>
    <w:rsid w:val="00692B5D"/>
    <w:rsid w:val="00692C4E"/>
    <w:rsid w:val="00692D7F"/>
    <w:rsid w:val="00692FE8"/>
    <w:rsid w:val="00693389"/>
    <w:rsid w:val="00693959"/>
    <w:rsid w:val="00693AFA"/>
    <w:rsid w:val="006940C4"/>
    <w:rsid w:val="006941B7"/>
    <w:rsid w:val="0069433E"/>
    <w:rsid w:val="006944A0"/>
    <w:rsid w:val="006945E5"/>
    <w:rsid w:val="00694694"/>
    <w:rsid w:val="006948B9"/>
    <w:rsid w:val="00694A25"/>
    <w:rsid w:val="00694AE0"/>
    <w:rsid w:val="00694B37"/>
    <w:rsid w:val="00694F84"/>
    <w:rsid w:val="00694FC0"/>
    <w:rsid w:val="0069531F"/>
    <w:rsid w:val="00695363"/>
    <w:rsid w:val="006956DB"/>
    <w:rsid w:val="00695723"/>
    <w:rsid w:val="00695A62"/>
    <w:rsid w:val="00695B7D"/>
    <w:rsid w:val="00695DBC"/>
    <w:rsid w:val="00696082"/>
    <w:rsid w:val="00696357"/>
    <w:rsid w:val="006963D9"/>
    <w:rsid w:val="006967C5"/>
    <w:rsid w:val="00696B4E"/>
    <w:rsid w:val="00696B6B"/>
    <w:rsid w:val="00696FB3"/>
    <w:rsid w:val="00696FE1"/>
    <w:rsid w:val="00697315"/>
    <w:rsid w:val="0069757C"/>
    <w:rsid w:val="00697600"/>
    <w:rsid w:val="00697CDE"/>
    <w:rsid w:val="00697D6B"/>
    <w:rsid w:val="00697E6F"/>
    <w:rsid w:val="00697EE2"/>
    <w:rsid w:val="00697F27"/>
    <w:rsid w:val="006A04FC"/>
    <w:rsid w:val="006A06A4"/>
    <w:rsid w:val="006A0799"/>
    <w:rsid w:val="006A09E1"/>
    <w:rsid w:val="006A0C40"/>
    <w:rsid w:val="006A0DB1"/>
    <w:rsid w:val="006A0EF7"/>
    <w:rsid w:val="006A0F7D"/>
    <w:rsid w:val="006A10B0"/>
    <w:rsid w:val="006A12A0"/>
    <w:rsid w:val="006A1721"/>
    <w:rsid w:val="006A173B"/>
    <w:rsid w:val="006A184A"/>
    <w:rsid w:val="006A1B7B"/>
    <w:rsid w:val="006A2081"/>
    <w:rsid w:val="006A2286"/>
    <w:rsid w:val="006A2368"/>
    <w:rsid w:val="006A23E7"/>
    <w:rsid w:val="006A24E5"/>
    <w:rsid w:val="006A2583"/>
    <w:rsid w:val="006A2765"/>
    <w:rsid w:val="006A276D"/>
    <w:rsid w:val="006A2B09"/>
    <w:rsid w:val="006A3472"/>
    <w:rsid w:val="006A38DE"/>
    <w:rsid w:val="006A3942"/>
    <w:rsid w:val="006A3A15"/>
    <w:rsid w:val="006A3A66"/>
    <w:rsid w:val="006A3AB4"/>
    <w:rsid w:val="006A3AD6"/>
    <w:rsid w:val="006A3D07"/>
    <w:rsid w:val="006A3E52"/>
    <w:rsid w:val="006A3F1F"/>
    <w:rsid w:val="006A40AC"/>
    <w:rsid w:val="006A41C1"/>
    <w:rsid w:val="006A41F7"/>
    <w:rsid w:val="006A42AC"/>
    <w:rsid w:val="006A44FC"/>
    <w:rsid w:val="006A46DB"/>
    <w:rsid w:val="006A487A"/>
    <w:rsid w:val="006A4AA9"/>
    <w:rsid w:val="006A4AEF"/>
    <w:rsid w:val="006A4E10"/>
    <w:rsid w:val="006A53A3"/>
    <w:rsid w:val="006A557F"/>
    <w:rsid w:val="006A565E"/>
    <w:rsid w:val="006A5693"/>
    <w:rsid w:val="006A59F2"/>
    <w:rsid w:val="006A5DF9"/>
    <w:rsid w:val="006A5E5D"/>
    <w:rsid w:val="006A6165"/>
    <w:rsid w:val="006A638F"/>
    <w:rsid w:val="006A6665"/>
    <w:rsid w:val="006A695B"/>
    <w:rsid w:val="006A6CBE"/>
    <w:rsid w:val="006A7533"/>
    <w:rsid w:val="006A7647"/>
    <w:rsid w:val="006A76FE"/>
    <w:rsid w:val="006A777D"/>
    <w:rsid w:val="006A79A0"/>
    <w:rsid w:val="006A7C8B"/>
    <w:rsid w:val="006B03E7"/>
    <w:rsid w:val="006B06B8"/>
    <w:rsid w:val="006B06F6"/>
    <w:rsid w:val="006B0BB1"/>
    <w:rsid w:val="006B0DE9"/>
    <w:rsid w:val="006B0E0D"/>
    <w:rsid w:val="006B115E"/>
    <w:rsid w:val="006B1281"/>
    <w:rsid w:val="006B133B"/>
    <w:rsid w:val="006B18DB"/>
    <w:rsid w:val="006B1A0D"/>
    <w:rsid w:val="006B1D00"/>
    <w:rsid w:val="006B1D9B"/>
    <w:rsid w:val="006B1E6B"/>
    <w:rsid w:val="006B1EAB"/>
    <w:rsid w:val="006B1F21"/>
    <w:rsid w:val="006B2109"/>
    <w:rsid w:val="006B282C"/>
    <w:rsid w:val="006B2988"/>
    <w:rsid w:val="006B29FB"/>
    <w:rsid w:val="006B2D37"/>
    <w:rsid w:val="006B2FE2"/>
    <w:rsid w:val="006B3406"/>
    <w:rsid w:val="006B364A"/>
    <w:rsid w:val="006B3855"/>
    <w:rsid w:val="006B3A8B"/>
    <w:rsid w:val="006B3B42"/>
    <w:rsid w:val="006B3C52"/>
    <w:rsid w:val="006B3CC6"/>
    <w:rsid w:val="006B3D71"/>
    <w:rsid w:val="006B4252"/>
    <w:rsid w:val="006B43ED"/>
    <w:rsid w:val="006B4515"/>
    <w:rsid w:val="006B486E"/>
    <w:rsid w:val="006B48A2"/>
    <w:rsid w:val="006B497B"/>
    <w:rsid w:val="006B4B94"/>
    <w:rsid w:val="006B56B6"/>
    <w:rsid w:val="006B56FB"/>
    <w:rsid w:val="006B5858"/>
    <w:rsid w:val="006B5A42"/>
    <w:rsid w:val="006B5D86"/>
    <w:rsid w:val="006B5E92"/>
    <w:rsid w:val="006B5EAE"/>
    <w:rsid w:val="006B6007"/>
    <w:rsid w:val="006B6008"/>
    <w:rsid w:val="006B684A"/>
    <w:rsid w:val="006B69EF"/>
    <w:rsid w:val="006B6C00"/>
    <w:rsid w:val="006B6C07"/>
    <w:rsid w:val="006B6C09"/>
    <w:rsid w:val="006B6CB4"/>
    <w:rsid w:val="006B71DC"/>
    <w:rsid w:val="006B731D"/>
    <w:rsid w:val="006B75C6"/>
    <w:rsid w:val="006B7F19"/>
    <w:rsid w:val="006C00A2"/>
    <w:rsid w:val="006C00BA"/>
    <w:rsid w:val="006C00F8"/>
    <w:rsid w:val="006C0203"/>
    <w:rsid w:val="006C02A4"/>
    <w:rsid w:val="006C0865"/>
    <w:rsid w:val="006C0996"/>
    <w:rsid w:val="006C0A67"/>
    <w:rsid w:val="006C0B9A"/>
    <w:rsid w:val="006C0C60"/>
    <w:rsid w:val="006C0DB6"/>
    <w:rsid w:val="006C0F4C"/>
    <w:rsid w:val="006C1143"/>
    <w:rsid w:val="006C11A9"/>
    <w:rsid w:val="006C1267"/>
    <w:rsid w:val="006C14A5"/>
    <w:rsid w:val="006C1532"/>
    <w:rsid w:val="006C1843"/>
    <w:rsid w:val="006C1DD7"/>
    <w:rsid w:val="006C22A3"/>
    <w:rsid w:val="006C2436"/>
    <w:rsid w:val="006C2B85"/>
    <w:rsid w:val="006C2D65"/>
    <w:rsid w:val="006C2D77"/>
    <w:rsid w:val="006C2EF5"/>
    <w:rsid w:val="006C2F5C"/>
    <w:rsid w:val="006C313D"/>
    <w:rsid w:val="006C3406"/>
    <w:rsid w:val="006C350C"/>
    <w:rsid w:val="006C3511"/>
    <w:rsid w:val="006C37AB"/>
    <w:rsid w:val="006C4086"/>
    <w:rsid w:val="006C40BC"/>
    <w:rsid w:val="006C4244"/>
    <w:rsid w:val="006C4A6C"/>
    <w:rsid w:val="006C5123"/>
    <w:rsid w:val="006C57AC"/>
    <w:rsid w:val="006C5ADA"/>
    <w:rsid w:val="006C5BF4"/>
    <w:rsid w:val="006C5CA0"/>
    <w:rsid w:val="006C5CC0"/>
    <w:rsid w:val="006C5DFB"/>
    <w:rsid w:val="006C5EC0"/>
    <w:rsid w:val="006C5EC1"/>
    <w:rsid w:val="006C636D"/>
    <w:rsid w:val="006C6456"/>
    <w:rsid w:val="006C65DD"/>
    <w:rsid w:val="006C6618"/>
    <w:rsid w:val="006C6652"/>
    <w:rsid w:val="006C665B"/>
    <w:rsid w:val="006C671F"/>
    <w:rsid w:val="006C67B9"/>
    <w:rsid w:val="006C69E0"/>
    <w:rsid w:val="006C6B59"/>
    <w:rsid w:val="006C7017"/>
    <w:rsid w:val="006C726A"/>
    <w:rsid w:val="006C76BA"/>
    <w:rsid w:val="006C76F7"/>
    <w:rsid w:val="006C7CC8"/>
    <w:rsid w:val="006C7DB8"/>
    <w:rsid w:val="006D0122"/>
    <w:rsid w:val="006D063E"/>
    <w:rsid w:val="006D0B33"/>
    <w:rsid w:val="006D0BBC"/>
    <w:rsid w:val="006D10CE"/>
    <w:rsid w:val="006D11EC"/>
    <w:rsid w:val="006D12DA"/>
    <w:rsid w:val="006D150D"/>
    <w:rsid w:val="006D1605"/>
    <w:rsid w:val="006D1672"/>
    <w:rsid w:val="006D19E4"/>
    <w:rsid w:val="006D19F8"/>
    <w:rsid w:val="006D1E0D"/>
    <w:rsid w:val="006D1FB8"/>
    <w:rsid w:val="006D20BF"/>
    <w:rsid w:val="006D21E4"/>
    <w:rsid w:val="006D224F"/>
    <w:rsid w:val="006D23B5"/>
    <w:rsid w:val="006D28A5"/>
    <w:rsid w:val="006D2908"/>
    <w:rsid w:val="006D2D99"/>
    <w:rsid w:val="006D2F4D"/>
    <w:rsid w:val="006D2F70"/>
    <w:rsid w:val="006D3006"/>
    <w:rsid w:val="006D3113"/>
    <w:rsid w:val="006D312A"/>
    <w:rsid w:val="006D3153"/>
    <w:rsid w:val="006D325F"/>
    <w:rsid w:val="006D356F"/>
    <w:rsid w:val="006D35C0"/>
    <w:rsid w:val="006D3C91"/>
    <w:rsid w:val="006D3FA4"/>
    <w:rsid w:val="006D41A5"/>
    <w:rsid w:val="006D43C4"/>
    <w:rsid w:val="006D4757"/>
    <w:rsid w:val="006D4FAE"/>
    <w:rsid w:val="006D5302"/>
    <w:rsid w:val="006D5345"/>
    <w:rsid w:val="006D5706"/>
    <w:rsid w:val="006D5A80"/>
    <w:rsid w:val="006D5D03"/>
    <w:rsid w:val="006D602A"/>
    <w:rsid w:val="006D6523"/>
    <w:rsid w:val="006D686E"/>
    <w:rsid w:val="006D6A3E"/>
    <w:rsid w:val="006D6AC1"/>
    <w:rsid w:val="006D6B1F"/>
    <w:rsid w:val="006D6E41"/>
    <w:rsid w:val="006D6ED3"/>
    <w:rsid w:val="006D7055"/>
    <w:rsid w:val="006D78D7"/>
    <w:rsid w:val="006D796C"/>
    <w:rsid w:val="006D7CA0"/>
    <w:rsid w:val="006D7F7D"/>
    <w:rsid w:val="006E0405"/>
    <w:rsid w:val="006E078C"/>
    <w:rsid w:val="006E07AB"/>
    <w:rsid w:val="006E085B"/>
    <w:rsid w:val="006E0878"/>
    <w:rsid w:val="006E08D6"/>
    <w:rsid w:val="006E0937"/>
    <w:rsid w:val="006E095E"/>
    <w:rsid w:val="006E0A6D"/>
    <w:rsid w:val="006E0B66"/>
    <w:rsid w:val="006E0ECB"/>
    <w:rsid w:val="006E10BE"/>
    <w:rsid w:val="006E11CF"/>
    <w:rsid w:val="006E11FA"/>
    <w:rsid w:val="006E14A4"/>
    <w:rsid w:val="006E17A2"/>
    <w:rsid w:val="006E1F33"/>
    <w:rsid w:val="006E2272"/>
    <w:rsid w:val="006E23A8"/>
    <w:rsid w:val="006E259F"/>
    <w:rsid w:val="006E2986"/>
    <w:rsid w:val="006E2B79"/>
    <w:rsid w:val="006E2B8D"/>
    <w:rsid w:val="006E2CA4"/>
    <w:rsid w:val="006E2D12"/>
    <w:rsid w:val="006E2DC2"/>
    <w:rsid w:val="006E375A"/>
    <w:rsid w:val="006E39A4"/>
    <w:rsid w:val="006E3A28"/>
    <w:rsid w:val="006E3C1F"/>
    <w:rsid w:val="006E3D84"/>
    <w:rsid w:val="006E3F59"/>
    <w:rsid w:val="006E4110"/>
    <w:rsid w:val="006E440D"/>
    <w:rsid w:val="006E4916"/>
    <w:rsid w:val="006E4952"/>
    <w:rsid w:val="006E4B1B"/>
    <w:rsid w:val="006E4D9C"/>
    <w:rsid w:val="006E4E98"/>
    <w:rsid w:val="006E4F50"/>
    <w:rsid w:val="006E5197"/>
    <w:rsid w:val="006E533B"/>
    <w:rsid w:val="006E5452"/>
    <w:rsid w:val="006E551C"/>
    <w:rsid w:val="006E5EB9"/>
    <w:rsid w:val="006E5F2A"/>
    <w:rsid w:val="006E60DB"/>
    <w:rsid w:val="006E62FE"/>
    <w:rsid w:val="006E638F"/>
    <w:rsid w:val="006E644F"/>
    <w:rsid w:val="006E69EB"/>
    <w:rsid w:val="006E6BEA"/>
    <w:rsid w:val="006E6F7F"/>
    <w:rsid w:val="006E7554"/>
    <w:rsid w:val="006E7625"/>
    <w:rsid w:val="006E764D"/>
    <w:rsid w:val="006E76BE"/>
    <w:rsid w:val="006E7757"/>
    <w:rsid w:val="006E7787"/>
    <w:rsid w:val="006E7BEF"/>
    <w:rsid w:val="006E7D02"/>
    <w:rsid w:val="006E7DC7"/>
    <w:rsid w:val="006E7E8B"/>
    <w:rsid w:val="006E7F09"/>
    <w:rsid w:val="006E7FEF"/>
    <w:rsid w:val="006F0091"/>
    <w:rsid w:val="006F0132"/>
    <w:rsid w:val="006F0299"/>
    <w:rsid w:val="006F0329"/>
    <w:rsid w:val="006F04D5"/>
    <w:rsid w:val="006F05FA"/>
    <w:rsid w:val="006F0703"/>
    <w:rsid w:val="006F0D3F"/>
    <w:rsid w:val="006F0DB1"/>
    <w:rsid w:val="006F1184"/>
    <w:rsid w:val="006F132F"/>
    <w:rsid w:val="006F1644"/>
    <w:rsid w:val="006F16AD"/>
    <w:rsid w:val="006F1CA3"/>
    <w:rsid w:val="006F2082"/>
    <w:rsid w:val="006F21A5"/>
    <w:rsid w:val="006F2306"/>
    <w:rsid w:val="006F27CB"/>
    <w:rsid w:val="006F2B8F"/>
    <w:rsid w:val="006F2CFF"/>
    <w:rsid w:val="006F2EE6"/>
    <w:rsid w:val="006F304B"/>
    <w:rsid w:val="006F30EF"/>
    <w:rsid w:val="006F337A"/>
    <w:rsid w:val="006F35D7"/>
    <w:rsid w:val="006F377F"/>
    <w:rsid w:val="006F38F2"/>
    <w:rsid w:val="006F3B50"/>
    <w:rsid w:val="006F45AC"/>
    <w:rsid w:val="006F48DC"/>
    <w:rsid w:val="006F499B"/>
    <w:rsid w:val="006F4E4C"/>
    <w:rsid w:val="006F508A"/>
    <w:rsid w:val="006F557B"/>
    <w:rsid w:val="006F5D96"/>
    <w:rsid w:val="006F5DB7"/>
    <w:rsid w:val="006F5E0F"/>
    <w:rsid w:val="006F5EC2"/>
    <w:rsid w:val="006F5F6C"/>
    <w:rsid w:val="006F6041"/>
    <w:rsid w:val="006F61F4"/>
    <w:rsid w:val="006F62AD"/>
    <w:rsid w:val="006F6AF3"/>
    <w:rsid w:val="006F6BD9"/>
    <w:rsid w:val="006F728B"/>
    <w:rsid w:val="006F7398"/>
    <w:rsid w:val="006F7796"/>
    <w:rsid w:val="006F7858"/>
    <w:rsid w:val="006F79FA"/>
    <w:rsid w:val="006F7CEE"/>
    <w:rsid w:val="0070096F"/>
    <w:rsid w:val="00700AF5"/>
    <w:rsid w:val="00700B8C"/>
    <w:rsid w:val="00701035"/>
    <w:rsid w:val="00701214"/>
    <w:rsid w:val="0070152C"/>
    <w:rsid w:val="0070162E"/>
    <w:rsid w:val="00701883"/>
    <w:rsid w:val="007019A4"/>
    <w:rsid w:val="00701BAD"/>
    <w:rsid w:val="00701DDF"/>
    <w:rsid w:val="00701E15"/>
    <w:rsid w:val="00701EA7"/>
    <w:rsid w:val="00702006"/>
    <w:rsid w:val="007020FA"/>
    <w:rsid w:val="00702114"/>
    <w:rsid w:val="00702801"/>
    <w:rsid w:val="00702812"/>
    <w:rsid w:val="00702897"/>
    <w:rsid w:val="00702C81"/>
    <w:rsid w:val="00702CF6"/>
    <w:rsid w:val="0070308A"/>
    <w:rsid w:val="007031DE"/>
    <w:rsid w:val="007032FD"/>
    <w:rsid w:val="007037CD"/>
    <w:rsid w:val="00703AB8"/>
    <w:rsid w:val="007040B1"/>
    <w:rsid w:val="007040FC"/>
    <w:rsid w:val="00704254"/>
    <w:rsid w:val="007044ED"/>
    <w:rsid w:val="00704795"/>
    <w:rsid w:val="00704C05"/>
    <w:rsid w:val="00704C30"/>
    <w:rsid w:val="00704E1A"/>
    <w:rsid w:val="00704F0D"/>
    <w:rsid w:val="0070523B"/>
    <w:rsid w:val="0070528B"/>
    <w:rsid w:val="00705297"/>
    <w:rsid w:val="00705410"/>
    <w:rsid w:val="00705668"/>
    <w:rsid w:val="00705947"/>
    <w:rsid w:val="0070595E"/>
    <w:rsid w:val="00705981"/>
    <w:rsid w:val="0070604B"/>
    <w:rsid w:val="007064B8"/>
    <w:rsid w:val="00706600"/>
    <w:rsid w:val="007067C9"/>
    <w:rsid w:val="0070695F"/>
    <w:rsid w:val="00706BC6"/>
    <w:rsid w:val="00707231"/>
    <w:rsid w:val="00707320"/>
    <w:rsid w:val="007073E8"/>
    <w:rsid w:val="00707767"/>
    <w:rsid w:val="00707D25"/>
    <w:rsid w:val="00710511"/>
    <w:rsid w:val="00710552"/>
    <w:rsid w:val="00710614"/>
    <w:rsid w:val="00710726"/>
    <w:rsid w:val="00710CB8"/>
    <w:rsid w:val="00710EE6"/>
    <w:rsid w:val="0071110B"/>
    <w:rsid w:val="00711197"/>
    <w:rsid w:val="007113B2"/>
    <w:rsid w:val="0071152C"/>
    <w:rsid w:val="007115FB"/>
    <w:rsid w:val="00711C18"/>
    <w:rsid w:val="00711C42"/>
    <w:rsid w:val="00711EC8"/>
    <w:rsid w:val="00712247"/>
    <w:rsid w:val="00712473"/>
    <w:rsid w:val="00712690"/>
    <w:rsid w:val="0071279A"/>
    <w:rsid w:val="00712812"/>
    <w:rsid w:val="0071281A"/>
    <w:rsid w:val="007128C8"/>
    <w:rsid w:val="0071294F"/>
    <w:rsid w:val="007129E1"/>
    <w:rsid w:val="00712C25"/>
    <w:rsid w:val="00712DFA"/>
    <w:rsid w:val="00712E3C"/>
    <w:rsid w:val="00712FD1"/>
    <w:rsid w:val="0071300B"/>
    <w:rsid w:val="007130AB"/>
    <w:rsid w:val="00713452"/>
    <w:rsid w:val="0071357E"/>
    <w:rsid w:val="0071377D"/>
    <w:rsid w:val="00713823"/>
    <w:rsid w:val="007138C0"/>
    <w:rsid w:val="007138FF"/>
    <w:rsid w:val="00713ABE"/>
    <w:rsid w:val="00713BFA"/>
    <w:rsid w:val="00713F3F"/>
    <w:rsid w:val="00713FF9"/>
    <w:rsid w:val="0071435B"/>
    <w:rsid w:val="007143E2"/>
    <w:rsid w:val="00714A96"/>
    <w:rsid w:val="00714AE5"/>
    <w:rsid w:val="00714CB4"/>
    <w:rsid w:val="00714DC6"/>
    <w:rsid w:val="0071542E"/>
    <w:rsid w:val="007155BB"/>
    <w:rsid w:val="007156D9"/>
    <w:rsid w:val="0071585E"/>
    <w:rsid w:val="00715AA3"/>
    <w:rsid w:val="00715B83"/>
    <w:rsid w:val="00715BC2"/>
    <w:rsid w:val="00715F33"/>
    <w:rsid w:val="0071605F"/>
    <w:rsid w:val="00716260"/>
    <w:rsid w:val="0071652E"/>
    <w:rsid w:val="00716B34"/>
    <w:rsid w:val="00716E81"/>
    <w:rsid w:val="00716F38"/>
    <w:rsid w:val="007171F1"/>
    <w:rsid w:val="00717509"/>
    <w:rsid w:val="00717856"/>
    <w:rsid w:val="007178F5"/>
    <w:rsid w:val="00717A0C"/>
    <w:rsid w:val="00717FFC"/>
    <w:rsid w:val="00720085"/>
    <w:rsid w:val="00720183"/>
    <w:rsid w:val="007201C8"/>
    <w:rsid w:val="0072049A"/>
    <w:rsid w:val="007204C8"/>
    <w:rsid w:val="00720555"/>
    <w:rsid w:val="00720605"/>
    <w:rsid w:val="00720907"/>
    <w:rsid w:val="0072099B"/>
    <w:rsid w:val="00720CE4"/>
    <w:rsid w:val="00720DE7"/>
    <w:rsid w:val="00720F56"/>
    <w:rsid w:val="00720FE1"/>
    <w:rsid w:val="00721334"/>
    <w:rsid w:val="00721471"/>
    <w:rsid w:val="00721B5D"/>
    <w:rsid w:val="00721BBE"/>
    <w:rsid w:val="00721CE5"/>
    <w:rsid w:val="00721CFB"/>
    <w:rsid w:val="00721DC8"/>
    <w:rsid w:val="00722134"/>
    <w:rsid w:val="0072214E"/>
    <w:rsid w:val="00722708"/>
    <w:rsid w:val="007227A2"/>
    <w:rsid w:val="0072293F"/>
    <w:rsid w:val="00722A67"/>
    <w:rsid w:val="00722AC2"/>
    <w:rsid w:val="007230AB"/>
    <w:rsid w:val="0072330B"/>
    <w:rsid w:val="007238EE"/>
    <w:rsid w:val="00723B21"/>
    <w:rsid w:val="00723BB3"/>
    <w:rsid w:val="00723BC3"/>
    <w:rsid w:val="00723D4C"/>
    <w:rsid w:val="00723F3B"/>
    <w:rsid w:val="007240EA"/>
    <w:rsid w:val="007242BF"/>
    <w:rsid w:val="0072434B"/>
    <w:rsid w:val="0072441A"/>
    <w:rsid w:val="00724451"/>
    <w:rsid w:val="00724528"/>
    <w:rsid w:val="00724E70"/>
    <w:rsid w:val="00725325"/>
    <w:rsid w:val="007258F6"/>
    <w:rsid w:val="00725A32"/>
    <w:rsid w:val="00725CF7"/>
    <w:rsid w:val="007264B4"/>
    <w:rsid w:val="007266B4"/>
    <w:rsid w:val="007266CA"/>
    <w:rsid w:val="00726744"/>
    <w:rsid w:val="00726931"/>
    <w:rsid w:val="007269C2"/>
    <w:rsid w:val="00726A56"/>
    <w:rsid w:val="00726B34"/>
    <w:rsid w:val="00726B3E"/>
    <w:rsid w:val="00726CF7"/>
    <w:rsid w:val="007270F3"/>
    <w:rsid w:val="00727241"/>
    <w:rsid w:val="00727330"/>
    <w:rsid w:val="0072742F"/>
    <w:rsid w:val="007274ED"/>
    <w:rsid w:val="007274EE"/>
    <w:rsid w:val="00727533"/>
    <w:rsid w:val="0072776A"/>
    <w:rsid w:val="00727850"/>
    <w:rsid w:val="00727C90"/>
    <w:rsid w:val="007300EA"/>
    <w:rsid w:val="0073027F"/>
    <w:rsid w:val="007303DC"/>
    <w:rsid w:val="007303F0"/>
    <w:rsid w:val="007305A3"/>
    <w:rsid w:val="007305B2"/>
    <w:rsid w:val="00730719"/>
    <w:rsid w:val="00730B8B"/>
    <w:rsid w:val="00730D45"/>
    <w:rsid w:val="00731047"/>
    <w:rsid w:val="0073128D"/>
    <w:rsid w:val="00731451"/>
    <w:rsid w:val="0073161C"/>
    <w:rsid w:val="007317FD"/>
    <w:rsid w:val="0073189E"/>
    <w:rsid w:val="007319DA"/>
    <w:rsid w:val="00731CEA"/>
    <w:rsid w:val="00732111"/>
    <w:rsid w:val="00732336"/>
    <w:rsid w:val="0073238B"/>
    <w:rsid w:val="00732573"/>
    <w:rsid w:val="007327EC"/>
    <w:rsid w:val="007329BE"/>
    <w:rsid w:val="00732C0D"/>
    <w:rsid w:val="00732F4C"/>
    <w:rsid w:val="00733239"/>
    <w:rsid w:val="0073350D"/>
    <w:rsid w:val="007337A7"/>
    <w:rsid w:val="00733A09"/>
    <w:rsid w:val="00733DEB"/>
    <w:rsid w:val="00733F61"/>
    <w:rsid w:val="00734014"/>
    <w:rsid w:val="00734149"/>
    <w:rsid w:val="00734392"/>
    <w:rsid w:val="0073467F"/>
    <w:rsid w:val="007347C3"/>
    <w:rsid w:val="0073488C"/>
    <w:rsid w:val="00734894"/>
    <w:rsid w:val="0073508C"/>
    <w:rsid w:val="0073530F"/>
    <w:rsid w:val="00735580"/>
    <w:rsid w:val="00735583"/>
    <w:rsid w:val="00735ECC"/>
    <w:rsid w:val="00735F9A"/>
    <w:rsid w:val="00736018"/>
    <w:rsid w:val="007364E8"/>
    <w:rsid w:val="00736681"/>
    <w:rsid w:val="0073689C"/>
    <w:rsid w:val="00736BC1"/>
    <w:rsid w:val="00736F99"/>
    <w:rsid w:val="00736FC3"/>
    <w:rsid w:val="00736FC7"/>
    <w:rsid w:val="00737267"/>
    <w:rsid w:val="0073733B"/>
    <w:rsid w:val="00737461"/>
    <w:rsid w:val="007374C7"/>
    <w:rsid w:val="00737576"/>
    <w:rsid w:val="00737850"/>
    <w:rsid w:val="00737A96"/>
    <w:rsid w:val="00737AE9"/>
    <w:rsid w:val="00737C0F"/>
    <w:rsid w:val="00737F4A"/>
    <w:rsid w:val="00740386"/>
    <w:rsid w:val="007404AA"/>
    <w:rsid w:val="0074062C"/>
    <w:rsid w:val="007407F0"/>
    <w:rsid w:val="00740A1F"/>
    <w:rsid w:val="00740A68"/>
    <w:rsid w:val="00740D36"/>
    <w:rsid w:val="00740DE3"/>
    <w:rsid w:val="00740EAD"/>
    <w:rsid w:val="00740F11"/>
    <w:rsid w:val="007411F4"/>
    <w:rsid w:val="00741560"/>
    <w:rsid w:val="007418A1"/>
    <w:rsid w:val="00741ACD"/>
    <w:rsid w:val="00741C95"/>
    <w:rsid w:val="00741D8C"/>
    <w:rsid w:val="007421EA"/>
    <w:rsid w:val="00742AD5"/>
    <w:rsid w:val="00742ED5"/>
    <w:rsid w:val="00743374"/>
    <w:rsid w:val="00743497"/>
    <w:rsid w:val="00743568"/>
    <w:rsid w:val="007435B0"/>
    <w:rsid w:val="00743777"/>
    <w:rsid w:val="007437AB"/>
    <w:rsid w:val="00743AB3"/>
    <w:rsid w:val="00743B11"/>
    <w:rsid w:val="00743B29"/>
    <w:rsid w:val="00744181"/>
    <w:rsid w:val="00744588"/>
    <w:rsid w:val="007445CC"/>
    <w:rsid w:val="0074471D"/>
    <w:rsid w:val="007452D5"/>
    <w:rsid w:val="00745425"/>
    <w:rsid w:val="007456E1"/>
    <w:rsid w:val="0074572E"/>
    <w:rsid w:val="00745B2B"/>
    <w:rsid w:val="00745E64"/>
    <w:rsid w:val="007460E6"/>
    <w:rsid w:val="007461BA"/>
    <w:rsid w:val="00746216"/>
    <w:rsid w:val="00746397"/>
    <w:rsid w:val="0074656D"/>
    <w:rsid w:val="007465F4"/>
    <w:rsid w:val="00746A4D"/>
    <w:rsid w:val="00746B1B"/>
    <w:rsid w:val="00746D22"/>
    <w:rsid w:val="00746E13"/>
    <w:rsid w:val="00746F04"/>
    <w:rsid w:val="0074718A"/>
    <w:rsid w:val="00747342"/>
    <w:rsid w:val="00747366"/>
    <w:rsid w:val="00747431"/>
    <w:rsid w:val="007478FF"/>
    <w:rsid w:val="00747D0E"/>
    <w:rsid w:val="00747E87"/>
    <w:rsid w:val="00747EDF"/>
    <w:rsid w:val="00750ED0"/>
    <w:rsid w:val="0075159E"/>
    <w:rsid w:val="00751660"/>
    <w:rsid w:val="00751A3C"/>
    <w:rsid w:val="00751E04"/>
    <w:rsid w:val="00751F63"/>
    <w:rsid w:val="00751FBE"/>
    <w:rsid w:val="007520A6"/>
    <w:rsid w:val="00752135"/>
    <w:rsid w:val="0075216D"/>
    <w:rsid w:val="0075283F"/>
    <w:rsid w:val="00752AC6"/>
    <w:rsid w:val="00752F81"/>
    <w:rsid w:val="0075323D"/>
    <w:rsid w:val="00753364"/>
    <w:rsid w:val="0075336E"/>
    <w:rsid w:val="007534E2"/>
    <w:rsid w:val="007536BD"/>
    <w:rsid w:val="007539B9"/>
    <w:rsid w:val="00753A0A"/>
    <w:rsid w:val="00753D50"/>
    <w:rsid w:val="00753D6D"/>
    <w:rsid w:val="00754009"/>
    <w:rsid w:val="00754338"/>
    <w:rsid w:val="00754410"/>
    <w:rsid w:val="0075482C"/>
    <w:rsid w:val="00754BA3"/>
    <w:rsid w:val="00754E3F"/>
    <w:rsid w:val="007555A8"/>
    <w:rsid w:val="00755C9A"/>
    <w:rsid w:val="00755EAE"/>
    <w:rsid w:val="00755FBA"/>
    <w:rsid w:val="00755FF1"/>
    <w:rsid w:val="00756046"/>
    <w:rsid w:val="007562B5"/>
    <w:rsid w:val="007567E9"/>
    <w:rsid w:val="0075692B"/>
    <w:rsid w:val="00756C37"/>
    <w:rsid w:val="00756ECD"/>
    <w:rsid w:val="00757083"/>
    <w:rsid w:val="0075776E"/>
    <w:rsid w:val="007578D9"/>
    <w:rsid w:val="00757A31"/>
    <w:rsid w:val="00757AFE"/>
    <w:rsid w:val="00757B7D"/>
    <w:rsid w:val="00757BAC"/>
    <w:rsid w:val="00757D72"/>
    <w:rsid w:val="00757F93"/>
    <w:rsid w:val="0076011B"/>
    <w:rsid w:val="0076035F"/>
    <w:rsid w:val="00760360"/>
    <w:rsid w:val="007603BA"/>
    <w:rsid w:val="00760683"/>
    <w:rsid w:val="007606E6"/>
    <w:rsid w:val="007607BA"/>
    <w:rsid w:val="00760DBF"/>
    <w:rsid w:val="00760F3C"/>
    <w:rsid w:val="00761337"/>
    <w:rsid w:val="00761576"/>
    <w:rsid w:val="0076176F"/>
    <w:rsid w:val="007618E5"/>
    <w:rsid w:val="007618F6"/>
    <w:rsid w:val="007619A3"/>
    <w:rsid w:val="00761BA5"/>
    <w:rsid w:val="00761C22"/>
    <w:rsid w:val="00761E97"/>
    <w:rsid w:val="00761F1A"/>
    <w:rsid w:val="00762043"/>
    <w:rsid w:val="0076218E"/>
    <w:rsid w:val="0076227B"/>
    <w:rsid w:val="007622AA"/>
    <w:rsid w:val="00762758"/>
    <w:rsid w:val="00762B33"/>
    <w:rsid w:val="00762BEE"/>
    <w:rsid w:val="00762CD6"/>
    <w:rsid w:val="00762CEB"/>
    <w:rsid w:val="00762D36"/>
    <w:rsid w:val="00762E8E"/>
    <w:rsid w:val="00763466"/>
    <w:rsid w:val="0076359F"/>
    <w:rsid w:val="00763613"/>
    <w:rsid w:val="00763701"/>
    <w:rsid w:val="00763765"/>
    <w:rsid w:val="0076408E"/>
    <w:rsid w:val="00764352"/>
    <w:rsid w:val="00764724"/>
    <w:rsid w:val="00764B6A"/>
    <w:rsid w:val="00764CC2"/>
    <w:rsid w:val="00764D66"/>
    <w:rsid w:val="00764DA4"/>
    <w:rsid w:val="00764E25"/>
    <w:rsid w:val="00764E54"/>
    <w:rsid w:val="00764EA7"/>
    <w:rsid w:val="007651D6"/>
    <w:rsid w:val="007653DB"/>
    <w:rsid w:val="007654F1"/>
    <w:rsid w:val="00765573"/>
    <w:rsid w:val="00765C52"/>
    <w:rsid w:val="00765D0C"/>
    <w:rsid w:val="00765E46"/>
    <w:rsid w:val="007661E9"/>
    <w:rsid w:val="007661F7"/>
    <w:rsid w:val="0076634E"/>
    <w:rsid w:val="007664A4"/>
    <w:rsid w:val="007668F8"/>
    <w:rsid w:val="00766D69"/>
    <w:rsid w:val="00766DF4"/>
    <w:rsid w:val="00766F58"/>
    <w:rsid w:val="00767053"/>
    <w:rsid w:val="007672F8"/>
    <w:rsid w:val="0076768C"/>
    <w:rsid w:val="00767B1F"/>
    <w:rsid w:val="00767BFE"/>
    <w:rsid w:val="00767D73"/>
    <w:rsid w:val="0077008D"/>
    <w:rsid w:val="00770466"/>
    <w:rsid w:val="0077075D"/>
    <w:rsid w:val="0077077B"/>
    <w:rsid w:val="00770E56"/>
    <w:rsid w:val="00771268"/>
    <w:rsid w:val="00771313"/>
    <w:rsid w:val="007714E6"/>
    <w:rsid w:val="00771787"/>
    <w:rsid w:val="007718DB"/>
    <w:rsid w:val="007719CB"/>
    <w:rsid w:val="00771D2F"/>
    <w:rsid w:val="00772232"/>
    <w:rsid w:val="00772311"/>
    <w:rsid w:val="007724C7"/>
    <w:rsid w:val="007724F5"/>
    <w:rsid w:val="007726DF"/>
    <w:rsid w:val="00772A0B"/>
    <w:rsid w:val="00772D56"/>
    <w:rsid w:val="00773248"/>
    <w:rsid w:val="00773420"/>
    <w:rsid w:val="0077391E"/>
    <w:rsid w:val="00773A2F"/>
    <w:rsid w:val="00773A49"/>
    <w:rsid w:val="00773CCC"/>
    <w:rsid w:val="00774034"/>
    <w:rsid w:val="0077453C"/>
    <w:rsid w:val="00774655"/>
    <w:rsid w:val="00774688"/>
    <w:rsid w:val="00774737"/>
    <w:rsid w:val="00774767"/>
    <w:rsid w:val="007748F3"/>
    <w:rsid w:val="00774AAA"/>
    <w:rsid w:val="00774CF6"/>
    <w:rsid w:val="00775A09"/>
    <w:rsid w:val="00775A32"/>
    <w:rsid w:val="00775AEF"/>
    <w:rsid w:val="00775C7E"/>
    <w:rsid w:val="00775E3F"/>
    <w:rsid w:val="007765F5"/>
    <w:rsid w:val="00776B70"/>
    <w:rsid w:val="00776CEB"/>
    <w:rsid w:val="00776E31"/>
    <w:rsid w:val="00777096"/>
    <w:rsid w:val="0077732C"/>
    <w:rsid w:val="0077735D"/>
    <w:rsid w:val="007773A1"/>
    <w:rsid w:val="007777CB"/>
    <w:rsid w:val="007778BE"/>
    <w:rsid w:val="007778F1"/>
    <w:rsid w:val="00777CFA"/>
    <w:rsid w:val="00777DD9"/>
    <w:rsid w:val="00780267"/>
    <w:rsid w:val="0078043E"/>
    <w:rsid w:val="00780478"/>
    <w:rsid w:val="00780587"/>
    <w:rsid w:val="00780655"/>
    <w:rsid w:val="0078102F"/>
    <w:rsid w:val="00781039"/>
    <w:rsid w:val="00781085"/>
    <w:rsid w:val="007811BE"/>
    <w:rsid w:val="007812C1"/>
    <w:rsid w:val="007813EC"/>
    <w:rsid w:val="00781852"/>
    <w:rsid w:val="00781B2A"/>
    <w:rsid w:val="00781B93"/>
    <w:rsid w:val="00781CA7"/>
    <w:rsid w:val="00781F7A"/>
    <w:rsid w:val="00782433"/>
    <w:rsid w:val="00782593"/>
    <w:rsid w:val="00782681"/>
    <w:rsid w:val="007827EB"/>
    <w:rsid w:val="00782AFC"/>
    <w:rsid w:val="00782D6A"/>
    <w:rsid w:val="00782DF8"/>
    <w:rsid w:val="00782FF0"/>
    <w:rsid w:val="00783132"/>
    <w:rsid w:val="00783614"/>
    <w:rsid w:val="00783644"/>
    <w:rsid w:val="00783763"/>
    <w:rsid w:val="007837E2"/>
    <w:rsid w:val="00783819"/>
    <w:rsid w:val="007838E2"/>
    <w:rsid w:val="00783AD2"/>
    <w:rsid w:val="00783FDB"/>
    <w:rsid w:val="00784023"/>
    <w:rsid w:val="007844F5"/>
    <w:rsid w:val="0078457F"/>
    <w:rsid w:val="007847A6"/>
    <w:rsid w:val="007847B9"/>
    <w:rsid w:val="00784843"/>
    <w:rsid w:val="00784875"/>
    <w:rsid w:val="00784B83"/>
    <w:rsid w:val="00784C46"/>
    <w:rsid w:val="00784CC0"/>
    <w:rsid w:val="00784DB2"/>
    <w:rsid w:val="00784E13"/>
    <w:rsid w:val="00784E67"/>
    <w:rsid w:val="0078512D"/>
    <w:rsid w:val="007851FF"/>
    <w:rsid w:val="0078529D"/>
    <w:rsid w:val="00785738"/>
    <w:rsid w:val="00785A53"/>
    <w:rsid w:val="00785C08"/>
    <w:rsid w:val="00785D6B"/>
    <w:rsid w:val="0078606D"/>
    <w:rsid w:val="00786291"/>
    <w:rsid w:val="0078633F"/>
    <w:rsid w:val="0078636A"/>
    <w:rsid w:val="00786427"/>
    <w:rsid w:val="00786561"/>
    <w:rsid w:val="007866F3"/>
    <w:rsid w:val="007867F5"/>
    <w:rsid w:val="00786B10"/>
    <w:rsid w:val="00786B8A"/>
    <w:rsid w:val="00787607"/>
    <w:rsid w:val="00787647"/>
    <w:rsid w:val="007876C5"/>
    <w:rsid w:val="007877D5"/>
    <w:rsid w:val="00787883"/>
    <w:rsid w:val="007878C2"/>
    <w:rsid w:val="00787AFC"/>
    <w:rsid w:val="00787C84"/>
    <w:rsid w:val="007901DF"/>
    <w:rsid w:val="0079020A"/>
    <w:rsid w:val="007903D8"/>
    <w:rsid w:val="0079063E"/>
    <w:rsid w:val="00790772"/>
    <w:rsid w:val="00790A51"/>
    <w:rsid w:val="00790B5A"/>
    <w:rsid w:val="00790F2C"/>
    <w:rsid w:val="0079141A"/>
    <w:rsid w:val="00791487"/>
    <w:rsid w:val="007914CD"/>
    <w:rsid w:val="00792004"/>
    <w:rsid w:val="007922DC"/>
    <w:rsid w:val="0079250C"/>
    <w:rsid w:val="00792777"/>
    <w:rsid w:val="00792887"/>
    <w:rsid w:val="00792917"/>
    <w:rsid w:val="00792924"/>
    <w:rsid w:val="00792BBF"/>
    <w:rsid w:val="00793030"/>
    <w:rsid w:val="00793070"/>
    <w:rsid w:val="0079313F"/>
    <w:rsid w:val="00793370"/>
    <w:rsid w:val="0079383D"/>
    <w:rsid w:val="00793900"/>
    <w:rsid w:val="0079394A"/>
    <w:rsid w:val="00793D18"/>
    <w:rsid w:val="00793F88"/>
    <w:rsid w:val="007942CB"/>
    <w:rsid w:val="00794447"/>
    <w:rsid w:val="00794918"/>
    <w:rsid w:val="00794A30"/>
    <w:rsid w:val="00794AB7"/>
    <w:rsid w:val="00794B8E"/>
    <w:rsid w:val="00795046"/>
    <w:rsid w:val="0079569A"/>
    <w:rsid w:val="00795B4E"/>
    <w:rsid w:val="00795C07"/>
    <w:rsid w:val="00795CF4"/>
    <w:rsid w:val="00795DBC"/>
    <w:rsid w:val="00796362"/>
    <w:rsid w:val="00796368"/>
    <w:rsid w:val="0079649E"/>
    <w:rsid w:val="00796798"/>
    <w:rsid w:val="007967D8"/>
    <w:rsid w:val="00796F18"/>
    <w:rsid w:val="00796FB3"/>
    <w:rsid w:val="00797246"/>
    <w:rsid w:val="00797390"/>
    <w:rsid w:val="007976D0"/>
    <w:rsid w:val="00797A6C"/>
    <w:rsid w:val="00797C43"/>
    <w:rsid w:val="00797D3B"/>
    <w:rsid w:val="007A0184"/>
    <w:rsid w:val="007A05DC"/>
    <w:rsid w:val="007A0601"/>
    <w:rsid w:val="007A0DE5"/>
    <w:rsid w:val="007A0EAE"/>
    <w:rsid w:val="007A0F3A"/>
    <w:rsid w:val="007A139E"/>
    <w:rsid w:val="007A1528"/>
    <w:rsid w:val="007A16B4"/>
    <w:rsid w:val="007A18C9"/>
    <w:rsid w:val="007A194F"/>
    <w:rsid w:val="007A1A64"/>
    <w:rsid w:val="007A1F93"/>
    <w:rsid w:val="007A2034"/>
    <w:rsid w:val="007A2610"/>
    <w:rsid w:val="007A27D3"/>
    <w:rsid w:val="007A284A"/>
    <w:rsid w:val="007A2886"/>
    <w:rsid w:val="007A29DB"/>
    <w:rsid w:val="007A2AB1"/>
    <w:rsid w:val="007A2C91"/>
    <w:rsid w:val="007A2DFB"/>
    <w:rsid w:val="007A2F83"/>
    <w:rsid w:val="007A2FB8"/>
    <w:rsid w:val="007A319B"/>
    <w:rsid w:val="007A31E5"/>
    <w:rsid w:val="007A3208"/>
    <w:rsid w:val="007A3315"/>
    <w:rsid w:val="007A34CA"/>
    <w:rsid w:val="007A3500"/>
    <w:rsid w:val="007A37BB"/>
    <w:rsid w:val="007A37DB"/>
    <w:rsid w:val="007A38E1"/>
    <w:rsid w:val="007A3A36"/>
    <w:rsid w:val="007A3A5E"/>
    <w:rsid w:val="007A3AA5"/>
    <w:rsid w:val="007A3B4B"/>
    <w:rsid w:val="007A41B7"/>
    <w:rsid w:val="007A4726"/>
    <w:rsid w:val="007A474D"/>
    <w:rsid w:val="007A4756"/>
    <w:rsid w:val="007A480F"/>
    <w:rsid w:val="007A487F"/>
    <w:rsid w:val="007A4A48"/>
    <w:rsid w:val="007A4B12"/>
    <w:rsid w:val="007A4BDF"/>
    <w:rsid w:val="007A4FE4"/>
    <w:rsid w:val="007A51BE"/>
    <w:rsid w:val="007A52A0"/>
    <w:rsid w:val="007A5546"/>
    <w:rsid w:val="007A587B"/>
    <w:rsid w:val="007A5ABB"/>
    <w:rsid w:val="007A5C53"/>
    <w:rsid w:val="007A5D85"/>
    <w:rsid w:val="007A612D"/>
    <w:rsid w:val="007A65CB"/>
    <w:rsid w:val="007A6B20"/>
    <w:rsid w:val="007A6DE6"/>
    <w:rsid w:val="007A6FF3"/>
    <w:rsid w:val="007A70F4"/>
    <w:rsid w:val="007A7122"/>
    <w:rsid w:val="007A78D5"/>
    <w:rsid w:val="007A7CF0"/>
    <w:rsid w:val="007A7DEA"/>
    <w:rsid w:val="007A7E66"/>
    <w:rsid w:val="007B01E5"/>
    <w:rsid w:val="007B02F1"/>
    <w:rsid w:val="007B0301"/>
    <w:rsid w:val="007B0A58"/>
    <w:rsid w:val="007B0AF6"/>
    <w:rsid w:val="007B0C7B"/>
    <w:rsid w:val="007B0C94"/>
    <w:rsid w:val="007B0E2A"/>
    <w:rsid w:val="007B0FD2"/>
    <w:rsid w:val="007B138D"/>
    <w:rsid w:val="007B1711"/>
    <w:rsid w:val="007B18FA"/>
    <w:rsid w:val="007B1AA4"/>
    <w:rsid w:val="007B1E65"/>
    <w:rsid w:val="007B1F85"/>
    <w:rsid w:val="007B2352"/>
    <w:rsid w:val="007B243F"/>
    <w:rsid w:val="007B26F6"/>
    <w:rsid w:val="007B2A8C"/>
    <w:rsid w:val="007B2C22"/>
    <w:rsid w:val="007B2EB9"/>
    <w:rsid w:val="007B2F23"/>
    <w:rsid w:val="007B3083"/>
    <w:rsid w:val="007B30EA"/>
    <w:rsid w:val="007B30FF"/>
    <w:rsid w:val="007B313D"/>
    <w:rsid w:val="007B3217"/>
    <w:rsid w:val="007B35D0"/>
    <w:rsid w:val="007B3697"/>
    <w:rsid w:val="007B3A6F"/>
    <w:rsid w:val="007B3C72"/>
    <w:rsid w:val="007B3EE6"/>
    <w:rsid w:val="007B40C5"/>
    <w:rsid w:val="007B43BC"/>
    <w:rsid w:val="007B454A"/>
    <w:rsid w:val="007B4702"/>
    <w:rsid w:val="007B4CFB"/>
    <w:rsid w:val="007B52A4"/>
    <w:rsid w:val="007B53BE"/>
    <w:rsid w:val="007B53C2"/>
    <w:rsid w:val="007B5BF3"/>
    <w:rsid w:val="007B5CA5"/>
    <w:rsid w:val="007B5EA1"/>
    <w:rsid w:val="007B6579"/>
    <w:rsid w:val="007B672C"/>
    <w:rsid w:val="007B69AC"/>
    <w:rsid w:val="007B6CA1"/>
    <w:rsid w:val="007B6CED"/>
    <w:rsid w:val="007B6EB7"/>
    <w:rsid w:val="007B7086"/>
    <w:rsid w:val="007B725D"/>
    <w:rsid w:val="007B73AA"/>
    <w:rsid w:val="007B73E4"/>
    <w:rsid w:val="007B7415"/>
    <w:rsid w:val="007B745D"/>
    <w:rsid w:val="007B7814"/>
    <w:rsid w:val="007B78C2"/>
    <w:rsid w:val="007B7972"/>
    <w:rsid w:val="007B7E04"/>
    <w:rsid w:val="007B7FB6"/>
    <w:rsid w:val="007C02B5"/>
    <w:rsid w:val="007C02FF"/>
    <w:rsid w:val="007C0475"/>
    <w:rsid w:val="007C054C"/>
    <w:rsid w:val="007C0ADA"/>
    <w:rsid w:val="007C0B88"/>
    <w:rsid w:val="007C0C1C"/>
    <w:rsid w:val="007C0C74"/>
    <w:rsid w:val="007C0D45"/>
    <w:rsid w:val="007C100D"/>
    <w:rsid w:val="007C102E"/>
    <w:rsid w:val="007C11BE"/>
    <w:rsid w:val="007C12E6"/>
    <w:rsid w:val="007C162C"/>
    <w:rsid w:val="007C17D0"/>
    <w:rsid w:val="007C187A"/>
    <w:rsid w:val="007C190D"/>
    <w:rsid w:val="007C1E25"/>
    <w:rsid w:val="007C1F2F"/>
    <w:rsid w:val="007C204E"/>
    <w:rsid w:val="007C21C2"/>
    <w:rsid w:val="007C2351"/>
    <w:rsid w:val="007C2791"/>
    <w:rsid w:val="007C2C32"/>
    <w:rsid w:val="007C2FC9"/>
    <w:rsid w:val="007C2FDB"/>
    <w:rsid w:val="007C316B"/>
    <w:rsid w:val="007C31B7"/>
    <w:rsid w:val="007C31CB"/>
    <w:rsid w:val="007C31E2"/>
    <w:rsid w:val="007C3278"/>
    <w:rsid w:val="007C344B"/>
    <w:rsid w:val="007C387F"/>
    <w:rsid w:val="007C3CA9"/>
    <w:rsid w:val="007C3F6E"/>
    <w:rsid w:val="007C3F7E"/>
    <w:rsid w:val="007C4160"/>
    <w:rsid w:val="007C41F9"/>
    <w:rsid w:val="007C4234"/>
    <w:rsid w:val="007C4779"/>
    <w:rsid w:val="007C4CF8"/>
    <w:rsid w:val="007C504D"/>
    <w:rsid w:val="007C51AE"/>
    <w:rsid w:val="007C5791"/>
    <w:rsid w:val="007C5A11"/>
    <w:rsid w:val="007C5ABB"/>
    <w:rsid w:val="007C5F91"/>
    <w:rsid w:val="007C6256"/>
    <w:rsid w:val="007C6ABE"/>
    <w:rsid w:val="007C6AE7"/>
    <w:rsid w:val="007C6B40"/>
    <w:rsid w:val="007C6D4A"/>
    <w:rsid w:val="007C6D83"/>
    <w:rsid w:val="007C70BA"/>
    <w:rsid w:val="007C70DD"/>
    <w:rsid w:val="007C7125"/>
    <w:rsid w:val="007C7364"/>
    <w:rsid w:val="007C7831"/>
    <w:rsid w:val="007C7977"/>
    <w:rsid w:val="007C7A78"/>
    <w:rsid w:val="007C7AC8"/>
    <w:rsid w:val="007C7B0E"/>
    <w:rsid w:val="007C7CC4"/>
    <w:rsid w:val="007C7D72"/>
    <w:rsid w:val="007C7DD5"/>
    <w:rsid w:val="007C7EA6"/>
    <w:rsid w:val="007C7EDA"/>
    <w:rsid w:val="007D0C51"/>
    <w:rsid w:val="007D0EC2"/>
    <w:rsid w:val="007D102C"/>
    <w:rsid w:val="007D16E3"/>
    <w:rsid w:val="007D1896"/>
    <w:rsid w:val="007D1B2C"/>
    <w:rsid w:val="007D1CE9"/>
    <w:rsid w:val="007D1EF4"/>
    <w:rsid w:val="007D2008"/>
    <w:rsid w:val="007D2343"/>
    <w:rsid w:val="007D2648"/>
    <w:rsid w:val="007D299A"/>
    <w:rsid w:val="007D2C92"/>
    <w:rsid w:val="007D2D56"/>
    <w:rsid w:val="007D312F"/>
    <w:rsid w:val="007D3316"/>
    <w:rsid w:val="007D353B"/>
    <w:rsid w:val="007D3556"/>
    <w:rsid w:val="007D3566"/>
    <w:rsid w:val="007D36EF"/>
    <w:rsid w:val="007D383E"/>
    <w:rsid w:val="007D39D5"/>
    <w:rsid w:val="007D3BB3"/>
    <w:rsid w:val="007D3C18"/>
    <w:rsid w:val="007D43CB"/>
    <w:rsid w:val="007D461B"/>
    <w:rsid w:val="007D4659"/>
    <w:rsid w:val="007D4A1B"/>
    <w:rsid w:val="007D4C92"/>
    <w:rsid w:val="007D4D1C"/>
    <w:rsid w:val="007D4D3C"/>
    <w:rsid w:val="007D4D56"/>
    <w:rsid w:val="007D4ED9"/>
    <w:rsid w:val="007D5108"/>
    <w:rsid w:val="007D5679"/>
    <w:rsid w:val="007D5760"/>
    <w:rsid w:val="007D5A2E"/>
    <w:rsid w:val="007D5C5B"/>
    <w:rsid w:val="007D5DC0"/>
    <w:rsid w:val="007D6521"/>
    <w:rsid w:val="007D6580"/>
    <w:rsid w:val="007D664A"/>
    <w:rsid w:val="007D674B"/>
    <w:rsid w:val="007D6800"/>
    <w:rsid w:val="007D695F"/>
    <w:rsid w:val="007D6EC1"/>
    <w:rsid w:val="007D71B3"/>
    <w:rsid w:val="007D7325"/>
    <w:rsid w:val="007D7347"/>
    <w:rsid w:val="007D747B"/>
    <w:rsid w:val="007D74B6"/>
    <w:rsid w:val="007D763B"/>
    <w:rsid w:val="007D76B3"/>
    <w:rsid w:val="007D7A7A"/>
    <w:rsid w:val="007D7ADE"/>
    <w:rsid w:val="007D7B08"/>
    <w:rsid w:val="007E0121"/>
    <w:rsid w:val="007E029B"/>
    <w:rsid w:val="007E035C"/>
    <w:rsid w:val="007E045D"/>
    <w:rsid w:val="007E0BA1"/>
    <w:rsid w:val="007E0D32"/>
    <w:rsid w:val="007E0F47"/>
    <w:rsid w:val="007E0F4E"/>
    <w:rsid w:val="007E1008"/>
    <w:rsid w:val="007E123E"/>
    <w:rsid w:val="007E12B9"/>
    <w:rsid w:val="007E1324"/>
    <w:rsid w:val="007E14A0"/>
    <w:rsid w:val="007E181C"/>
    <w:rsid w:val="007E188C"/>
    <w:rsid w:val="007E1CD3"/>
    <w:rsid w:val="007E1DB9"/>
    <w:rsid w:val="007E2255"/>
    <w:rsid w:val="007E23C3"/>
    <w:rsid w:val="007E2571"/>
    <w:rsid w:val="007E26D6"/>
    <w:rsid w:val="007E2ACB"/>
    <w:rsid w:val="007E2D39"/>
    <w:rsid w:val="007E2DA1"/>
    <w:rsid w:val="007E2E03"/>
    <w:rsid w:val="007E2EEA"/>
    <w:rsid w:val="007E304A"/>
    <w:rsid w:val="007E30E5"/>
    <w:rsid w:val="007E326B"/>
    <w:rsid w:val="007E326C"/>
    <w:rsid w:val="007E3435"/>
    <w:rsid w:val="007E36F9"/>
    <w:rsid w:val="007E3743"/>
    <w:rsid w:val="007E3A6B"/>
    <w:rsid w:val="007E3B0B"/>
    <w:rsid w:val="007E3E48"/>
    <w:rsid w:val="007E3E94"/>
    <w:rsid w:val="007E3F61"/>
    <w:rsid w:val="007E3FB3"/>
    <w:rsid w:val="007E3FBF"/>
    <w:rsid w:val="007E4059"/>
    <w:rsid w:val="007E4065"/>
    <w:rsid w:val="007E4279"/>
    <w:rsid w:val="007E4881"/>
    <w:rsid w:val="007E496D"/>
    <w:rsid w:val="007E4A33"/>
    <w:rsid w:val="007E4AD6"/>
    <w:rsid w:val="007E4C0C"/>
    <w:rsid w:val="007E5047"/>
    <w:rsid w:val="007E5290"/>
    <w:rsid w:val="007E59E6"/>
    <w:rsid w:val="007E5FDB"/>
    <w:rsid w:val="007E60EA"/>
    <w:rsid w:val="007E6283"/>
    <w:rsid w:val="007E6358"/>
    <w:rsid w:val="007E66F5"/>
    <w:rsid w:val="007E681E"/>
    <w:rsid w:val="007E687C"/>
    <w:rsid w:val="007E6912"/>
    <w:rsid w:val="007E6D88"/>
    <w:rsid w:val="007E6F8A"/>
    <w:rsid w:val="007E6FFD"/>
    <w:rsid w:val="007E71F9"/>
    <w:rsid w:val="007E74B3"/>
    <w:rsid w:val="007E793B"/>
    <w:rsid w:val="007E79DB"/>
    <w:rsid w:val="007E79F8"/>
    <w:rsid w:val="007E7AEF"/>
    <w:rsid w:val="007E7C12"/>
    <w:rsid w:val="007E7DD9"/>
    <w:rsid w:val="007E7F00"/>
    <w:rsid w:val="007E7FC7"/>
    <w:rsid w:val="007F0082"/>
    <w:rsid w:val="007F09AB"/>
    <w:rsid w:val="007F0A2E"/>
    <w:rsid w:val="007F0AA6"/>
    <w:rsid w:val="007F0B6D"/>
    <w:rsid w:val="007F104B"/>
    <w:rsid w:val="007F10FF"/>
    <w:rsid w:val="007F1118"/>
    <w:rsid w:val="007F11C9"/>
    <w:rsid w:val="007F1307"/>
    <w:rsid w:val="007F1689"/>
    <w:rsid w:val="007F1B41"/>
    <w:rsid w:val="007F1B5E"/>
    <w:rsid w:val="007F1E1B"/>
    <w:rsid w:val="007F1E88"/>
    <w:rsid w:val="007F1F2A"/>
    <w:rsid w:val="007F24A1"/>
    <w:rsid w:val="007F2507"/>
    <w:rsid w:val="007F2554"/>
    <w:rsid w:val="007F25BF"/>
    <w:rsid w:val="007F2C44"/>
    <w:rsid w:val="007F2CB8"/>
    <w:rsid w:val="007F2CD7"/>
    <w:rsid w:val="007F3106"/>
    <w:rsid w:val="007F3687"/>
    <w:rsid w:val="007F3F66"/>
    <w:rsid w:val="007F469D"/>
    <w:rsid w:val="007F46AE"/>
    <w:rsid w:val="007F46B8"/>
    <w:rsid w:val="007F4787"/>
    <w:rsid w:val="007F4AED"/>
    <w:rsid w:val="007F4D6C"/>
    <w:rsid w:val="007F5531"/>
    <w:rsid w:val="007F56C9"/>
    <w:rsid w:val="007F5E73"/>
    <w:rsid w:val="007F6041"/>
    <w:rsid w:val="007F608D"/>
    <w:rsid w:val="007F62A5"/>
    <w:rsid w:val="007F6601"/>
    <w:rsid w:val="007F6DCA"/>
    <w:rsid w:val="007F7197"/>
    <w:rsid w:val="007F72E5"/>
    <w:rsid w:val="007F76A2"/>
    <w:rsid w:val="007F7720"/>
    <w:rsid w:val="007F7974"/>
    <w:rsid w:val="007F7A12"/>
    <w:rsid w:val="007F7ADF"/>
    <w:rsid w:val="007F7B8D"/>
    <w:rsid w:val="007F7E23"/>
    <w:rsid w:val="008002FF"/>
    <w:rsid w:val="008003E5"/>
    <w:rsid w:val="00800439"/>
    <w:rsid w:val="0080073C"/>
    <w:rsid w:val="0080106C"/>
    <w:rsid w:val="008010B1"/>
    <w:rsid w:val="00801194"/>
    <w:rsid w:val="00801240"/>
    <w:rsid w:val="008015B0"/>
    <w:rsid w:val="0080184A"/>
    <w:rsid w:val="00801895"/>
    <w:rsid w:val="008018DE"/>
    <w:rsid w:val="008018FD"/>
    <w:rsid w:val="008020D1"/>
    <w:rsid w:val="00802597"/>
    <w:rsid w:val="0080263D"/>
    <w:rsid w:val="0080283D"/>
    <w:rsid w:val="00802EC7"/>
    <w:rsid w:val="00803022"/>
    <w:rsid w:val="00803118"/>
    <w:rsid w:val="008031CC"/>
    <w:rsid w:val="00803688"/>
    <w:rsid w:val="008038FD"/>
    <w:rsid w:val="008039A0"/>
    <w:rsid w:val="00803F9C"/>
    <w:rsid w:val="00804093"/>
    <w:rsid w:val="008045ED"/>
    <w:rsid w:val="008046BA"/>
    <w:rsid w:val="008046E0"/>
    <w:rsid w:val="008047DF"/>
    <w:rsid w:val="00804982"/>
    <w:rsid w:val="00804B71"/>
    <w:rsid w:val="00804C8B"/>
    <w:rsid w:val="00804DDD"/>
    <w:rsid w:val="00804E06"/>
    <w:rsid w:val="00804F43"/>
    <w:rsid w:val="00805110"/>
    <w:rsid w:val="00805358"/>
    <w:rsid w:val="00805790"/>
    <w:rsid w:val="008058D6"/>
    <w:rsid w:val="0080593F"/>
    <w:rsid w:val="00805AB7"/>
    <w:rsid w:val="00805C92"/>
    <w:rsid w:val="008060CC"/>
    <w:rsid w:val="008067A5"/>
    <w:rsid w:val="0080684A"/>
    <w:rsid w:val="00806A9E"/>
    <w:rsid w:val="00806B64"/>
    <w:rsid w:val="00806C2F"/>
    <w:rsid w:val="00806C45"/>
    <w:rsid w:val="00806D31"/>
    <w:rsid w:val="00806F66"/>
    <w:rsid w:val="00806F69"/>
    <w:rsid w:val="00806F90"/>
    <w:rsid w:val="00807037"/>
    <w:rsid w:val="0080706C"/>
    <w:rsid w:val="008070AC"/>
    <w:rsid w:val="00807374"/>
    <w:rsid w:val="00807442"/>
    <w:rsid w:val="0080746C"/>
    <w:rsid w:val="008076F9"/>
    <w:rsid w:val="0080773C"/>
    <w:rsid w:val="008077CB"/>
    <w:rsid w:val="00807932"/>
    <w:rsid w:val="00807A2F"/>
    <w:rsid w:val="00807A3F"/>
    <w:rsid w:val="00807C79"/>
    <w:rsid w:val="00807D42"/>
    <w:rsid w:val="0081007A"/>
    <w:rsid w:val="008100A7"/>
    <w:rsid w:val="008102C7"/>
    <w:rsid w:val="00810934"/>
    <w:rsid w:val="00810A67"/>
    <w:rsid w:val="008111C2"/>
    <w:rsid w:val="00811616"/>
    <w:rsid w:val="0081172D"/>
    <w:rsid w:val="00811DEA"/>
    <w:rsid w:val="00811F7B"/>
    <w:rsid w:val="0081202F"/>
    <w:rsid w:val="0081203C"/>
    <w:rsid w:val="00812272"/>
    <w:rsid w:val="008122AE"/>
    <w:rsid w:val="008122D8"/>
    <w:rsid w:val="0081239A"/>
    <w:rsid w:val="008123A3"/>
    <w:rsid w:val="00812679"/>
    <w:rsid w:val="0081277C"/>
    <w:rsid w:val="008127FF"/>
    <w:rsid w:val="00812995"/>
    <w:rsid w:val="00812BEC"/>
    <w:rsid w:val="00812C1A"/>
    <w:rsid w:val="00812CDE"/>
    <w:rsid w:val="00812DF7"/>
    <w:rsid w:val="00813161"/>
    <w:rsid w:val="0081381F"/>
    <w:rsid w:val="00813A25"/>
    <w:rsid w:val="00813B74"/>
    <w:rsid w:val="00813C42"/>
    <w:rsid w:val="00813C74"/>
    <w:rsid w:val="00813F7C"/>
    <w:rsid w:val="00814155"/>
    <w:rsid w:val="00814438"/>
    <w:rsid w:val="00814455"/>
    <w:rsid w:val="008149A3"/>
    <w:rsid w:val="00814A4F"/>
    <w:rsid w:val="00814D8A"/>
    <w:rsid w:val="00814DDC"/>
    <w:rsid w:val="00814E5B"/>
    <w:rsid w:val="00815187"/>
    <w:rsid w:val="00815B6E"/>
    <w:rsid w:val="00815C8C"/>
    <w:rsid w:val="00815EE0"/>
    <w:rsid w:val="00815EE3"/>
    <w:rsid w:val="00815F7B"/>
    <w:rsid w:val="00816158"/>
    <w:rsid w:val="00816728"/>
    <w:rsid w:val="00816926"/>
    <w:rsid w:val="008169BF"/>
    <w:rsid w:val="00816D95"/>
    <w:rsid w:val="00817140"/>
    <w:rsid w:val="008171F2"/>
    <w:rsid w:val="008175D9"/>
    <w:rsid w:val="008177E7"/>
    <w:rsid w:val="00817AD5"/>
    <w:rsid w:val="00817B48"/>
    <w:rsid w:val="00817B7F"/>
    <w:rsid w:val="00817E89"/>
    <w:rsid w:val="00817F09"/>
    <w:rsid w:val="00820256"/>
    <w:rsid w:val="008202C5"/>
    <w:rsid w:val="00820411"/>
    <w:rsid w:val="0082070A"/>
    <w:rsid w:val="0082079D"/>
    <w:rsid w:val="0082079F"/>
    <w:rsid w:val="008209AF"/>
    <w:rsid w:val="00820CCC"/>
    <w:rsid w:val="00820FBB"/>
    <w:rsid w:val="00821074"/>
    <w:rsid w:val="0082119D"/>
    <w:rsid w:val="0082155E"/>
    <w:rsid w:val="00821A1A"/>
    <w:rsid w:val="00821AEB"/>
    <w:rsid w:val="00821EE9"/>
    <w:rsid w:val="00821F6F"/>
    <w:rsid w:val="00821F76"/>
    <w:rsid w:val="008220DC"/>
    <w:rsid w:val="008220FF"/>
    <w:rsid w:val="0082237F"/>
    <w:rsid w:val="008227D4"/>
    <w:rsid w:val="00822BFA"/>
    <w:rsid w:val="00822E5B"/>
    <w:rsid w:val="00822EB7"/>
    <w:rsid w:val="008231A7"/>
    <w:rsid w:val="008233A1"/>
    <w:rsid w:val="00823519"/>
    <w:rsid w:val="0082385C"/>
    <w:rsid w:val="00823E35"/>
    <w:rsid w:val="00823F20"/>
    <w:rsid w:val="008243FB"/>
    <w:rsid w:val="0082487D"/>
    <w:rsid w:val="008248C3"/>
    <w:rsid w:val="008248D7"/>
    <w:rsid w:val="008249B3"/>
    <w:rsid w:val="00824AB9"/>
    <w:rsid w:val="00824AF5"/>
    <w:rsid w:val="00824FAC"/>
    <w:rsid w:val="00825198"/>
    <w:rsid w:val="00825236"/>
    <w:rsid w:val="0082555C"/>
    <w:rsid w:val="00825625"/>
    <w:rsid w:val="00825756"/>
    <w:rsid w:val="00825A1F"/>
    <w:rsid w:val="00825B26"/>
    <w:rsid w:val="00825D29"/>
    <w:rsid w:val="00825D99"/>
    <w:rsid w:val="0082668D"/>
    <w:rsid w:val="008266A4"/>
    <w:rsid w:val="0082683E"/>
    <w:rsid w:val="008268C0"/>
    <w:rsid w:val="00826A96"/>
    <w:rsid w:val="00826B26"/>
    <w:rsid w:val="00826BFC"/>
    <w:rsid w:val="00826D72"/>
    <w:rsid w:val="00827001"/>
    <w:rsid w:val="00827094"/>
    <w:rsid w:val="00827323"/>
    <w:rsid w:val="00827846"/>
    <w:rsid w:val="008278DC"/>
    <w:rsid w:val="00827B3B"/>
    <w:rsid w:val="00827BE8"/>
    <w:rsid w:val="00827CF1"/>
    <w:rsid w:val="00827D9C"/>
    <w:rsid w:val="00827FBD"/>
    <w:rsid w:val="008300FB"/>
    <w:rsid w:val="008306A9"/>
    <w:rsid w:val="0083072B"/>
    <w:rsid w:val="008307A4"/>
    <w:rsid w:val="00830A5D"/>
    <w:rsid w:val="00830B25"/>
    <w:rsid w:val="00830DCC"/>
    <w:rsid w:val="00830E3F"/>
    <w:rsid w:val="00830F91"/>
    <w:rsid w:val="008312BA"/>
    <w:rsid w:val="008314FE"/>
    <w:rsid w:val="00831982"/>
    <w:rsid w:val="008319DA"/>
    <w:rsid w:val="00831A41"/>
    <w:rsid w:val="00831A88"/>
    <w:rsid w:val="00831B9F"/>
    <w:rsid w:val="00831D56"/>
    <w:rsid w:val="00831E84"/>
    <w:rsid w:val="00832294"/>
    <w:rsid w:val="008322A4"/>
    <w:rsid w:val="00832342"/>
    <w:rsid w:val="00832395"/>
    <w:rsid w:val="00832582"/>
    <w:rsid w:val="00832799"/>
    <w:rsid w:val="008329D9"/>
    <w:rsid w:val="00832B3E"/>
    <w:rsid w:val="00832C5D"/>
    <w:rsid w:val="008331DD"/>
    <w:rsid w:val="00833472"/>
    <w:rsid w:val="008336C7"/>
    <w:rsid w:val="008336E3"/>
    <w:rsid w:val="0083370F"/>
    <w:rsid w:val="00833817"/>
    <w:rsid w:val="00833E85"/>
    <w:rsid w:val="0083408B"/>
    <w:rsid w:val="00834184"/>
    <w:rsid w:val="00834415"/>
    <w:rsid w:val="0083447D"/>
    <w:rsid w:val="0083449E"/>
    <w:rsid w:val="0083455E"/>
    <w:rsid w:val="0083468B"/>
    <w:rsid w:val="0083471B"/>
    <w:rsid w:val="0083476B"/>
    <w:rsid w:val="0083477B"/>
    <w:rsid w:val="0083495E"/>
    <w:rsid w:val="00834BCF"/>
    <w:rsid w:val="00834F87"/>
    <w:rsid w:val="008354BC"/>
    <w:rsid w:val="008358AB"/>
    <w:rsid w:val="00835C6F"/>
    <w:rsid w:val="00835CC7"/>
    <w:rsid w:val="00835DDA"/>
    <w:rsid w:val="0083600D"/>
    <w:rsid w:val="00836271"/>
    <w:rsid w:val="00836377"/>
    <w:rsid w:val="008364F0"/>
    <w:rsid w:val="0083668B"/>
    <w:rsid w:val="00836A82"/>
    <w:rsid w:val="00836D35"/>
    <w:rsid w:val="00837292"/>
    <w:rsid w:val="0083731D"/>
    <w:rsid w:val="00837551"/>
    <w:rsid w:val="00837624"/>
    <w:rsid w:val="00837800"/>
    <w:rsid w:val="00837A94"/>
    <w:rsid w:val="00837ADD"/>
    <w:rsid w:val="00837BEB"/>
    <w:rsid w:val="00837D46"/>
    <w:rsid w:val="00837DAD"/>
    <w:rsid w:val="00837E4E"/>
    <w:rsid w:val="00837EFF"/>
    <w:rsid w:val="00837F65"/>
    <w:rsid w:val="008400DA"/>
    <w:rsid w:val="008401F3"/>
    <w:rsid w:val="008402E9"/>
    <w:rsid w:val="00840732"/>
    <w:rsid w:val="008409CB"/>
    <w:rsid w:val="00840A14"/>
    <w:rsid w:val="00840BAB"/>
    <w:rsid w:val="00840FD5"/>
    <w:rsid w:val="00841394"/>
    <w:rsid w:val="00841595"/>
    <w:rsid w:val="008415A6"/>
    <w:rsid w:val="00841879"/>
    <w:rsid w:val="0084195E"/>
    <w:rsid w:val="00841B92"/>
    <w:rsid w:val="00841CFE"/>
    <w:rsid w:val="00841D42"/>
    <w:rsid w:val="00841DF8"/>
    <w:rsid w:val="008422C8"/>
    <w:rsid w:val="00842628"/>
    <w:rsid w:val="008426E8"/>
    <w:rsid w:val="008427CE"/>
    <w:rsid w:val="00842869"/>
    <w:rsid w:val="0084296C"/>
    <w:rsid w:val="00842DFE"/>
    <w:rsid w:val="00842F1D"/>
    <w:rsid w:val="00843604"/>
    <w:rsid w:val="0084370D"/>
    <w:rsid w:val="00843733"/>
    <w:rsid w:val="00843B7D"/>
    <w:rsid w:val="00843CCA"/>
    <w:rsid w:val="00843D5F"/>
    <w:rsid w:val="00843F52"/>
    <w:rsid w:val="008446D2"/>
    <w:rsid w:val="00844B23"/>
    <w:rsid w:val="00844BBD"/>
    <w:rsid w:val="00844C57"/>
    <w:rsid w:val="00844DCC"/>
    <w:rsid w:val="00845170"/>
    <w:rsid w:val="008454DC"/>
    <w:rsid w:val="008455BD"/>
    <w:rsid w:val="00845710"/>
    <w:rsid w:val="00845805"/>
    <w:rsid w:val="0084584A"/>
    <w:rsid w:val="00845B80"/>
    <w:rsid w:val="00845E71"/>
    <w:rsid w:val="00845EFC"/>
    <w:rsid w:val="008463CD"/>
    <w:rsid w:val="0084668B"/>
    <w:rsid w:val="008468AD"/>
    <w:rsid w:val="008468CA"/>
    <w:rsid w:val="0084693A"/>
    <w:rsid w:val="00846E93"/>
    <w:rsid w:val="00847220"/>
    <w:rsid w:val="008475EC"/>
    <w:rsid w:val="008476C5"/>
    <w:rsid w:val="00847896"/>
    <w:rsid w:val="00847F5B"/>
    <w:rsid w:val="0085000A"/>
    <w:rsid w:val="0085002E"/>
    <w:rsid w:val="00850067"/>
    <w:rsid w:val="0085007F"/>
    <w:rsid w:val="008504E6"/>
    <w:rsid w:val="008506C6"/>
    <w:rsid w:val="00850901"/>
    <w:rsid w:val="00850BB7"/>
    <w:rsid w:val="00850EEA"/>
    <w:rsid w:val="00850F6B"/>
    <w:rsid w:val="00851148"/>
    <w:rsid w:val="0085141F"/>
    <w:rsid w:val="008515B3"/>
    <w:rsid w:val="008516A2"/>
    <w:rsid w:val="0085175B"/>
    <w:rsid w:val="00851C62"/>
    <w:rsid w:val="00851EB6"/>
    <w:rsid w:val="00852029"/>
    <w:rsid w:val="00852141"/>
    <w:rsid w:val="00852155"/>
    <w:rsid w:val="008521B2"/>
    <w:rsid w:val="008521F4"/>
    <w:rsid w:val="008522B0"/>
    <w:rsid w:val="008523CC"/>
    <w:rsid w:val="00852680"/>
    <w:rsid w:val="008527A3"/>
    <w:rsid w:val="008528A7"/>
    <w:rsid w:val="0085296D"/>
    <w:rsid w:val="00852B05"/>
    <w:rsid w:val="00852B5D"/>
    <w:rsid w:val="00852B93"/>
    <w:rsid w:val="00852EBE"/>
    <w:rsid w:val="00852F5F"/>
    <w:rsid w:val="00852FA3"/>
    <w:rsid w:val="0085304A"/>
    <w:rsid w:val="008531EC"/>
    <w:rsid w:val="008534B8"/>
    <w:rsid w:val="008536AA"/>
    <w:rsid w:val="00853814"/>
    <w:rsid w:val="00853A9A"/>
    <w:rsid w:val="00853C93"/>
    <w:rsid w:val="00853F3A"/>
    <w:rsid w:val="008540C4"/>
    <w:rsid w:val="0085418D"/>
    <w:rsid w:val="00854256"/>
    <w:rsid w:val="008543CD"/>
    <w:rsid w:val="00854C95"/>
    <w:rsid w:val="00854CA9"/>
    <w:rsid w:val="00854F05"/>
    <w:rsid w:val="0085597F"/>
    <w:rsid w:val="00855AE1"/>
    <w:rsid w:val="00855B8B"/>
    <w:rsid w:val="00855DB4"/>
    <w:rsid w:val="00855F6A"/>
    <w:rsid w:val="008560B5"/>
    <w:rsid w:val="008560CD"/>
    <w:rsid w:val="00856252"/>
    <w:rsid w:val="0085629B"/>
    <w:rsid w:val="0085636B"/>
    <w:rsid w:val="008564F5"/>
    <w:rsid w:val="00856674"/>
    <w:rsid w:val="0085699A"/>
    <w:rsid w:val="00856B2A"/>
    <w:rsid w:val="00856BB3"/>
    <w:rsid w:val="00856BFE"/>
    <w:rsid w:val="00856E01"/>
    <w:rsid w:val="0085703D"/>
    <w:rsid w:val="008570D9"/>
    <w:rsid w:val="0085710C"/>
    <w:rsid w:val="00857251"/>
    <w:rsid w:val="0085725B"/>
    <w:rsid w:val="00857343"/>
    <w:rsid w:val="0085748E"/>
    <w:rsid w:val="00857914"/>
    <w:rsid w:val="00857AD3"/>
    <w:rsid w:val="00857BB2"/>
    <w:rsid w:val="0086048C"/>
    <w:rsid w:val="00860B16"/>
    <w:rsid w:val="00860C79"/>
    <w:rsid w:val="00860DC3"/>
    <w:rsid w:val="008611D7"/>
    <w:rsid w:val="00861299"/>
    <w:rsid w:val="0086141F"/>
    <w:rsid w:val="0086149F"/>
    <w:rsid w:val="00861A9E"/>
    <w:rsid w:val="008620F3"/>
    <w:rsid w:val="00862631"/>
    <w:rsid w:val="00862663"/>
    <w:rsid w:val="00862721"/>
    <w:rsid w:val="0086288A"/>
    <w:rsid w:val="008629DD"/>
    <w:rsid w:val="00862E05"/>
    <w:rsid w:val="00862E40"/>
    <w:rsid w:val="00862EA0"/>
    <w:rsid w:val="00862EB1"/>
    <w:rsid w:val="00863066"/>
    <w:rsid w:val="00863092"/>
    <w:rsid w:val="00863390"/>
    <w:rsid w:val="008633F0"/>
    <w:rsid w:val="00863807"/>
    <w:rsid w:val="00863817"/>
    <w:rsid w:val="00863A35"/>
    <w:rsid w:val="00863D61"/>
    <w:rsid w:val="0086430B"/>
    <w:rsid w:val="008643CE"/>
    <w:rsid w:val="0086470C"/>
    <w:rsid w:val="008649DF"/>
    <w:rsid w:val="00864A9C"/>
    <w:rsid w:val="00864FBE"/>
    <w:rsid w:val="00865102"/>
    <w:rsid w:val="00865ABC"/>
    <w:rsid w:val="00865B08"/>
    <w:rsid w:val="0086616C"/>
    <w:rsid w:val="008669D9"/>
    <w:rsid w:val="00866B90"/>
    <w:rsid w:val="00866DC8"/>
    <w:rsid w:val="00866EEE"/>
    <w:rsid w:val="00866FA1"/>
    <w:rsid w:val="008673BF"/>
    <w:rsid w:val="008679F4"/>
    <w:rsid w:val="00867D07"/>
    <w:rsid w:val="0087012D"/>
    <w:rsid w:val="008702BA"/>
    <w:rsid w:val="008703F1"/>
    <w:rsid w:val="00870428"/>
    <w:rsid w:val="0087044F"/>
    <w:rsid w:val="00870966"/>
    <w:rsid w:val="00870B61"/>
    <w:rsid w:val="00870B98"/>
    <w:rsid w:val="00870E20"/>
    <w:rsid w:val="00870F53"/>
    <w:rsid w:val="00871863"/>
    <w:rsid w:val="00872078"/>
    <w:rsid w:val="008720C6"/>
    <w:rsid w:val="00872CBA"/>
    <w:rsid w:val="00872F58"/>
    <w:rsid w:val="008733AB"/>
    <w:rsid w:val="00873403"/>
    <w:rsid w:val="0087385E"/>
    <w:rsid w:val="00873B2B"/>
    <w:rsid w:val="00873D1D"/>
    <w:rsid w:val="00873F06"/>
    <w:rsid w:val="0087401B"/>
    <w:rsid w:val="0087420F"/>
    <w:rsid w:val="0087428F"/>
    <w:rsid w:val="0087474E"/>
    <w:rsid w:val="0087495A"/>
    <w:rsid w:val="00874BF4"/>
    <w:rsid w:val="00874DC8"/>
    <w:rsid w:val="00875113"/>
    <w:rsid w:val="00875569"/>
    <w:rsid w:val="008755B0"/>
    <w:rsid w:val="00875833"/>
    <w:rsid w:val="00875894"/>
    <w:rsid w:val="00875900"/>
    <w:rsid w:val="00875C48"/>
    <w:rsid w:val="00875D02"/>
    <w:rsid w:val="00875F9B"/>
    <w:rsid w:val="0087629E"/>
    <w:rsid w:val="008764C8"/>
    <w:rsid w:val="0087653A"/>
    <w:rsid w:val="00876771"/>
    <w:rsid w:val="008767AA"/>
    <w:rsid w:val="008767BB"/>
    <w:rsid w:val="008768CD"/>
    <w:rsid w:val="00876BCD"/>
    <w:rsid w:val="00876D28"/>
    <w:rsid w:val="0087748A"/>
    <w:rsid w:val="008774B0"/>
    <w:rsid w:val="0087764A"/>
    <w:rsid w:val="00877BA7"/>
    <w:rsid w:val="00877C46"/>
    <w:rsid w:val="00880258"/>
    <w:rsid w:val="00880673"/>
    <w:rsid w:val="008807B7"/>
    <w:rsid w:val="008809D9"/>
    <w:rsid w:val="00880DDA"/>
    <w:rsid w:val="0088104C"/>
    <w:rsid w:val="008816F0"/>
    <w:rsid w:val="00881DFC"/>
    <w:rsid w:val="00881E07"/>
    <w:rsid w:val="00881EA1"/>
    <w:rsid w:val="00881F30"/>
    <w:rsid w:val="00881FA5"/>
    <w:rsid w:val="00882255"/>
    <w:rsid w:val="00882561"/>
    <w:rsid w:val="00882915"/>
    <w:rsid w:val="008829C9"/>
    <w:rsid w:val="00882C23"/>
    <w:rsid w:val="00882CC4"/>
    <w:rsid w:val="00882F32"/>
    <w:rsid w:val="00882FFB"/>
    <w:rsid w:val="008830DC"/>
    <w:rsid w:val="00883BB8"/>
    <w:rsid w:val="008840DF"/>
    <w:rsid w:val="008843FD"/>
    <w:rsid w:val="008847C0"/>
    <w:rsid w:val="00884AA4"/>
    <w:rsid w:val="00884B3B"/>
    <w:rsid w:val="00884BF4"/>
    <w:rsid w:val="00884E29"/>
    <w:rsid w:val="00884EEB"/>
    <w:rsid w:val="00884FDD"/>
    <w:rsid w:val="00885345"/>
    <w:rsid w:val="008853E7"/>
    <w:rsid w:val="00885B8A"/>
    <w:rsid w:val="00885C2E"/>
    <w:rsid w:val="00885D11"/>
    <w:rsid w:val="00885F32"/>
    <w:rsid w:val="00885FF6"/>
    <w:rsid w:val="00886379"/>
    <w:rsid w:val="008863DC"/>
    <w:rsid w:val="00886859"/>
    <w:rsid w:val="00886C9D"/>
    <w:rsid w:val="00886DE5"/>
    <w:rsid w:val="00887025"/>
    <w:rsid w:val="00887048"/>
    <w:rsid w:val="0088725D"/>
    <w:rsid w:val="008872E1"/>
    <w:rsid w:val="0088762E"/>
    <w:rsid w:val="0088767C"/>
    <w:rsid w:val="008876DC"/>
    <w:rsid w:val="00887BB2"/>
    <w:rsid w:val="00887C65"/>
    <w:rsid w:val="00887D96"/>
    <w:rsid w:val="008900A9"/>
    <w:rsid w:val="00890186"/>
    <w:rsid w:val="00890454"/>
    <w:rsid w:val="008904B8"/>
    <w:rsid w:val="008904E8"/>
    <w:rsid w:val="008906FD"/>
    <w:rsid w:val="00890756"/>
    <w:rsid w:val="0089120A"/>
    <w:rsid w:val="008913DA"/>
    <w:rsid w:val="008917D9"/>
    <w:rsid w:val="00891952"/>
    <w:rsid w:val="00891A24"/>
    <w:rsid w:val="00891B6E"/>
    <w:rsid w:val="00891CED"/>
    <w:rsid w:val="00891E95"/>
    <w:rsid w:val="008921F8"/>
    <w:rsid w:val="008923FE"/>
    <w:rsid w:val="00892661"/>
    <w:rsid w:val="0089274E"/>
    <w:rsid w:val="00892974"/>
    <w:rsid w:val="00892A18"/>
    <w:rsid w:val="00892CAF"/>
    <w:rsid w:val="008931A1"/>
    <w:rsid w:val="008935BB"/>
    <w:rsid w:val="00893678"/>
    <w:rsid w:val="00893842"/>
    <w:rsid w:val="00893C99"/>
    <w:rsid w:val="008940ED"/>
    <w:rsid w:val="00894221"/>
    <w:rsid w:val="00894398"/>
    <w:rsid w:val="00894549"/>
    <w:rsid w:val="0089466D"/>
    <w:rsid w:val="00894715"/>
    <w:rsid w:val="00894C19"/>
    <w:rsid w:val="00895142"/>
    <w:rsid w:val="00895266"/>
    <w:rsid w:val="00895414"/>
    <w:rsid w:val="00895495"/>
    <w:rsid w:val="008955B8"/>
    <w:rsid w:val="0089570C"/>
    <w:rsid w:val="00895797"/>
    <w:rsid w:val="00895945"/>
    <w:rsid w:val="008959CC"/>
    <w:rsid w:val="008959F0"/>
    <w:rsid w:val="00895A6A"/>
    <w:rsid w:val="00895FA5"/>
    <w:rsid w:val="008963B2"/>
    <w:rsid w:val="0089648C"/>
    <w:rsid w:val="0089658A"/>
    <w:rsid w:val="008965D9"/>
    <w:rsid w:val="008966ED"/>
    <w:rsid w:val="0089683C"/>
    <w:rsid w:val="00896AAA"/>
    <w:rsid w:val="00896B62"/>
    <w:rsid w:val="00896FBE"/>
    <w:rsid w:val="0089779D"/>
    <w:rsid w:val="00897858"/>
    <w:rsid w:val="00897874"/>
    <w:rsid w:val="00897C5D"/>
    <w:rsid w:val="00897E4D"/>
    <w:rsid w:val="00897F62"/>
    <w:rsid w:val="008A020C"/>
    <w:rsid w:val="008A0826"/>
    <w:rsid w:val="008A0FAB"/>
    <w:rsid w:val="008A1042"/>
    <w:rsid w:val="008A1064"/>
    <w:rsid w:val="008A1167"/>
    <w:rsid w:val="008A11AF"/>
    <w:rsid w:val="008A1643"/>
    <w:rsid w:val="008A1705"/>
    <w:rsid w:val="008A1AEB"/>
    <w:rsid w:val="008A1B73"/>
    <w:rsid w:val="008A1BC6"/>
    <w:rsid w:val="008A1E38"/>
    <w:rsid w:val="008A216A"/>
    <w:rsid w:val="008A224D"/>
    <w:rsid w:val="008A30E4"/>
    <w:rsid w:val="008A3671"/>
    <w:rsid w:val="008A376A"/>
    <w:rsid w:val="008A39BB"/>
    <w:rsid w:val="008A3A7D"/>
    <w:rsid w:val="008A4032"/>
    <w:rsid w:val="008A40D2"/>
    <w:rsid w:val="008A41F9"/>
    <w:rsid w:val="008A431A"/>
    <w:rsid w:val="008A4DC5"/>
    <w:rsid w:val="008A4E64"/>
    <w:rsid w:val="008A4EE1"/>
    <w:rsid w:val="008A4F04"/>
    <w:rsid w:val="008A50DE"/>
    <w:rsid w:val="008A50F6"/>
    <w:rsid w:val="008A5242"/>
    <w:rsid w:val="008A5390"/>
    <w:rsid w:val="008A54F8"/>
    <w:rsid w:val="008A5D0D"/>
    <w:rsid w:val="008A5DB8"/>
    <w:rsid w:val="008A5F9D"/>
    <w:rsid w:val="008A6004"/>
    <w:rsid w:val="008A63F6"/>
    <w:rsid w:val="008A6497"/>
    <w:rsid w:val="008A64F6"/>
    <w:rsid w:val="008A6587"/>
    <w:rsid w:val="008A66C3"/>
    <w:rsid w:val="008A678A"/>
    <w:rsid w:val="008A6908"/>
    <w:rsid w:val="008A6B01"/>
    <w:rsid w:val="008A6BE4"/>
    <w:rsid w:val="008A6DCE"/>
    <w:rsid w:val="008A7973"/>
    <w:rsid w:val="008A79F7"/>
    <w:rsid w:val="008A7B8E"/>
    <w:rsid w:val="008A7BA1"/>
    <w:rsid w:val="008A7C17"/>
    <w:rsid w:val="008A7C45"/>
    <w:rsid w:val="008A7D4B"/>
    <w:rsid w:val="008A7D84"/>
    <w:rsid w:val="008A7E87"/>
    <w:rsid w:val="008B03CE"/>
    <w:rsid w:val="008B0473"/>
    <w:rsid w:val="008B06D0"/>
    <w:rsid w:val="008B0718"/>
    <w:rsid w:val="008B0F03"/>
    <w:rsid w:val="008B1427"/>
    <w:rsid w:val="008B1831"/>
    <w:rsid w:val="008B1A98"/>
    <w:rsid w:val="008B1FFD"/>
    <w:rsid w:val="008B225B"/>
    <w:rsid w:val="008B22FA"/>
    <w:rsid w:val="008B2581"/>
    <w:rsid w:val="008B25D3"/>
    <w:rsid w:val="008B2BEA"/>
    <w:rsid w:val="008B2D4D"/>
    <w:rsid w:val="008B2F11"/>
    <w:rsid w:val="008B3110"/>
    <w:rsid w:val="008B328E"/>
    <w:rsid w:val="008B33A7"/>
    <w:rsid w:val="008B3476"/>
    <w:rsid w:val="008B390A"/>
    <w:rsid w:val="008B3A18"/>
    <w:rsid w:val="008B3AFA"/>
    <w:rsid w:val="008B3C43"/>
    <w:rsid w:val="008B3DCE"/>
    <w:rsid w:val="008B4004"/>
    <w:rsid w:val="008B420A"/>
    <w:rsid w:val="008B4292"/>
    <w:rsid w:val="008B44CE"/>
    <w:rsid w:val="008B454B"/>
    <w:rsid w:val="008B4AB1"/>
    <w:rsid w:val="008B4B90"/>
    <w:rsid w:val="008B4DD6"/>
    <w:rsid w:val="008B4F98"/>
    <w:rsid w:val="008B5494"/>
    <w:rsid w:val="008B5583"/>
    <w:rsid w:val="008B563D"/>
    <w:rsid w:val="008B56F6"/>
    <w:rsid w:val="008B5935"/>
    <w:rsid w:val="008B5DDD"/>
    <w:rsid w:val="008B5F62"/>
    <w:rsid w:val="008B6416"/>
    <w:rsid w:val="008B6482"/>
    <w:rsid w:val="008B6492"/>
    <w:rsid w:val="008B6A8E"/>
    <w:rsid w:val="008B6AC0"/>
    <w:rsid w:val="008B6B99"/>
    <w:rsid w:val="008B6D40"/>
    <w:rsid w:val="008B6FF5"/>
    <w:rsid w:val="008B7083"/>
    <w:rsid w:val="008B7236"/>
    <w:rsid w:val="008B75F0"/>
    <w:rsid w:val="008B79A5"/>
    <w:rsid w:val="008B7BBC"/>
    <w:rsid w:val="008B7CB3"/>
    <w:rsid w:val="008B7E99"/>
    <w:rsid w:val="008C0097"/>
    <w:rsid w:val="008C024F"/>
    <w:rsid w:val="008C030F"/>
    <w:rsid w:val="008C0883"/>
    <w:rsid w:val="008C09E5"/>
    <w:rsid w:val="008C0A33"/>
    <w:rsid w:val="008C0AC7"/>
    <w:rsid w:val="008C0DD9"/>
    <w:rsid w:val="008C11AB"/>
    <w:rsid w:val="008C1340"/>
    <w:rsid w:val="008C1680"/>
    <w:rsid w:val="008C16DE"/>
    <w:rsid w:val="008C191C"/>
    <w:rsid w:val="008C1D9E"/>
    <w:rsid w:val="008C1E22"/>
    <w:rsid w:val="008C1FD0"/>
    <w:rsid w:val="008C1FD4"/>
    <w:rsid w:val="008C2144"/>
    <w:rsid w:val="008C21D6"/>
    <w:rsid w:val="008C23F5"/>
    <w:rsid w:val="008C2513"/>
    <w:rsid w:val="008C26A5"/>
    <w:rsid w:val="008C28BF"/>
    <w:rsid w:val="008C2A36"/>
    <w:rsid w:val="008C2BAD"/>
    <w:rsid w:val="008C2E43"/>
    <w:rsid w:val="008C2F02"/>
    <w:rsid w:val="008C301C"/>
    <w:rsid w:val="008C328B"/>
    <w:rsid w:val="008C331B"/>
    <w:rsid w:val="008C3867"/>
    <w:rsid w:val="008C3AD0"/>
    <w:rsid w:val="008C3AD7"/>
    <w:rsid w:val="008C416C"/>
    <w:rsid w:val="008C43AB"/>
    <w:rsid w:val="008C44CC"/>
    <w:rsid w:val="008C45F7"/>
    <w:rsid w:val="008C4659"/>
    <w:rsid w:val="008C47D0"/>
    <w:rsid w:val="008C4841"/>
    <w:rsid w:val="008C4917"/>
    <w:rsid w:val="008C4A83"/>
    <w:rsid w:val="008C4C87"/>
    <w:rsid w:val="008C4EF6"/>
    <w:rsid w:val="008C5294"/>
    <w:rsid w:val="008C546B"/>
    <w:rsid w:val="008C5551"/>
    <w:rsid w:val="008C56B7"/>
    <w:rsid w:val="008C5917"/>
    <w:rsid w:val="008C5A09"/>
    <w:rsid w:val="008C5A89"/>
    <w:rsid w:val="008C5B7D"/>
    <w:rsid w:val="008C5EFE"/>
    <w:rsid w:val="008C5FAA"/>
    <w:rsid w:val="008C6029"/>
    <w:rsid w:val="008C635D"/>
    <w:rsid w:val="008C6534"/>
    <w:rsid w:val="008C68D8"/>
    <w:rsid w:val="008C69EE"/>
    <w:rsid w:val="008C6A2E"/>
    <w:rsid w:val="008C6C91"/>
    <w:rsid w:val="008C708F"/>
    <w:rsid w:val="008C7151"/>
    <w:rsid w:val="008C719D"/>
    <w:rsid w:val="008C75F8"/>
    <w:rsid w:val="008C7670"/>
    <w:rsid w:val="008C7991"/>
    <w:rsid w:val="008C79D1"/>
    <w:rsid w:val="008C7A34"/>
    <w:rsid w:val="008C7AE0"/>
    <w:rsid w:val="008C7B00"/>
    <w:rsid w:val="008C7CEC"/>
    <w:rsid w:val="008C7DFE"/>
    <w:rsid w:val="008C7E1D"/>
    <w:rsid w:val="008C7EB7"/>
    <w:rsid w:val="008D05B7"/>
    <w:rsid w:val="008D05D5"/>
    <w:rsid w:val="008D0637"/>
    <w:rsid w:val="008D06E5"/>
    <w:rsid w:val="008D0A57"/>
    <w:rsid w:val="008D0A74"/>
    <w:rsid w:val="008D0A78"/>
    <w:rsid w:val="008D0AB6"/>
    <w:rsid w:val="008D0C54"/>
    <w:rsid w:val="008D1270"/>
    <w:rsid w:val="008D12F1"/>
    <w:rsid w:val="008D153D"/>
    <w:rsid w:val="008D1678"/>
    <w:rsid w:val="008D169A"/>
    <w:rsid w:val="008D16E0"/>
    <w:rsid w:val="008D16F2"/>
    <w:rsid w:val="008D1934"/>
    <w:rsid w:val="008D1961"/>
    <w:rsid w:val="008D1DB5"/>
    <w:rsid w:val="008D1E7B"/>
    <w:rsid w:val="008D1E9F"/>
    <w:rsid w:val="008D200C"/>
    <w:rsid w:val="008D2150"/>
    <w:rsid w:val="008D2278"/>
    <w:rsid w:val="008D22A8"/>
    <w:rsid w:val="008D28DD"/>
    <w:rsid w:val="008D293F"/>
    <w:rsid w:val="008D29D8"/>
    <w:rsid w:val="008D2B35"/>
    <w:rsid w:val="008D2F17"/>
    <w:rsid w:val="008D3092"/>
    <w:rsid w:val="008D3406"/>
    <w:rsid w:val="008D345E"/>
    <w:rsid w:val="008D3501"/>
    <w:rsid w:val="008D3A0E"/>
    <w:rsid w:val="008D3BB7"/>
    <w:rsid w:val="008D3BCB"/>
    <w:rsid w:val="008D3CA3"/>
    <w:rsid w:val="008D3CAC"/>
    <w:rsid w:val="008D3D57"/>
    <w:rsid w:val="008D3F6D"/>
    <w:rsid w:val="008D425A"/>
    <w:rsid w:val="008D43DF"/>
    <w:rsid w:val="008D44BB"/>
    <w:rsid w:val="008D47B3"/>
    <w:rsid w:val="008D4A8D"/>
    <w:rsid w:val="008D4CBB"/>
    <w:rsid w:val="008D4D70"/>
    <w:rsid w:val="008D5101"/>
    <w:rsid w:val="008D5121"/>
    <w:rsid w:val="008D5239"/>
    <w:rsid w:val="008D52C1"/>
    <w:rsid w:val="008D5325"/>
    <w:rsid w:val="008D5390"/>
    <w:rsid w:val="008D556B"/>
    <w:rsid w:val="008D5770"/>
    <w:rsid w:val="008D5AF5"/>
    <w:rsid w:val="008D6556"/>
    <w:rsid w:val="008D65D2"/>
    <w:rsid w:val="008D6732"/>
    <w:rsid w:val="008D6B5E"/>
    <w:rsid w:val="008D6ED7"/>
    <w:rsid w:val="008D6EFA"/>
    <w:rsid w:val="008D773B"/>
    <w:rsid w:val="008D7832"/>
    <w:rsid w:val="008D7C05"/>
    <w:rsid w:val="008D7DB4"/>
    <w:rsid w:val="008D7E67"/>
    <w:rsid w:val="008E0123"/>
    <w:rsid w:val="008E01D4"/>
    <w:rsid w:val="008E05C6"/>
    <w:rsid w:val="008E065E"/>
    <w:rsid w:val="008E092A"/>
    <w:rsid w:val="008E0D6F"/>
    <w:rsid w:val="008E10BD"/>
    <w:rsid w:val="008E13BE"/>
    <w:rsid w:val="008E14CF"/>
    <w:rsid w:val="008E1899"/>
    <w:rsid w:val="008E1C58"/>
    <w:rsid w:val="008E1CB2"/>
    <w:rsid w:val="008E1D94"/>
    <w:rsid w:val="008E1F63"/>
    <w:rsid w:val="008E1F78"/>
    <w:rsid w:val="008E253A"/>
    <w:rsid w:val="008E291B"/>
    <w:rsid w:val="008E2AD8"/>
    <w:rsid w:val="008E2EE7"/>
    <w:rsid w:val="008E2F5F"/>
    <w:rsid w:val="008E3055"/>
    <w:rsid w:val="008E38C2"/>
    <w:rsid w:val="008E38EB"/>
    <w:rsid w:val="008E3B93"/>
    <w:rsid w:val="008E3C1A"/>
    <w:rsid w:val="008E3C85"/>
    <w:rsid w:val="008E4043"/>
    <w:rsid w:val="008E40B0"/>
    <w:rsid w:val="008E4277"/>
    <w:rsid w:val="008E4595"/>
    <w:rsid w:val="008E4768"/>
    <w:rsid w:val="008E4CD6"/>
    <w:rsid w:val="008E4F06"/>
    <w:rsid w:val="008E548B"/>
    <w:rsid w:val="008E56EC"/>
    <w:rsid w:val="008E5990"/>
    <w:rsid w:val="008E5A1B"/>
    <w:rsid w:val="008E5B1C"/>
    <w:rsid w:val="008E5D00"/>
    <w:rsid w:val="008E5D4A"/>
    <w:rsid w:val="008E5FF3"/>
    <w:rsid w:val="008E6041"/>
    <w:rsid w:val="008E6537"/>
    <w:rsid w:val="008E666E"/>
    <w:rsid w:val="008E6943"/>
    <w:rsid w:val="008E6995"/>
    <w:rsid w:val="008E6D2D"/>
    <w:rsid w:val="008E6F03"/>
    <w:rsid w:val="008E6F25"/>
    <w:rsid w:val="008E6F89"/>
    <w:rsid w:val="008E7346"/>
    <w:rsid w:val="008E750D"/>
    <w:rsid w:val="008E7552"/>
    <w:rsid w:val="008E76D0"/>
    <w:rsid w:val="008E78ED"/>
    <w:rsid w:val="008E7BB0"/>
    <w:rsid w:val="008E7DAA"/>
    <w:rsid w:val="008F017C"/>
    <w:rsid w:val="008F032D"/>
    <w:rsid w:val="008F044A"/>
    <w:rsid w:val="008F07C4"/>
    <w:rsid w:val="008F1436"/>
    <w:rsid w:val="008F15A5"/>
    <w:rsid w:val="008F16D0"/>
    <w:rsid w:val="008F18C9"/>
    <w:rsid w:val="008F1D4F"/>
    <w:rsid w:val="008F1DF7"/>
    <w:rsid w:val="008F2201"/>
    <w:rsid w:val="008F22F9"/>
    <w:rsid w:val="008F24E5"/>
    <w:rsid w:val="008F2561"/>
    <w:rsid w:val="008F25CF"/>
    <w:rsid w:val="008F276A"/>
    <w:rsid w:val="008F3018"/>
    <w:rsid w:val="008F3481"/>
    <w:rsid w:val="008F3DD1"/>
    <w:rsid w:val="008F3FDA"/>
    <w:rsid w:val="008F416D"/>
    <w:rsid w:val="008F4727"/>
    <w:rsid w:val="008F4747"/>
    <w:rsid w:val="008F47BE"/>
    <w:rsid w:val="008F48B4"/>
    <w:rsid w:val="008F4978"/>
    <w:rsid w:val="008F4F69"/>
    <w:rsid w:val="008F5120"/>
    <w:rsid w:val="008F529D"/>
    <w:rsid w:val="008F54CD"/>
    <w:rsid w:val="008F58DE"/>
    <w:rsid w:val="008F5CF1"/>
    <w:rsid w:val="008F5DCC"/>
    <w:rsid w:val="008F601E"/>
    <w:rsid w:val="008F610E"/>
    <w:rsid w:val="008F6372"/>
    <w:rsid w:val="008F6535"/>
    <w:rsid w:val="008F67C5"/>
    <w:rsid w:val="008F6AC9"/>
    <w:rsid w:val="008F6C35"/>
    <w:rsid w:val="008F6C7F"/>
    <w:rsid w:val="008F7288"/>
    <w:rsid w:val="008F7597"/>
    <w:rsid w:val="008F76C8"/>
    <w:rsid w:val="008F783B"/>
    <w:rsid w:val="008F7B17"/>
    <w:rsid w:val="008F7C0A"/>
    <w:rsid w:val="008F7D67"/>
    <w:rsid w:val="008F7D90"/>
    <w:rsid w:val="008F7DBE"/>
    <w:rsid w:val="008F7EB6"/>
    <w:rsid w:val="008F7F89"/>
    <w:rsid w:val="008F7F91"/>
    <w:rsid w:val="00900D69"/>
    <w:rsid w:val="00900EC5"/>
    <w:rsid w:val="00900F75"/>
    <w:rsid w:val="00901052"/>
    <w:rsid w:val="00901084"/>
    <w:rsid w:val="009012CF"/>
    <w:rsid w:val="0090193C"/>
    <w:rsid w:val="00902035"/>
    <w:rsid w:val="00902328"/>
    <w:rsid w:val="00902569"/>
    <w:rsid w:val="009029AE"/>
    <w:rsid w:val="00902AC0"/>
    <w:rsid w:val="00902BB5"/>
    <w:rsid w:val="00902D67"/>
    <w:rsid w:val="00902FA7"/>
    <w:rsid w:val="00903023"/>
    <w:rsid w:val="00903122"/>
    <w:rsid w:val="0090319B"/>
    <w:rsid w:val="00903287"/>
    <w:rsid w:val="009032DB"/>
    <w:rsid w:val="00903388"/>
    <w:rsid w:val="00903CCF"/>
    <w:rsid w:val="00903E46"/>
    <w:rsid w:val="0090434B"/>
    <w:rsid w:val="0090443A"/>
    <w:rsid w:val="00904520"/>
    <w:rsid w:val="0090453A"/>
    <w:rsid w:val="00904686"/>
    <w:rsid w:val="00904795"/>
    <w:rsid w:val="009047DE"/>
    <w:rsid w:val="00904823"/>
    <w:rsid w:val="00904ADD"/>
    <w:rsid w:val="00904BAC"/>
    <w:rsid w:val="00904BF9"/>
    <w:rsid w:val="00904EF3"/>
    <w:rsid w:val="00904F4F"/>
    <w:rsid w:val="009050F3"/>
    <w:rsid w:val="00905109"/>
    <w:rsid w:val="0090516B"/>
    <w:rsid w:val="0090549F"/>
    <w:rsid w:val="009055D4"/>
    <w:rsid w:val="0090576F"/>
    <w:rsid w:val="00905C74"/>
    <w:rsid w:val="00905E3A"/>
    <w:rsid w:val="00906272"/>
    <w:rsid w:val="0090657A"/>
    <w:rsid w:val="009067EB"/>
    <w:rsid w:val="009068D9"/>
    <w:rsid w:val="0090778D"/>
    <w:rsid w:val="0090781C"/>
    <w:rsid w:val="00907967"/>
    <w:rsid w:val="00907D5F"/>
    <w:rsid w:val="00907D7C"/>
    <w:rsid w:val="00910014"/>
    <w:rsid w:val="009102AF"/>
    <w:rsid w:val="00910386"/>
    <w:rsid w:val="00910508"/>
    <w:rsid w:val="0091072E"/>
    <w:rsid w:val="009109D9"/>
    <w:rsid w:val="009109DD"/>
    <w:rsid w:val="00910C9B"/>
    <w:rsid w:val="0091120B"/>
    <w:rsid w:val="009117C3"/>
    <w:rsid w:val="009118A4"/>
    <w:rsid w:val="00911A65"/>
    <w:rsid w:val="00911E82"/>
    <w:rsid w:val="009120CC"/>
    <w:rsid w:val="009125AB"/>
    <w:rsid w:val="009126A8"/>
    <w:rsid w:val="00912F3E"/>
    <w:rsid w:val="00912FFF"/>
    <w:rsid w:val="009130AE"/>
    <w:rsid w:val="00913107"/>
    <w:rsid w:val="009133CF"/>
    <w:rsid w:val="00913512"/>
    <w:rsid w:val="0091354A"/>
    <w:rsid w:val="00913BCA"/>
    <w:rsid w:val="00913F5B"/>
    <w:rsid w:val="00914004"/>
    <w:rsid w:val="0091400B"/>
    <w:rsid w:val="0091451D"/>
    <w:rsid w:val="00914752"/>
    <w:rsid w:val="00914766"/>
    <w:rsid w:val="00914779"/>
    <w:rsid w:val="00914846"/>
    <w:rsid w:val="00914850"/>
    <w:rsid w:val="0091485F"/>
    <w:rsid w:val="00914AE3"/>
    <w:rsid w:val="00914D2E"/>
    <w:rsid w:val="00914D77"/>
    <w:rsid w:val="009151D6"/>
    <w:rsid w:val="00915357"/>
    <w:rsid w:val="009154A5"/>
    <w:rsid w:val="009159B0"/>
    <w:rsid w:val="00915B9D"/>
    <w:rsid w:val="00915CE9"/>
    <w:rsid w:val="009162C8"/>
    <w:rsid w:val="009162D9"/>
    <w:rsid w:val="0091636F"/>
    <w:rsid w:val="00916540"/>
    <w:rsid w:val="0091669E"/>
    <w:rsid w:val="00916769"/>
    <w:rsid w:val="00916B77"/>
    <w:rsid w:val="00916C28"/>
    <w:rsid w:val="00916DC8"/>
    <w:rsid w:val="00916F73"/>
    <w:rsid w:val="00917298"/>
    <w:rsid w:val="009172C4"/>
    <w:rsid w:val="00917376"/>
    <w:rsid w:val="0091762E"/>
    <w:rsid w:val="009178BB"/>
    <w:rsid w:val="00917E5A"/>
    <w:rsid w:val="00920040"/>
    <w:rsid w:val="009203F5"/>
    <w:rsid w:val="009204F4"/>
    <w:rsid w:val="00920986"/>
    <w:rsid w:val="009209CA"/>
    <w:rsid w:val="00920ACC"/>
    <w:rsid w:val="00920C67"/>
    <w:rsid w:val="00920DB0"/>
    <w:rsid w:val="00920F9E"/>
    <w:rsid w:val="0092116A"/>
    <w:rsid w:val="0092117E"/>
    <w:rsid w:val="00921503"/>
    <w:rsid w:val="00921655"/>
    <w:rsid w:val="0092183D"/>
    <w:rsid w:val="00921AFD"/>
    <w:rsid w:val="00922062"/>
    <w:rsid w:val="0092217F"/>
    <w:rsid w:val="00922C35"/>
    <w:rsid w:val="00922F73"/>
    <w:rsid w:val="00923173"/>
    <w:rsid w:val="00923270"/>
    <w:rsid w:val="009232B9"/>
    <w:rsid w:val="00923383"/>
    <w:rsid w:val="00923624"/>
    <w:rsid w:val="0092374D"/>
    <w:rsid w:val="00923760"/>
    <w:rsid w:val="00923930"/>
    <w:rsid w:val="00923B4B"/>
    <w:rsid w:val="00923B93"/>
    <w:rsid w:val="00923BD8"/>
    <w:rsid w:val="00923C50"/>
    <w:rsid w:val="00923CD1"/>
    <w:rsid w:val="00923D4E"/>
    <w:rsid w:val="00923D6E"/>
    <w:rsid w:val="0092416E"/>
    <w:rsid w:val="009242AB"/>
    <w:rsid w:val="009248FA"/>
    <w:rsid w:val="0092494B"/>
    <w:rsid w:val="009249B7"/>
    <w:rsid w:val="00924A8E"/>
    <w:rsid w:val="00924BF9"/>
    <w:rsid w:val="00924DEF"/>
    <w:rsid w:val="00924E1B"/>
    <w:rsid w:val="00924FD0"/>
    <w:rsid w:val="00925002"/>
    <w:rsid w:val="0092500C"/>
    <w:rsid w:val="0092520D"/>
    <w:rsid w:val="0092535E"/>
    <w:rsid w:val="00925435"/>
    <w:rsid w:val="00925449"/>
    <w:rsid w:val="009254E0"/>
    <w:rsid w:val="0092566A"/>
    <w:rsid w:val="009258E1"/>
    <w:rsid w:val="00925AF8"/>
    <w:rsid w:val="00925B01"/>
    <w:rsid w:val="00925E35"/>
    <w:rsid w:val="009262A3"/>
    <w:rsid w:val="009262BB"/>
    <w:rsid w:val="009264A8"/>
    <w:rsid w:val="009265DF"/>
    <w:rsid w:val="00926614"/>
    <w:rsid w:val="00926645"/>
    <w:rsid w:val="0092676B"/>
    <w:rsid w:val="0092691B"/>
    <w:rsid w:val="00926B76"/>
    <w:rsid w:val="00926C53"/>
    <w:rsid w:val="00926CFD"/>
    <w:rsid w:val="00926D11"/>
    <w:rsid w:val="00926DBD"/>
    <w:rsid w:val="00927037"/>
    <w:rsid w:val="0092722B"/>
    <w:rsid w:val="00927425"/>
    <w:rsid w:val="0092742E"/>
    <w:rsid w:val="0092781C"/>
    <w:rsid w:val="009279FA"/>
    <w:rsid w:val="00927AA7"/>
    <w:rsid w:val="00927FCF"/>
    <w:rsid w:val="00930016"/>
    <w:rsid w:val="00930074"/>
    <w:rsid w:val="009301FD"/>
    <w:rsid w:val="00930275"/>
    <w:rsid w:val="009304A5"/>
    <w:rsid w:val="009304B5"/>
    <w:rsid w:val="00930593"/>
    <w:rsid w:val="009305B0"/>
    <w:rsid w:val="009305B4"/>
    <w:rsid w:val="00930716"/>
    <w:rsid w:val="00930A37"/>
    <w:rsid w:val="00930D69"/>
    <w:rsid w:val="00930D95"/>
    <w:rsid w:val="00930EA9"/>
    <w:rsid w:val="00930EAF"/>
    <w:rsid w:val="009310BB"/>
    <w:rsid w:val="00931193"/>
    <w:rsid w:val="009311FC"/>
    <w:rsid w:val="009312BE"/>
    <w:rsid w:val="00931432"/>
    <w:rsid w:val="00931436"/>
    <w:rsid w:val="009317D8"/>
    <w:rsid w:val="00931B05"/>
    <w:rsid w:val="00932229"/>
    <w:rsid w:val="009323C2"/>
    <w:rsid w:val="0093270D"/>
    <w:rsid w:val="00932A78"/>
    <w:rsid w:val="00932CC9"/>
    <w:rsid w:val="0093316C"/>
    <w:rsid w:val="0093319E"/>
    <w:rsid w:val="009332B3"/>
    <w:rsid w:val="009332BD"/>
    <w:rsid w:val="009337FD"/>
    <w:rsid w:val="00933ADB"/>
    <w:rsid w:val="00933D25"/>
    <w:rsid w:val="00933F83"/>
    <w:rsid w:val="00934125"/>
    <w:rsid w:val="0093421E"/>
    <w:rsid w:val="009342DF"/>
    <w:rsid w:val="0093456D"/>
    <w:rsid w:val="0093481C"/>
    <w:rsid w:val="00934A3A"/>
    <w:rsid w:val="00935127"/>
    <w:rsid w:val="0093523C"/>
    <w:rsid w:val="009357DF"/>
    <w:rsid w:val="00935A55"/>
    <w:rsid w:val="00935AFD"/>
    <w:rsid w:val="00935E5E"/>
    <w:rsid w:val="0093651E"/>
    <w:rsid w:val="0093674D"/>
    <w:rsid w:val="00936C9E"/>
    <w:rsid w:val="00936CAA"/>
    <w:rsid w:val="009374DC"/>
    <w:rsid w:val="0093750C"/>
    <w:rsid w:val="009379BF"/>
    <w:rsid w:val="00937C5B"/>
    <w:rsid w:val="00937C74"/>
    <w:rsid w:val="00937C9D"/>
    <w:rsid w:val="00937D1C"/>
    <w:rsid w:val="00937F03"/>
    <w:rsid w:val="009401B7"/>
    <w:rsid w:val="00940243"/>
    <w:rsid w:val="009403C6"/>
    <w:rsid w:val="0094085E"/>
    <w:rsid w:val="00940B31"/>
    <w:rsid w:val="00940D28"/>
    <w:rsid w:val="0094101E"/>
    <w:rsid w:val="009410C8"/>
    <w:rsid w:val="00941360"/>
    <w:rsid w:val="00941BDE"/>
    <w:rsid w:val="00941C91"/>
    <w:rsid w:val="00941F1B"/>
    <w:rsid w:val="00942772"/>
    <w:rsid w:val="0094286E"/>
    <w:rsid w:val="00942AD7"/>
    <w:rsid w:val="00942C13"/>
    <w:rsid w:val="00942F7D"/>
    <w:rsid w:val="00942FA2"/>
    <w:rsid w:val="00943141"/>
    <w:rsid w:val="00943E1D"/>
    <w:rsid w:val="00943E41"/>
    <w:rsid w:val="00943EC9"/>
    <w:rsid w:val="0094435B"/>
    <w:rsid w:val="0094440F"/>
    <w:rsid w:val="00944482"/>
    <w:rsid w:val="009444E1"/>
    <w:rsid w:val="0094461E"/>
    <w:rsid w:val="00944732"/>
    <w:rsid w:val="00944CC8"/>
    <w:rsid w:val="00944DC0"/>
    <w:rsid w:val="00944DD5"/>
    <w:rsid w:val="00944E31"/>
    <w:rsid w:val="00944F02"/>
    <w:rsid w:val="0094500B"/>
    <w:rsid w:val="0094513F"/>
    <w:rsid w:val="00945477"/>
    <w:rsid w:val="00945537"/>
    <w:rsid w:val="0094561B"/>
    <w:rsid w:val="009458D3"/>
    <w:rsid w:val="009458F8"/>
    <w:rsid w:val="009459BC"/>
    <w:rsid w:val="00945ED5"/>
    <w:rsid w:val="00945F61"/>
    <w:rsid w:val="00945FDE"/>
    <w:rsid w:val="0094600F"/>
    <w:rsid w:val="009463CC"/>
    <w:rsid w:val="0094659B"/>
    <w:rsid w:val="009465D3"/>
    <w:rsid w:val="00946639"/>
    <w:rsid w:val="0094788C"/>
    <w:rsid w:val="00947AE6"/>
    <w:rsid w:val="00947BE8"/>
    <w:rsid w:val="00947C14"/>
    <w:rsid w:val="00947F6D"/>
    <w:rsid w:val="009501AC"/>
    <w:rsid w:val="00950466"/>
    <w:rsid w:val="0095047B"/>
    <w:rsid w:val="009506B6"/>
    <w:rsid w:val="0095078C"/>
    <w:rsid w:val="009508F5"/>
    <w:rsid w:val="00950CCE"/>
    <w:rsid w:val="00951274"/>
    <w:rsid w:val="00951382"/>
    <w:rsid w:val="00951543"/>
    <w:rsid w:val="0095163D"/>
    <w:rsid w:val="009516CA"/>
    <w:rsid w:val="00951AD9"/>
    <w:rsid w:val="00951AEF"/>
    <w:rsid w:val="00951E50"/>
    <w:rsid w:val="00951F51"/>
    <w:rsid w:val="009521F0"/>
    <w:rsid w:val="00952413"/>
    <w:rsid w:val="00952593"/>
    <w:rsid w:val="0095293F"/>
    <w:rsid w:val="00952962"/>
    <w:rsid w:val="00952A6B"/>
    <w:rsid w:val="00952F40"/>
    <w:rsid w:val="00952FC6"/>
    <w:rsid w:val="00953231"/>
    <w:rsid w:val="009534BB"/>
    <w:rsid w:val="00953717"/>
    <w:rsid w:val="009539AA"/>
    <w:rsid w:val="00953A12"/>
    <w:rsid w:val="00953C35"/>
    <w:rsid w:val="00953C91"/>
    <w:rsid w:val="00953D00"/>
    <w:rsid w:val="009540F0"/>
    <w:rsid w:val="009541E9"/>
    <w:rsid w:val="009545F9"/>
    <w:rsid w:val="00954ABC"/>
    <w:rsid w:val="00954F6E"/>
    <w:rsid w:val="00954FCF"/>
    <w:rsid w:val="009552C0"/>
    <w:rsid w:val="009555BD"/>
    <w:rsid w:val="009558B3"/>
    <w:rsid w:val="00955E16"/>
    <w:rsid w:val="00955F24"/>
    <w:rsid w:val="00956214"/>
    <w:rsid w:val="00956304"/>
    <w:rsid w:val="009563B6"/>
    <w:rsid w:val="00956593"/>
    <w:rsid w:val="0095672D"/>
    <w:rsid w:val="00956810"/>
    <w:rsid w:val="00956CB6"/>
    <w:rsid w:val="0095705C"/>
    <w:rsid w:val="009570C9"/>
    <w:rsid w:val="009571A1"/>
    <w:rsid w:val="009571F5"/>
    <w:rsid w:val="0095724F"/>
    <w:rsid w:val="009576E5"/>
    <w:rsid w:val="00957753"/>
    <w:rsid w:val="00957911"/>
    <w:rsid w:val="00957A7C"/>
    <w:rsid w:val="00957C77"/>
    <w:rsid w:val="00957E01"/>
    <w:rsid w:val="00957F46"/>
    <w:rsid w:val="00957FE9"/>
    <w:rsid w:val="0096028D"/>
    <w:rsid w:val="0096042D"/>
    <w:rsid w:val="00960544"/>
    <w:rsid w:val="0096067B"/>
    <w:rsid w:val="0096094A"/>
    <w:rsid w:val="00960991"/>
    <w:rsid w:val="00960A06"/>
    <w:rsid w:val="00960C2A"/>
    <w:rsid w:val="00960CB5"/>
    <w:rsid w:val="00961070"/>
    <w:rsid w:val="009611F0"/>
    <w:rsid w:val="00961534"/>
    <w:rsid w:val="009615F9"/>
    <w:rsid w:val="00961B49"/>
    <w:rsid w:val="00961B94"/>
    <w:rsid w:val="0096230E"/>
    <w:rsid w:val="00962AE1"/>
    <w:rsid w:val="00962FEF"/>
    <w:rsid w:val="00963238"/>
    <w:rsid w:val="009634A2"/>
    <w:rsid w:val="00963602"/>
    <w:rsid w:val="00963973"/>
    <w:rsid w:val="00963AD9"/>
    <w:rsid w:val="00963B26"/>
    <w:rsid w:val="00963DCC"/>
    <w:rsid w:val="00963DCD"/>
    <w:rsid w:val="00963DF7"/>
    <w:rsid w:val="00963EE0"/>
    <w:rsid w:val="00963EFE"/>
    <w:rsid w:val="009640FB"/>
    <w:rsid w:val="00964204"/>
    <w:rsid w:val="00964301"/>
    <w:rsid w:val="00964336"/>
    <w:rsid w:val="00964587"/>
    <w:rsid w:val="009647D1"/>
    <w:rsid w:val="0096493C"/>
    <w:rsid w:val="00964D99"/>
    <w:rsid w:val="00964F2F"/>
    <w:rsid w:val="00964F46"/>
    <w:rsid w:val="00965382"/>
    <w:rsid w:val="00965423"/>
    <w:rsid w:val="00965479"/>
    <w:rsid w:val="00965D0E"/>
    <w:rsid w:val="00966059"/>
    <w:rsid w:val="00966181"/>
    <w:rsid w:val="009661EC"/>
    <w:rsid w:val="00966339"/>
    <w:rsid w:val="00966404"/>
    <w:rsid w:val="0096683A"/>
    <w:rsid w:val="00966B0F"/>
    <w:rsid w:val="00966D46"/>
    <w:rsid w:val="00966EE0"/>
    <w:rsid w:val="00966FE4"/>
    <w:rsid w:val="00967192"/>
    <w:rsid w:val="009674F9"/>
    <w:rsid w:val="00967C22"/>
    <w:rsid w:val="00967CD1"/>
    <w:rsid w:val="00967E4B"/>
    <w:rsid w:val="00970062"/>
    <w:rsid w:val="00970088"/>
    <w:rsid w:val="009702D2"/>
    <w:rsid w:val="00970698"/>
    <w:rsid w:val="009706B4"/>
    <w:rsid w:val="0097095C"/>
    <w:rsid w:val="00970A0B"/>
    <w:rsid w:val="00970BB9"/>
    <w:rsid w:val="00970CF5"/>
    <w:rsid w:val="00970DAC"/>
    <w:rsid w:val="009711A5"/>
    <w:rsid w:val="00971227"/>
    <w:rsid w:val="009712B6"/>
    <w:rsid w:val="009713E7"/>
    <w:rsid w:val="009717F6"/>
    <w:rsid w:val="00971B69"/>
    <w:rsid w:val="009721B8"/>
    <w:rsid w:val="009728DA"/>
    <w:rsid w:val="00972A00"/>
    <w:rsid w:val="00972F37"/>
    <w:rsid w:val="00973114"/>
    <w:rsid w:val="00973956"/>
    <w:rsid w:val="00973CBA"/>
    <w:rsid w:val="0097400D"/>
    <w:rsid w:val="0097438B"/>
    <w:rsid w:val="009746A9"/>
    <w:rsid w:val="009747F7"/>
    <w:rsid w:val="00974B2B"/>
    <w:rsid w:val="00974C61"/>
    <w:rsid w:val="0097502F"/>
    <w:rsid w:val="00975139"/>
    <w:rsid w:val="0097521C"/>
    <w:rsid w:val="00975643"/>
    <w:rsid w:val="009758D3"/>
    <w:rsid w:val="00976149"/>
    <w:rsid w:val="009762A8"/>
    <w:rsid w:val="009764EF"/>
    <w:rsid w:val="00976653"/>
    <w:rsid w:val="0097699E"/>
    <w:rsid w:val="00976AFF"/>
    <w:rsid w:val="00976F55"/>
    <w:rsid w:val="00977A80"/>
    <w:rsid w:val="00977C55"/>
    <w:rsid w:val="00980099"/>
    <w:rsid w:val="00980503"/>
    <w:rsid w:val="00980859"/>
    <w:rsid w:val="00980D30"/>
    <w:rsid w:val="00980DC7"/>
    <w:rsid w:val="00981081"/>
    <w:rsid w:val="009812D0"/>
    <w:rsid w:val="009812DD"/>
    <w:rsid w:val="00981637"/>
    <w:rsid w:val="009816BD"/>
    <w:rsid w:val="009818A8"/>
    <w:rsid w:val="00981BFD"/>
    <w:rsid w:val="00981C5C"/>
    <w:rsid w:val="009821CA"/>
    <w:rsid w:val="009825F6"/>
    <w:rsid w:val="00982875"/>
    <w:rsid w:val="0098292B"/>
    <w:rsid w:val="00982D0D"/>
    <w:rsid w:val="00982D6F"/>
    <w:rsid w:val="00982DA6"/>
    <w:rsid w:val="00982E77"/>
    <w:rsid w:val="00983067"/>
    <w:rsid w:val="009831A8"/>
    <w:rsid w:val="0098327F"/>
    <w:rsid w:val="00983547"/>
    <w:rsid w:val="00983673"/>
    <w:rsid w:val="00983792"/>
    <w:rsid w:val="009838EC"/>
    <w:rsid w:val="00983D41"/>
    <w:rsid w:val="00983F12"/>
    <w:rsid w:val="00983F34"/>
    <w:rsid w:val="009840FD"/>
    <w:rsid w:val="009847C6"/>
    <w:rsid w:val="00984BE1"/>
    <w:rsid w:val="00984CE3"/>
    <w:rsid w:val="00984E60"/>
    <w:rsid w:val="00985054"/>
    <w:rsid w:val="009855F2"/>
    <w:rsid w:val="00985AD9"/>
    <w:rsid w:val="00985B03"/>
    <w:rsid w:val="00985E99"/>
    <w:rsid w:val="00985F96"/>
    <w:rsid w:val="00985FA6"/>
    <w:rsid w:val="00986266"/>
    <w:rsid w:val="00986688"/>
    <w:rsid w:val="00986772"/>
    <w:rsid w:val="00986BE7"/>
    <w:rsid w:val="00986C0D"/>
    <w:rsid w:val="00986C2C"/>
    <w:rsid w:val="00986CBF"/>
    <w:rsid w:val="00986E02"/>
    <w:rsid w:val="009872E4"/>
    <w:rsid w:val="0098770B"/>
    <w:rsid w:val="009877FA"/>
    <w:rsid w:val="00987827"/>
    <w:rsid w:val="009878D4"/>
    <w:rsid w:val="00987A3D"/>
    <w:rsid w:val="00987CA4"/>
    <w:rsid w:val="00987D67"/>
    <w:rsid w:val="00987F38"/>
    <w:rsid w:val="00987F48"/>
    <w:rsid w:val="00990076"/>
    <w:rsid w:val="00990292"/>
    <w:rsid w:val="0099029A"/>
    <w:rsid w:val="00990848"/>
    <w:rsid w:val="00991252"/>
    <w:rsid w:val="00991270"/>
    <w:rsid w:val="0099131F"/>
    <w:rsid w:val="00991554"/>
    <w:rsid w:val="009916EE"/>
    <w:rsid w:val="00991834"/>
    <w:rsid w:val="0099194A"/>
    <w:rsid w:val="00991D05"/>
    <w:rsid w:val="0099273F"/>
    <w:rsid w:val="009928E9"/>
    <w:rsid w:val="00992A4E"/>
    <w:rsid w:val="00992CEB"/>
    <w:rsid w:val="00992D97"/>
    <w:rsid w:val="00992EC3"/>
    <w:rsid w:val="00992F07"/>
    <w:rsid w:val="00993142"/>
    <w:rsid w:val="0099355D"/>
    <w:rsid w:val="00993B50"/>
    <w:rsid w:val="00993D41"/>
    <w:rsid w:val="00993E0C"/>
    <w:rsid w:val="00993E2B"/>
    <w:rsid w:val="00993FCE"/>
    <w:rsid w:val="0099421A"/>
    <w:rsid w:val="0099430B"/>
    <w:rsid w:val="00994597"/>
    <w:rsid w:val="00994741"/>
    <w:rsid w:val="009947D0"/>
    <w:rsid w:val="00994C7C"/>
    <w:rsid w:val="00994CE4"/>
    <w:rsid w:val="00994EA4"/>
    <w:rsid w:val="00995137"/>
    <w:rsid w:val="00995273"/>
    <w:rsid w:val="00995389"/>
    <w:rsid w:val="00995483"/>
    <w:rsid w:val="009954F7"/>
    <w:rsid w:val="00995596"/>
    <w:rsid w:val="009955F5"/>
    <w:rsid w:val="009956B7"/>
    <w:rsid w:val="009956B8"/>
    <w:rsid w:val="009959BC"/>
    <w:rsid w:val="00995A91"/>
    <w:rsid w:val="00995CB5"/>
    <w:rsid w:val="00995CB9"/>
    <w:rsid w:val="00995FDE"/>
    <w:rsid w:val="00996233"/>
    <w:rsid w:val="0099631B"/>
    <w:rsid w:val="009964F4"/>
    <w:rsid w:val="00996511"/>
    <w:rsid w:val="00996564"/>
    <w:rsid w:val="00996695"/>
    <w:rsid w:val="0099688F"/>
    <w:rsid w:val="00996890"/>
    <w:rsid w:val="00996A61"/>
    <w:rsid w:val="00996D30"/>
    <w:rsid w:val="00996F32"/>
    <w:rsid w:val="0099720C"/>
    <w:rsid w:val="0099721E"/>
    <w:rsid w:val="009972DE"/>
    <w:rsid w:val="00997480"/>
    <w:rsid w:val="00997653"/>
    <w:rsid w:val="00997D3D"/>
    <w:rsid w:val="009A0193"/>
    <w:rsid w:val="009A0254"/>
    <w:rsid w:val="009A041B"/>
    <w:rsid w:val="009A06E3"/>
    <w:rsid w:val="009A0804"/>
    <w:rsid w:val="009A086D"/>
    <w:rsid w:val="009A0885"/>
    <w:rsid w:val="009A093C"/>
    <w:rsid w:val="009A0AC3"/>
    <w:rsid w:val="009A0B36"/>
    <w:rsid w:val="009A114C"/>
    <w:rsid w:val="009A11ED"/>
    <w:rsid w:val="009A14A4"/>
    <w:rsid w:val="009A16A8"/>
    <w:rsid w:val="009A1754"/>
    <w:rsid w:val="009A18A8"/>
    <w:rsid w:val="009A1A90"/>
    <w:rsid w:val="009A1AAA"/>
    <w:rsid w:val="009A1F62"/>
    <w:rsid w:val="009A1FB5"/>
    <w:rsid w:val="009A2567"/>
    <w:rsid w:val="009A2596"/>
    <w:rsid w:val="009A290F"/>
    <w:rsid w:val="009A29B6"/>
    <w:rsid w:val="009A2B7B"/>
    <w:rsid w:val="009A2D31"/>
    <w:rsid w:val="009A3034"/>
    <w:rsid w:val="009A33F0"/>
    <w:rsid w:val="009A35BE"/>
    <w:rsid w:val="009A36C4"/>
    <w:rsid w:val="009A3733"/>
    <w:rsid w:val="009A38B4"/>
    <w:rsid w:val="009A3A71"/>
    <w:rsid w:val="009A3B4C"/>
    <w:rsid w:val="009A3B6E"/>
    <w:rsid w:val="009A3C6E"/>
    <w:rsid w:val="009A4102"/>
    <w:rsid w:val="009A420D"/>
    <w:rsid w:val="009A431C"/>
    <w:rsid w:val="009A4376"/>
    <w:rsid w:val="009A453D"/>
    <w:rsid w:val="009A45A8"/>
    <w:rsid w:val="009A4780"/>
    <w:rsid w:val="009A4929"/>
    <w:rsid w:val="009A4AFA"/>
    <w:rsid w:val="009A52C9"/>
    <w:rsid w:val="009A5950"/>
    <w:rsid w:val="009A5975"/>
    <w:rsid w:val="009A5B4F"/>
    <w:rsid w:val="009A5B78"/>
    <w:rsid w:val="009A5DCB"/>
    <w:rsid w:val="009A6028"/>
    <w:rsid w:val="009A6247"/>
    <w:rsid w:val="009A6333"/>
    <w:rsid w:val="009A6A30"/>
    <w:rsid w:val="009A6A51"/>
    <w:rsid w:val="009A6B34"/>
    <w:rsid w:val="009A6CBB"/>
    <w:rsid w:val="009A6CF7"/>
    <w:rsid w:val="009A6D3F"/>
    <w:rsid w:val="009A6ED3"/>
    <w:rsid w:val="009A6F1A"/>
    <w:rsid w:val="009A7190"/>
    <w:rsid w:val="009A781E"/>
    <w:rsid w:val="009A7C15"/>
    <w:rsid w:val="009A7E9D"/>
    <w:rsid w:val="009B0D01"/>
    <w:rsid w:val="009B0D16"/>
    <w:rsid w:val="009B0F87"/>
    <w:rsid w:val="009B1368"/>
    <w:rsid w:val="009B141B"/>
    <w:rsid w:val="009B1543"/>
    <w:rsid w:val="009B15CB"/>
    <w:rsid w:val="009B1714"/>
    <w:rsid w:val="009B1B60"/>
    <w:rsid w:val="009B269E"/>
    <w:rsid w:val="009B270A"/>
    <w:rsid w:val="009B2B56"/>
    <w:rsid w:val="009B2B62"/>
    <w:rsid w:val="009B2DED"/>
    <w:rsid w:val="009B2EBD"/>
    <w:rsid w:val="009B2EC0"/>
    <w:rsid w:val="009B3263"/>
    <w:rsid w:val="009B347C"/>
    <w:rsid w:val="009B3B9E"/>
    <w:rsid w:val="009B3E42"/>
    <w:rsid w:val="009B3E4C"/>
    <w:rsid w:val="009B3FD8"/>
    <w:rsid w:val="009B41D1"/>
    <w:rsid w:val="009B4361"/>
    <w:rsid w:val="009B44D5"/>
    <w:rsid w:val="009B45F3"/>
    <w:rsid w:val="009B49BD"/>
    <w:rsid w:val="009B4BCE"/>
    <w:rsid w:val="009B4C4D"/>
    <w:rsid w:val="009B4CFA"/>
    <w:rsid w:val="009B4D3B"/>
    <w:rsid w:val="009B4E53"/>
    <w:rsid w:val="009B4F0B"/>
    <w:rsid w:val="009B4F86"/>
    <w:rsid w:val="009B537E"/>
    <w:rsid w:val="009B53B5"/>
    <w:rsid w:val="009B5727"/>
    <w:rsid w:val="009B5A54"/>
    <w:rsid w:val="009B5C3D"/>
    <w:rsid w:val="009B65E4"/>
    <w:rsid w:val="009B6D36"/>
    <w:rsid w:val="009B6EDF"/>
    <w:rsid w:val="009B7105"/>
    <w:rsid w:val="009B710F"/>
    <w:rsid w:val="009B7130"/>
    <w:rsid w:val="009B719B"/>
    <w:rsid w:val="009B7503"/>
    <w:rsid w:val="009B7676"/>
    <w:rsid w:val="009B7DCB"/>
    <w:rsid w:val="009C00B5"/>
    <w:rsid w:val="009C01AF"/>
    <w:rsid w:val="009C05CD"/>
    <w:rsid w:val="009C08A6"/>
    <w:rsid w:val="009C0958"/>
    <w:rsid w:val="009C0A6D"/>
    <w:rsid w:val="009C0A9D"/>
    <w:rsid w:val="009C0C5E"/>
    <w:rsid w:val="009C1150"/>
    <w:rsid w:val="009C12C5"/>
    <w:rsid w:val="009C135C"/>
    <w:rsid w:val="009C1672"/>
    <w:rsid w:val="009C1821"/>
    <w:rsid w:val="009C18BB"/>
    <w:rsid w:val="009C1A7F"/>
    <w:rsid w:val="009C1C9A"/>
    <w:rsid w:val="009C2327"/>
    <w:rsid w:val="009C2676"/>
    <w:rsid w:val="009C2932"/>
    <w:rsid w:val="009C2B74"/>
    <w:rsid w:val="009C300B"/>
    <w:rsid w:val="009C34E7"/>
    <w:rsid w:val="009C3856"/>
    <w:rsid w:val="009C3C06"/>
    <w:rsid w:val="009C3D11"/>
    <w:rsid w:val="009C3E73"/>
    <w:rsid w:val="009C3F0A"/>
    <w:rsid w:val="009C3FCF"/>
    <w:rsid w:val="009C45C4"/>
    <w:rsid w:val="009C4FE8"/>
    <w:rsid w:val="009C50EF"/>
    <w:rsid w:val="009C53DC"/>
    <w:rsid w:val="009C545B"/>
    <w:rsid w:val="009C559B"/>
    <w:rsid w:val="009C5758"/>
    <w:rsid w:val="009C5809"/>
    <w:rsid w:val="009C5896"/>
    <w:rsid w:val="009C589B"/>
    <w:rsid w:val="009C59BC"/>
    <w:rsid w:val="009C5EBD"/>
    <w:rsid w:val="009C5F54"/>
    <w:rsid w:val="009C601B"/>
    <w:rsid w:val="009C611E"/>
    <w:rsid w:val="009C6313"/>
    <w:rsid w:val="009C63B6"/>
    <w:rsid w:val="009C67D6"/>
    <w:rsid w:val="009C6D3C"/>
    <w:rsid w:val="009C6DB8"/>
    <w:rsid w:val="009C6E31"/>
    <w:rsid w:val="009C7051"/>
    <w:rsid w:val="009C7298"/>
    <w:rsid w:val="009C72E1"/>
    <w:rsid w:val="009C741D"/>
    <w:rsid w:val="009C7BD4"/>
    <w:rsid w:val="009C7E18"/>
    <w:rsid w:val="009C7F87"/>
    <w:rsid w:val="009D0005"/>
    <w:rsid w:val="009D01FB"/>
    <w:rsid w:val="009D027E"/>
    <w:rsid w:val="009D051A"/>
    <w:rsid w:val="009D0B12"/>
    <w:rsid w:val="009D0F34"/>
    <w:rsid w:val="009D11F8"/>
    <w:rsid w:val="009D122C"/>
    <w:rsid w:val="009D132B"/>
    <w:rsid w:val="009D1433"/>
    <w:rsid w:val="009D176E"/>
    <w:rsid w:val="009D1969"/>
    <w:rsid w:val="009D1F57"/>
    <w:rsid w:val="009D2187"/>
    <w:rsid w:val="009D21C6"/>
    <w:rsid w:val="009D279E"/>
    <w:rsid w:val="009D2A7F"/>
    <w:rsid w:val="009D2B0A"/>
    <w:rsid w:val="009D2B17"/>
    <w:rsid w:val="009D2E10"/>
    <w:rsid w:val="009D2F39"/>
    <w:rsid w:val="009D30F7"/>
    <w:rsid w:val="009D31DC"/>
    <w:rsid w:val="009D3347"/>
    <w:rsid w:val="009D347E"/>
    <w:rsid w:val="009D35AF"/>
    <w:rsid w:val="009D36FB"/>
    <w:rsid w:val="009D3B9B"/>
    <w:rsid w:val="009D3BC2"/>
    <w:rsid w:val="009D3CD3"/>
    <w:rsid w:val="009D40C5"/>
    <w:rsid w:val="009D40EC"/>
    <w:rsid w:val="009D417B"/>
    <w:rsid w:val="009D4200"/>
    <w:rsid w:val="009D4283"/>
    <w:rsid w:val="009D463C"/>
    <w:rsid w:val="009D479C"/>
    <w:rsid w:val="009D47D0"/>
    <w:rsid w:val="009D48A0"/>
    <w:rsid w:val="009D48BB"/>
    <w:rsid w:val="009D4A49"/>
    <w:rsid w:val="009D4AB2"/>
    <w:rsid w:val="009D4DBB"/>
    <w:rsid w:val="009D5252"/>
    <w:rsid w:val="009D52C4"/>
    <w:rsid w:val="009D5421"/>
    <w:rsid w:val="009D6108"/>
    <w:rsid w:val="009D6B69"/>
    <w:rsid w:val="009D6B91"/>
    <w:rsid w:val="009D6FD3"/>
    <w:rsid w:val="009D6FDB"/>
    <w:rsid w:val="009D72D9"/>
    <w:rsid w:val="009D74D3"/>
    <w:rsid w:val="009D7AC5"/>
    <w:rsid w:val="009D7DE8"/>
    <w:rsid w:val="009D7E82"/>
    <w:rsid w:val="009D7ECB"/>
    <w:rsid w:val="009E005D"/>
    <w:rsid w:val="009E04C4"/>
    <w:rsid w:val="009E04C9"/>
    <w:rsid w:val="009E0C5B"/>
    <w:rsid w:val="009E1170"/>
    <w:rsid w:val="009E1312"/>
    <w:rsid w:val="009E13B7"/>
    <w:rsid w:val="009E14C3"/>
    <w:rsid w:val="009E16B8"/>
    <w:rsid w:val="009E177E"/>
    <w:rsid w:val="009E1786"/>
    <w:rsid w:val="009E1A61"/>
    <w:rsid w:val="009E1C0E"/>
    <w:rsid w:val="009E1E5F"/>
    <w:rsid w:val="009E230D"/>
    <w:rsid w:val="009E2414"/>
    <w:rsid w:val="009E2471"/>
    <w:rsid w:val="009E2599"/>
    <w:rsid w:val="009E2648"/>
    <w:rsid w:val="009E2BDB"/>
    <w:rsid w:val="009E2F29"/>
    <w:rsid w:val="009E2F5B"/>
    <w:rsid w:val="009E3106"/>
    <w:rsid w:val="009E3202"/>
    <w:rsid w:val="009E34A2"/>
    <w:rsid w:val="009E36D1"/>
    <w:rsid w:val="009E36FA"/>
    <w:rsid w:val="009E38DF"/>
    <w:rsid w:val="009E38F8"/>
    <w:rsid w:val="009E39AC"/>
    <w:rsid w:val="009E3A18"/>
    <w:rsid w:val="009E3ABE"/>
    <w:rsid w:val="009E3BF2"/>
    <w:rsid w:val="009E3C20"/>
    <w:rsid w:val="009E3C40"/>
    <w:rsid w:val="009E3C54"/>
    <w:rsid w:val="009E3DA9"/>
    <w:rsid w:val="009E4189"/>
    <w:rsid w:val="009E443B"/>
    <w:rsid w:val="009E46EA"/>
    <w:rsid w:val="009E4852"/>
    <w:rsid w:val="009E4914"/>
    <w:rsid w:val="009E49BE"/>
    <w:rsid w:val="009E4D00"/>
    <w:rsid w:val="009E4D6E"/>
    <w:rsid w:val="009E4E58"/>
    <w:rsid w:val="009E4FFE"/>
    <w:rsid w:val="009E5028"/>
    <w:rsid w:val="009E50C1"/>
    <w:rsid w:val="009E5132"/>
    <w:rsid w:val="009E51C4"/>
    <w:rsid w:val="009E52E2"/>
    <w:rsid w:val="009E538F"/>
    <w:rsid w:val="009E53C1"/>
    <w:rsid w:val="009E57F0"/>
    <w:rsid w:val="009E5E9F"/>
    <w:rsid w:val="009E62B1"/>
    <w:rsid w:val="009E658B"/>
    <w:rsid w:val="009E659F"/>
    <w:rsid w:val="009E664E"/>
    <w:rsid w:val="009E668E"/>
    <w:rsid w:val="009E683F"/>
    <w:rsid w:val="009E6DB9"/>
    <w:rsid w:val="009E6F3B"/>
    <w:rsid w:val="009E7373"/>
    <w:rsid w:val="009E73B1"/>
    <w:rsid w:val="009E744E"/>
    <w:rsid w:val="009E7535"/>
    <w:rsid w:val="009E76E1"/>
    <w:rsid w:val="009E7977"/>
    <w:rsid w:val="009E7AEB"/>
    <w:rsid w:val="009F026E"/>
    <w:rsid w:val="009F02C9"/>
    <w:rsid w:val="009F035E"/>
    <w:rsid w:val="009F0460"/>
    <w:rsid w:val="009F063B"/>
    <w:rsid w:val="009F08A8"/>
    <w:rsid w:val="009F09D0"/>
    <w:rsid w:val="009F0FF8"/>
    <w:rsid w:val="009F11C9"/>
    <w:rsid w:val="009F1366"/>
    <w:rsid w:val="009F1434"/>
    <w:rsid w:val="009F157A"/>
    <w:rsid w:val="009F17CA"/>
    <w:rsid w:val="009F1832"/>
    <w:rsid w:val="009F1C87"/>
    <w:rsid w:val="009F1E63"/>
    <w:rsid w:val="009F207E"/>
    <w:rsid w:val="009F2644"/>
    <w:rsid w:val="009F2A67"/>
    <w:rsid w:val="009F2B9A"/>
    <w:rsid w:val="009F2BDA"/>
    <w:rsid w:val="009F2E75"/>
    <w:rsid w:val="009F2E7D"/>
    <w:rsid w:val="009F31B9"/>
    <w:rsid w:val="009F3283"/>
    <w:rsid w:val="009F39CB"/>
    <w:rsid w:val="009F3A75"/>
    <w:rsid w:val="009F3E44"/>
    <w:rsid w:val="009F3F53"/>
    <w:rsid w:val="009F42AA"/>
    <w:rsid w:val="009F4503"/>
    <w:rsid w:val="009F47B5"/>
    <w:rsid w:val="009F494D"/>
    <w:rsid w:val="009F4D29"/>
    <w:rsid w:val="009F4F92"/>
    <w:rsid w:val="009F4FB7"/>
    <w:rsid w:val="009F50FF"/>
    <w:rsid w:val="009F60CF"/>
    <w:rsid w:val="009F61C7"/>
    <w:rsid w:val="009F61D8"/>
    <w:rsid w:val="009F641D"/>
    <w:rsid w:val="009F6461"/>
    <w:rsid w:val="009F6500"/>
    <w:rsid w:val="009F65A7"/>
    <w:rsid w:val="009F66D8"/>
    <w:rsid w:val="009F6747"/>
    <w:rsid w:val="009F678C"/>
    <w:rsid w:val="009F679F"/>
    <w:rsid w:val="009F67A8"/>
    <w:rsid w:val="009F6B8C"/>
    <w:rsid w:val="009F70A1"/>
    <w:rsid w:val="009F7122"/>
    <w:rsid w:val="009F7138"/>
    <w:rsid w:val="009F7167"/>
    <w:rsid w:val="009F71D9"/>
    <w:rsid w:val="009F7259"/>
    <w:rsid w:val="009F783B"/>
    <w:rsid w:val="009F7A1A"/>
    <w:rsid w:val="009F7DE5"/>
    <w:rsid w:val="00A001F2"/>
    <w:rsid w:val="00A003D7"/>
    <w:rsid w:val="00A004F5"/>
    <w:rsid w:val="00A006E9"/>
    <w:rsid w:val="00A007B8"/>
    <w:rsid w:val="00A00853"/>
    <w:rsid w:val="00A008F7"/>
    <w:rsid w:val="00A009B8"/>
    <w:rsid w:val="00A00F15"/>
    <w:rsid w:val="00A013BD"/>
    <w:rsid w:val="00A013F0"/>
    <w:rsid w:val="00A017D7"/>
    <w:rsid w:val="00A01906"/>
    <w:rsid w:val="00A01A72"/>
    <w:rsid w:val="00A01C6E"/>
    <w:rsid w:val="00A01EF1"/>
    <w:rsid w:val="00A01F25"/>
    <w:rsid w:val="00A0224F"/>
    <w:rsid w:val="00A023A3"/>
    <w:rsid w:val="00A02544"/>
    <w:rsid w:val="00A02634"/>
    <w:rsid w:val="00A0268B"/>
    <w:rsid w:val="00A02768"/>
    <w:rsid w:val="00A02792"/>
    <w:rsid w:val="00A027FF"/>
    <w:rsid w:val="00A02DD5"/>
    <w:rsid w:val="00A03245"/>
    <w:rsid w:val="00A03489"/>
    <w:rsid w:val="00A03564"/>
    <w:rsid w:val="00A036DB"/>
    <w:rsid w:val="00A03B51"/>
    <w:rsid w:val="00A04161"/>
    <w:rsid w:val="00A04618"/>
    <w:rsid w:val="00A04940"/>
    <w:rsid w:val="00A049FA"/>
    <w:rsid w:val="00A04AE2"/>
    <w:rsid w:val="00A04CF5"/>
    <w:rsid w:val="00A05067"/>
    <w:rsid w:val="00A05203"/>
    <w:rsid w:val="00A052E1"/>
    <w:rsid w:val="00A05631"/>
    <w:rsid w:val="00A0595A"/>
    <w:rsid w:val="00A05B7D"/>
    <w:rsid w:val="00A05CEF"/>
    <w:rsid w:val="00A060E7"/>
    <w:rsid w:val="00A06103"/>
    <w:rsid w:val="00A0614C"/>
    <w:rsid w:val="00A06802"/>
    <w:rsid w:val="00A0681F"/>
    <w:rsid w:val="00A06AB3"/>
    <w:rsid w:val="00A06B2F"/>
    <w:rsid w:val="00A06ED5"/>
    <w:rsid w:val="00A06FA7"/>
    <w:rsid w:val="00A071D1"/>
    <w:rsid w:val="00A074A7"/>
    <w:rsid w:val="00A074DF"/>
    <w:rsid w:val="00A07749"/>
    <w:rsid w:val="00A07925"/>
    <w:rsid w:val="00A07CE2"/>
    <w:rsid w:val="00A07DA4"/>
    <w:rsid w:val="00A07E3A"/>
    <w:rsid w:val="00A10490"/>
    <w:rsid w:val="00A10720"/>
    <w:rsid w:val="00A1094F"/>
    <w:rsid w:val="00A10A8E"/>
    <w:rsid w:val="00A10F56"/>
    <w:rsid w:val="00A110CB"/>
    <w:rsid w:val="00A1113F"/>
    <w:rsid w:val="00A112CA"/>
    <w:rsid w:val="00A11683"/>
    <w:rsid w:val="00A11776"/>
    <w:rsid w:val="00A11853"/>
    <w:rsid w:val="00A11A59"/>
    <w:rsid w:val="00A122D6"/>
    <w:rsid w:val="00A12373"/>
    <w:rsid w:val="00A12374"/>
    <w:rsid w:val="00A125AD"/>
    <w:rsid w:val="00A126AC"/>
    <w:rsid w:val="00A12F6A"/>
    <w:rsid w:val="00A131AC"/>
    <w:rsid w:val="00A13BFB"/>
    <w:rsid w:val="00A13D2A"/>
    <w:rsid w:val="00A140C3"/>
    <w:rsid w:val="00A14466"/>
    <w:rsid w:val="00A148DE"/>
    <w:rsid w:val="00A14927"/>
    <w:rsid w:val="00A14930"/>
    <w:rsid w:val="00A14AD2"/>
    <w:rsid w:val="00A14AE1"/>
    <w:rsid w:val="00A1502C"/>
    <w:rsid w:val="00A15411"/>
    <w:rsid w:val="00A15412"/>
    <w:rsid w:val="00A15447"/>
    <w:rsid w:val="00A156BC"/>
    <w:rsid w:val="00A1572F"/>
    <w:rsid w:val="00A15778"/>
    <w:rsid w:val="00A15BCE"/>
    <w:rsid w:val="00A15FD6"/>
    <w:rsid w:val="00A1619C"/>
    <w:rsid w:val="00A16243"/>
    <w:rsid w:val="00A16261"/>
    <w:rsid w:val="00A16339"/>
    <w:rsid w:val="00A16821"/>
    <w:rsid w:val="00A16DE7"/>
    <w:rsid w:val="00A16EA3"/>
    <w:rsid w:val="00A171F0"/>
    <w:rsid w:val="00A1723F"/>
    <w:rsid w:val="00A172E6"/>
    <w:rsid w:val="00A17403"/>
    <w:rsid w:val="00A174A6"/>
    <w:rsid w:val="00A1755A"/>
    <w:rsid w:val="00A178F9"/>
    <w:rsid w:val="00A17A9C"/>
    <w:rsid w:val="00A17D61"/>
    <w:rsid w:val="00A17E96"/>
    <w:rsid w:val="00A17FBF"/>
    <w:rsid w:val="00A20902"/>
    <w:rsid w:val="00A20D51"/>
    <w:rsid w:val="00A20DAF"/>
    <w:rsid w:val="00A210BC"/>
    <w:rsid w:val="00A212C4"/>
    <w:rsid w:val="00A212D4"/>
    <w:rsid w:val="00A214D9"/>
    <w:rsid w:val="00A2163D"/>
    <w:rsid w:val="00A21660"/>
    <w:rsid w:val="00A217BC"/>
    <w:rsid w:val="00A218A4"/>
    <w:rsid w:val="00A21CC0"/>
    <w:rsid w:val="00A21FF6"/>
    <w:rsid w:val="00A221E6"/>
    <w:rsid w:val="00A2238E"/>
    <w:rsid w:val="00A224F5"/>
    <w:rsid w:val="00A22926"/>
    <w:rsid w:val="00A22A02"/>
    <w:rsid w:val="00A22BCE"/>
    <w:rsid w:val="00A22CD2"/>
    <w:rsid w:val="00A23624"/>
    <w:rsid w:val="00A238F6"/>
    <w:rsid w:val="00A2396D"/>
    <w:rsid w:val="00A23B30"/>
    <w:rsid w:val="00A23B5C"/>
    <w:rsid w:val="00A2400C"/>
    <w:rsid w:val="00A24088"/>
    <w:rsid w:val="00A2437A"/>
    <w:rsid w:val="00A24610"/>
    <w:rsid w:val="00A246AC"/>
    <w:rsid w:val="00A24728"/>
    <w:rsid w:val="00A24844"/>
    <w:rsid w:val="00A24A0E"/>
    <w:rsid w:val="00A24A6E"/>
    <w:rsid w:val="00A24D63"/>
    <w:rsid w:val="00A25041"/>
    <w:rsid w:val="00A2508B"/>
    <w:rsid w:val="00A254F6"/>
    <w:rsid w:val="00A25549"/>
    <w:rsid w:val="00A25676"/>
    <w:rsid w:val="00A25837"/>
    <w:rsid w:val="00A2584A"/>
    <w:rsid w:val="00A25868"/>
    <w:rsid w:val="00A258BB"/>
    <w:rsid w:val="00A26175"/>
    <w:rsid w:val="00A263CC"/>
    <w:rsid w:val="00A26AB4"/>
    <w:rsid w:val="00A26B8C"/>
    <w:rsid w:val="00A26C43"/>
    <w:rsid w:val="00A26EA3"/>
    <w:rsid w:val="00A27308"/>
    <w:rsid w:val="00A2749B"/>
    <w:rsid w:val="00A27539"/>
    <w:rsid w:val="00A27A7B"/>
    <w:rsid w:val="00A27BBA"/>
    <w:rsid w:val="00A27D2D"/>
    <w:rsid w:val="00A27D9F"/>
    <w:rsid w:val="00A30EDA"/>
    <w:rsid w:val="00A310AF"/>
    <w:rsid w:val="00A311F7"/>
    <w:rsid w:val="00A318A8"/>
    <w:rsid w:val="00A31A11"/>
    <w:rsid w:val="00A31A6E"/>
    <w:rsid w:val="00A31EA9"/>
    <w:rsid w:val="00A32011"/>
    <w:rsid w:val="00A320E5"/>
    <w:rsid w:val="00A323DC"/>
    <w:rsid w:val="00A32E5B"/>
    <w:rsid w:val="00A32FE6"/>
    <w:rsid w:val="00A3308E"/>
    <w:rsid w:val="00A33417"/>
    <w:rsid w:val="00A33425"/>
    <w:rsid w:val="00A33538"/>
    <w:rsid w:val="00A33FCC"/>
    <w:rsid w:val="00A3431B"/>
    <w:rsid w:val="00A34369"/>
    <w:rsid w:val="00A34782"/>
    <w:rsid w:val="00A34854"/>
    <w:rsid w:val="00A34D14"/>
    <w:rsid w:val="00A34D6F"/>
    <w:rsid w:val="00A34DC6"/>
    <w:rsid w:val="00A34FB8"/>
    <w:rsid w:val="00A351EB"/>
    <w:rsid w:val="00A35287"/>
    <w:rsid w:val="00A35625"/>
    <w:rsid w:val="00A36003"/>
    <w:rsid w:val="00A36096"/>
    <w:rsid w:val="00A36221"/>
    <w:rsid w:val="00A3627C"/>
    <w:rsid w:val="00A36339"/>
    <w:rsid w:val="00A36429"/>
    <w:rsid w:val="00A36816"/>
    <w:rsid w:val="00A36941"/>
    <w:rsid w:val="00A36C60"/>
    <w:rsid w:val="00A36D10"/>
    <w:rsid w:val="00A36D43"/>
    <w:rsid w:val="00A36D45"/>
    <w:rsid w:val="00A36EBF"/>
    <w:rsid w:val="00A36F51"/>
    <w:rsid w:val="00A3708D"/>
    <w:rsid w:val="00A370AC"/>
    <w:rsid w:val="00A372BD"/>
    <w:rsid w:val="00A372F0"/>
    <w:rsid w:val="00A37354"/>
    <w:rsid w:val="00A373F5"/>
    <w:rsid w:val="00A37546"/>
    <w:rsid w:val="00A3792B"/>
    <w:rsid w:val="00A4006A"/>
    <w:rsid w:val="00A401D2"/>
    <w:rsid w:val="00A402C6"/>
    <w:rsid w:val="00A404FD"/>
    <w:rsid w:val="00A40735"/>
    <w:rsid w:val="00A40867"/>
    <w:rsid w:val="00A40AE5"/>
    <w:rsid w:val="00A40BB7"/>
    <w:rsid w:val="00A40BD4"/>
    <w:rsid w:val="00A40CE9"/>
    <w:rsid w:val="00A40F36"/>
    <w:rsid w:val="00A4124D"/>
    <w:rsid w:val="00A415C0"/>
    <w:rsid w:val="00A417AE"/>
    <w:rsid w:val="00A418BC"/>
    <w:rsid w:val="00A41BEB"/>
    <w:rsid w:val="00A41C6C"/>
    <w:rsid w:val="00A41CC9"/>
    <w:rsid w:val="00A42132"/>
    <w:rsid w:val="00A4233B"/>
    <w:rsid w:val="00A424FA"/>
    <w:rsid w:val="00A42605"/>
    <w:rsid w:val="00A4291A"/>
    <w:rsid w:val="00A429B6"/>
    <w:rsid w:val="00A42C40"/>
    <w:rsid w:val="00A42F5D"/>
    <w:rsid w:val="00A43001"/>
    <w:rsid w:val="00A4310A"/>
    <w:rsid w:val="00A4338A"/>
    <w:rsid w:val="00A43391"/>
    <w:rsid w:val="00A4362A"/>
    <w:rsid w:val="00A436CC"/>
    <w:rsid w:val="00A43773"/>
    <w:rsid w:val="00A43954"/>
    <w:rsid w:val="00A445F9"/>
    <w:rsid w:val="00A44752"/>
    <w:rsid w:val="00A44A04"/>
    <w:rsid w:val="00A44B8B"/>
    <w:rsid w:val="00A44D99"/>
    <w:rsid w:val="00A44FDB"/>
    <w:rsid w:val="00A45BA3"/>
    <w:rsid w:val="00A45BF1"/>
    <w:rsid w:val="00A45F3A"/>
    <w:rsid w:val="00A4653F"/>
    <w:rsid w:val="00A465B6"/>
    <w:rsid w:val="00A46833"/>
    <w:rsid w:val="00A46855"/>
    <w:rsid w:val="00A4686E"/>
    <w:rsid w:val="00A468DE"/>
    <w:rsid w:val="00A468DF"/>
    <w:rsid w:val="00A4695E"/>
    <w:rsid w:val="00A469CD"/>
    <w:rsid w:val="00A47355"/>
    <w:rsid w:val="00A473DD"/>
    <w:rsid w:val="00A47609"/>
    <w:rsid w:val="00A47D9D"/>
    <w:rsid w:val="00A47E76"/>
    <w:rsid w:val="00A501FE"/>
    <w:rsid w:val="00A50286"/>
    <w:rsid w:val="00A50660"/>
    <w:rsid w:val="00A506E9"/>
    <w:rsid w:val="00A50D9C"/>
    <w:rsid w:val="00A50DDC"/>
    <w:rsid w:val="00A50E02"/>
    <w:rsid w:val="00A50FEC"/>
    <w:rsid w:val="00A5127E"/>
    <w:rsid w:val="00A51661"/>
    <w:rsid w:val="00A51778"/>
    <w:rsid w:val="00A519A4"/>
    <w:rsid w:val="00A51A48"/>
    <w:rsid w:val="00A51B05"/>
    <w:rsid w:val="00A51E0F"/>
    <w:rsid w:val="00A51E13"/>
    <w:rsid w:val="00A51F60"/>
    <w:rsid w:val="00A52624"/>
    <w:rsid w:val="00A52748"/>
    <w:rsid w:val="00A52ABA"/>
    <w:rsid w:val="00A5309E"/>
    <w:rsid w:val="00A533ED"/>
    <w:rsid w:val="00A5356A"/>
    <w:rsid w:val="00A5385A"/>
    <w:rsid w:val="00A53C57"/>
    <w:rsid w:val="00A54111"/>
    <w:rsid w:val="00A54149"/>
    <w:rsid w:val="00A5435F"/>
    <w:rsid w:val="00A54784"/>
    <w:rsid w:val="00A547B9"/>
    <w:rsid w:val="00A54968"/>
    <w:rsid w:val="00A549B2"/>
    <w:rsid w:val="00A54B3B"/>
    <w:rsid w:val="00A54C4D"/>
    <w:rsid w:val="00A54DBF"/>
    <w:rsid w:val="00A54FC4"/>
    <w:rsid w:val="00A5507E"/>
    <w:rsid w:val="00A55248"/>
    <w:rsid w:val="00A553F2"/>
    <w:rsid w:val="00A55640"/>
    <w:rsid w:val="00A557CB"/>
    <w:rsid w:val="00A55861"/>
    <w:rsid w:val="00A55A96"/>
    <w:rsid w:val="00A55AAE"/>
    <w:rsid w:val="00A55C72"/>
    <w:rsid w:val="00A56455"/>
    <w:rsid w:val="00A56532"/>
    <w:rsid w:val="00A565FB"/>
    <w:rsid w:val="00A56767"/>
    <w:rsid w:val="00A56BBA"/>
    <w:rsid w:val="00A56BFA"/>
    <w:rsid w:val="00A56DE2"/>
    <w:rsid w:val="00A56F70"/>
    <w:rsid w:val="00A56FF8"/>
    <w:rsid w:val="00A57021"/>
    <w:rsid w:val="00A571B4"/>
    <w:rsid w:val="00A577F5"/>
    <w:rsid w:val="00A57868"/>
    <w:rsid w:val="00A603AD"/>
    <w:rsid w:val="00A604D0"/>
    <w:rsid w:val="00A605F6"/>
    <w:rsid w:val="00A6061F"/>
    <w:rsid w:val="00A606F9"/>
    <w:rsid w:val="00A608D5"/>
    <w:rsid w:val="00A608FD"/>
    <w:rsid w:val="00A60E43"/>
    <w:rsid w:val="00A60EBC"/>
    <w:rsid w:val="00A61062"/>
    <w:rsid w:val="00A613CE"/>
    <w:rsid w:val="00A61579"/>
    <w:rsid w:val="00A617FD"/>
    <w:rsid w:val="00A61801"/>
    <w:rsid w:val="00A61AA7"/>
    <w:rsid w:val="00A61BB0"/>
    <w:rsid w:val="00A61E71"/>
    <w:rsid w:val="00A62783"/>
    <w:rsid w:val="00A62D01"/>
    <w:rsid w:val="00A62FBF"/>
    <w:rsid w:val="00A633C0"/>
    <w:rsid w:val="00A63457"/>
    <w:rsid w:val="00A6347F"/>
    <w:rsid w:val="00A63666"/>
    <w:rsid w:val="00A63769"/>
    <w:rsid w:val="00A63982"/>
    <w:rsid w:val="00A63C99"/>
    <w:rsid w:val="00A63E25"/>
    <w:rsid w:val="00A6406B"/>
    <w:rsid w:val="00A646AB"/>
    <w:rsid w:val="00A64B9A"/>
    <w:rsid w:val="00A64BB9"/>
    <w:rsid w:val="00A64BC3"/>
    <w:rsid w:val="00A64C90"/>
    <w:rsid w:val="00A64DB2"/>
    <w:rsid w:val="00A651C4"/>
    <w:rsid w:val="00A656F7"/>
    <w:rsid w:val="00A65799"/>
    <w:rsid w:val="00A65C8B"/>
    <w:rsid w:val="00A65D56"/>
    <w:rsid w:val="00A65E32"/>
    <w:rsid w:val="00A65F98"/>
    <w:rsid w:val="00A66019"/>
    <w:rsid w:val="00A660DF"/>
    <w:rsid w:val="00A661FA"/>
    <w:rsid w:val="00A663E5"/>
    <w:rsid w:val="00A665C7"/>
    <w:rsid w:val="00A66A2B"/>
    <w:rsid w:val="00A67336"/>
    <w:rsid w:val="00A67635"/>
    <w:rsid w:val="00A67830"/>
    <w:rsid w:val="00A67837"/>
    <w:rsid w:val="00A67875"/>
    <w:rsid w:val="00A67A03"/>
    <w:rsid w:val="00A70057"/>
    <w:rsid w:val="00A702FC"/>
    <w:rsid w:val="00A7052B"/>
    <w:rsid w:val="00A705C9"/>
    <w:rsid w:val="00A70702"/>
    <w:rsid w:val="00A70A63"/>
    <w:rsid w:val="00A70B24"/>
    <w:rsid w:val="00A70C79"/>
    <w:rsid w:val="00A70D65"/>
    <w:rsid w:val="00A70E71"/>
    <w:rsid w:val="00A70EA5"/>
    <w:rsid w:val="00A713C5"/>
    <w:rsid w:val="00A71799"/>
    <w:rsid w:val="00A71C0E"/>
    <w:rsid w:val="00A71C3A"/>
    <w:rsid w:val="00A71E0A"/>
    <w:rsid w:val="00A71F08"/>
    <w:rsid w:val="00A71FE7"/>
    <w:rsid w:val="00A71FFD"/>
    <w:rsid w:val="00A72134"/>
    <w:rsid w:val="00A72451"/>
    <w:rsid w:val="00A7269E"/>
    <w:rsid w:val="00A7269F"/>
    <w:rsid w:val="00A72D0C"/>
    <w:rsid w:val="00A72DAD"/>
    <w:rsid w:val="00A73189"/>
    <w:rsid w:val="00A7318E"/>
    <w:rsid w:val="00A73202"/>
    <w:rsid w:val="00A736BD"/>
    <w:rsid w:val="00A736CF"/>
    <w:rsid w:val="00A73C64"/>
    <w:rsid w:val="00A73D9F"/>
    <w:rsid w:val="00A74001"/>
    <w:rsid w:val="00A74077"/>
    <w:rsid w:val="00A743AD"/>
    <w:rsid w:val="00A74A21"/>
    <w:rsid w:val="00A74CBE"/>
    <w:rsid w:val="00A74CEC"/>
    <w:rsid w:val="00A75072"/>
    <w:rsid w:val="00A750F5"/>
    <w:rsid w:val="00A7514E"/>
    <w:rsid w:val="00A7534C"/>
    <w:rsid w:val="00A7539A"/>
    <w:rsid w:val="00A75501"/>
    <w:rsid w:val="00A75AAC"/>
    <w:rsid w:val="00A75E17"/>
    <w:rsid w:val="00A75EA4"/>
    <w:rsid w:val="00A75F7A"/>
    <w:rsid w:val="00A7610D"/>
    <w:rsid w:val="00A762AB"/>
    <w:rsid w:val="00A7631A"/>
    <w:rsid w:val="00A768D8"/>
    <w:rsid w:val="00A77011"/>
    <w:rsid w:val="00A771B7"/>
    <w:rsid w:val="00A771EF"/>
    <w:rsid w:val="00A773B1"/>
    <w:rsid w:val="00A7750B"/>
    <w:rsid w:val="00A77660"/>
    <w:rsid w:val="00A77706"/>
    <w:rsid w:val="00A7780A"/>
    <w:rsid w:val="00A778F0"/>
    <w:rsid w:val="00A77994"/>
    <w:rsid w:val="00A779D9"/>
    <w:rsid w:val="00A77A95"/>
    <w:rsid w:val="00A77C9E"/>
    <w:rsid w:val="00A77DB4"/>
    <w:rsid w:val="00A8027F"/>
    <w:rsid w:val="00A803E5"/>
    <w:rsid w:val="00A803FC"/>
    <w:rsid w:val="00A8077F"/>
    <w:rsid w:val="00A8079F"/>
    <w:rsid w:val="00A80904"/>
    <w:rsid w:val="00A8092B"/>
    <w:rsid w:val="00A80A07"/>
    <w:rsid w:val="00A80BF2"/>
    <w:rsid w:val="00A80D36"/>
    <w:rsid w:val="00A80F3B"/>
    <w:rsid w:val="00A80F42"/>
    <w:rsid w:val="00A81038"/>
    <w:rsid w:val="00A816D2"/>
    <w:rsid w:val="00A81DD7"/>
    <w:rsid w:val="00A81F23"/>
    <w:rsid w:val="00A823AD"/>
    <w:rsid w:val="00A82574"/>
    <w:rsid w:val="00A8260A"/>
    <w:rsid w:val="00A82CAF"/>
    <w:rsid w:val="00A82E1C"/>
    <w:rsid w:val="00A82E1E"/>
    <w:rsid w:val="00A83021"/>
    <w:rsid w:val="00A83041"/>
    <w:rsid w:val="00A8320C"/>
    <w:rsid w:val="00A837FC"/>
    <w:rsid w:val="00A83E8D"/>
    <w:rsid w:val="00A84001"/>
    <w:rsid w:val="00A84329"/>
    <w:rsid w:val="00A845A2"/>
    <w:rsid w:val="00A84675"/>
    <w:rsid w:val="00A8479A"/>
    <w:rsid w:val="00A847AE"/>
    <w:rsid w:val="00A847B8"/>
    <w:rsid w:val="00A847FD"/>
    <w:rsid w:val="00A84849"/>
    <w:rsid w:val="00A84941"/>
    <w:rsid w:val="00A8496C"/>
    <w:rsid w:val="00A84D21"/>
    <w:rsid w:val="00A84E6F"/>
    <w:rsid w:val="00A84F41"/>
    <w:rsid w:val="00A84F8B"/>
    <w:rsid w:val="00A850AC"/>
    <w:rsid w:val="00A850C5"/>
    <w:rsid w:val="00A85113"/>
    <w:rsid w:val="00A8517E"/>
    <w:rsid w:val="00A8562A"/>
    <w:rsid w:val="00A856C3"/>
    <w:rsid w:val="00A85A6E"/>
    <w:rsid w:val="00A85CC7"/>
    <w:rsid w:val="00A85CC9"/>
    <w:rsid w:val="00A85D55"/>
    <w:rsid w:val="00A85E16"/>
    <w:rsid w:val="00A8616C"/>
    <w:rsid w:val="00A861B4"/>
    <w:rsid w:val="00A861EE"/>
    <w:rsid w:val="00A86277"/>
    <w:rsid w:val="00A8659C"/>
    <w:rsid w:val="00A86857"/>
    <w:rsid w:val="00A86B4E"/>
    <w:rsid w:val="00A86B94"/>
    <w:rsid w:val="00A86BD5"/>
    <w:rsid w:val="00A86C49"/>
    <w:rsid w:val="00A87501"/>
    <w:rsid w:val="00A87628"/>
    <w:rsid w:val="00A8780F"/>
    <w:rsid w:val="00A87A56"/>
    <w:rsid w:val="00A87B30"/>
    <w:rsid w:val="00A87E50"/>
    <w:rsid w:val="00A87E53"/>
    <w:rsid w:val="00A9001F"/>
    <w:rsid w:val="00A90238"/>
    <w:rsid w:val="00A904B0"/>
    <w:rsid w:val="00A90572"/>
    <w:rsid w:val="00A905F0"/>
    <w:rsid w:val="00A9066D"/>
    <w:rsid w:val="00A90A93"/>
    <w:rsid w:val="00A90B27"/>
    <w:rsid w:val="00A90B56"/>
    <w:rsid w:val="00A90BCE"/>
    <w:rsid w:val="00A90D3B"/>
    <w:rsid w:val="00A9105B"/>
    <w:rsid w:val="00A91167"/>
    <w:rsid w:val="00A91179"/>
    <w:rsid w:val="00A91248"/>
    <w:rsid w:val="00A91277"/>
    <w:rsid w:val="00A91593"/>
    <w:rsid w:val="00A9174D"/>
    <w:rsid w:val="00A9185D"/>
    <w:rsid w:val="00A919A7"/>
    <w:rsid w:val="00A91A2F"/>
    <w:rsid w:val="00A91D43"/>
    <w:rsid w:val="00A91E29"/>
    <w:rsid w:val="00A91F05"/>
    <w:rsid w:val="00A92427"/>
    <w:rsid w:val="00A9264D"/>
    <w:rsid w:val="00A92962"/>
    <w:rsid w:val="00A92E10"/>
    <w:rsid w:val="00A92E29"/>
    <w:rsid w:val="00A92EE2"/>
    <w:rsid w:val="00A93098"/>
    <w:rsid w:val="00A935E9"/>
    <w:rsid w:val="00A93884"/>
    <w:rsid w:val="00A9388A"/>
    <w:rsid w:val="00A9399A"/>
    <w:rsid w:val="00A939BB"/>
    <w:rsid w:val="00A93BFE"/>
    <w:rsid w:val="00A93CCB"/>
    <w:rsid w:val="00A93E91"/>
    <w:rsid w:val="00A9402D"/>
    <w:rsid w:val="00A9421E"/>
    <w:rsid w:val="00A9428B"/>
    <w:rsid w:val="00A94422"/>
    <w:rsid w:val="00A94CF8"/>
    <w:rsid w:val="00A94E6F"/>
    <w:rsid w:val="00A950C4"/>
    <w:rsid w:val="00A95304"/>
    <w:rsid w:val="00A9542D"/>
    <w:rsid w:val="00A9556E"/>
    <w:rsid w:val="00A957CC"/>
    <w:rsid w:val="00A95958"/>
    <w:rsid w:val="00A95A03"/>
    <w:rsid w:val="00A95D79"/>
    <w:rsid w:val="00A96084"/>
    <w:rsid w:val="00A960DA"/>
    <w:rsid w:val="00A965E4"/>
    <w:rsid w:val="00A9666D"/>
    <w:rsid w:val="00A96A8D"/>
    <w:rsid w:val="00A96C19"/>
    <w:rsid w:val="00A96E76"/>
    <w:rsid w:val="00A96F73"/>
    <w:rsid w:val="00A96F7E"/>
    <w:rsid w:val="00A970F4"/>
    <w:rsid w:val="00A97115"/>
    <w:rsid w:val="00A971FA"/>
    <w:rsid w:val="00A972FF"/>
    <w:rsid w:val="00A97600"/>
    <w:rsid w:val="00A97907"/>
    <w:rsid w:val="00A97ABA"/>
    <w:rsid w:val="00A97E31"/>
    <w:rsid w:val="00A97F41"/>
    <w:rsid w:val="00A97FF9"/>
    <w:rsid w:val="00AA0059"/>
    <w:rsid w:val="00AA03F5"/>
    <w:rsid w:val="00AA04AC"/>
    <w:rsid w:val="00AA08CC"/>
    <w:rsid w:val="00AA08DB"/>
    <w:rsid w:val="00AA0A16"/>
    <w:rsid w:val="00AA1039"/>
    <w:rsid w:val="00AA1282"/>
    <w:rsid w:val="00AA1470"/>
    <w:rsid w:val="00AA14E9"/>
    <w:rsid w:val="00AA14FD"/>
    <w:rsid w:val="00AA1630"/>
    <w:rsid w:val="00AA1703"/>
    <w:rsid w:val="00AA1B08"/>
    <w:rsid w:val="00AA1DFB"/>
    <w:rsid w:val="00AA23BA"/>
    <w:rsid w:val="00AA23EE"/>
    <w:rsid w:val="00AA2529"/>
    <w:rsid w:val="00AA2622"/>
    <w:rsid w:val="00AA26C2"/>
    <w:rsid w:val="00AA27E2"/>
    <w:rsid w:val="00AA2834"/>
    <w:rsid w:val="00AA2DAE"/>
    <w:rsid w:val="00AA2E49"/>
    <w:rsid w:val="00AA2EFD"/>
    <w:rsid w:val="00AA2F43"/>
    <w:rsid w:val="00AA3695"/>
    <w:rsid w:val="00AA39FD"/>
    <w:rsid w:val="00AA3BC2"/>
    <w:rsid w:val="00AA3CD4"/>
    <w:rsid w:val="00AA43C1"/>
    <w:rsid w:val="00AA441B"/>
    <w:rsid w:val="00AA4488"/>
    <w:rsid w:val="00AA486B"/>
    <w:rsid w:val="00AA4992"/>
    <w:rsid w:val="00AA49A6"/>
    <w:rsid w:val="00AA4C78"/>
    <w:rsid w:val="00AA4CA6"/>
    <w:rsid w:val="00AA4E1F"/>
    <w:rsid w:val="00AA50F3"/>
    <w:rsid w:val="00AA52D4"/>
    <w:rsid w:val="00AA539B"/>
    <w:rsid w:val="00AA54FD"/>
    <w:rsid w:val="00AA591B"/>
    <w:rsid w:val="00AA59FC"/>
    <w:rsid w:val="00AA5B02"/>
    <w:rsid w:val="00AA6498"/>
    <w:rsid w:val="00AA6844"/>
    <w:rsid w:val="00AA69AB"/>
    <w:rsid w:val="00AA69D6"/>
    <w:rsid w:val="00AA69FF"/>
    <w:rsid w:val="00AA6B96"/>
    <w:rsid w:val="00AA6D18"/>
    <w:rsid w:val="00AA6EBD"/>
    <w:rsid w:val="00AA6ECF"/>
    <w:rsid w:val="00AA72DF"/>
    <w:rsid w:val="00AA7442"/>
    <w:rsid w:val="00AA7526"/>
    <w:rsid w:val="00AA78DA"/>
    <w:rsid w:val="00AA7CB2"/>
    <w:rsid w:val="00AA7D44"/>
    <w:rsid w:val="00AA7E0D"/>
    <w:rsid w:val="00AB0064"/>
    <w:rsid w:val="00AB0142"/>
    <w:rsid w:val="00AB0509"/>
    <w:rsid w:val="00AB094E"/>
    <w:rsid w:val="00AB0BE5"/>
    <w:rsid w:val="00AB1018"/>
    <w:rsid w:val="00AB139F"/>
    <w:rsid w:val="00AB16D2"/>
    <w:rsid w:val="00AB1744"/>
    <w:rsid w:val="00AB17B6"/>
    <w:rsid w:val="00AB17DC"/>
    <w:rsid w:val="00AB1899"/>
    <w:rsid w:val="00AB189B"/>
    <w:rsid w:val="00AB18F5"/>
    <w:rsid w:val="00AB1CBE"/>
    <w:rsid w:val="00AB1D2D"/>
    <w:rsid w:val="00AB20A2"/>
    <w:rsid w:val="00AB232E"/>
    <w:rsid w:val="00AB29E6"/>
    <w:rsid w:val="00AB2B02"/>
    <w:rsid w:val="00AB2CAC"/>
    <w:rsid w:val="00AB3073"/>
    <w:rsid w:val="00AB36B0"/>
    <w:rsid w:val="00AB36D4"/>
    <w:rsid w:val="00AB378F"/>
    <w:rsid w:val="00AB3A37"/>
    <w:rsid w:val="00AB3F07"/>
    <w:rsid w:val="00AB4471"/>
    <w:rsid w:val="00AB49F4"/>
    <w:rsid w:val="00AB4A89"/>
    <w:rsid w:val="00AB4F2D"/>
    <w:rsid w:val="00AB536B"/>
    <w:rsid w:val="00AB54E0"/>
    <w:rsid w:val="00AB5637"/>
    <w:rsid w:val="00AB56FA"/>
    <w:rsid w:val="00AB57CC"/>
    <w:rsid w:val="00AB5B8C"/>
    <w:rsid w:val="00AB5D5A"/>
    <w:rsid w:val="00AB6161"/>
    <w:rsid w:val="00AB6233"/>
    <w:rsid w:val="00AB6385"/>
    <w:rsid w:val="00AB6721"/>
    <w:rsid w:val="00AB675B"/>
    <w:rsid w:val="00AB6DA1"/>
    <w:rsid w:val="00AB6DC8"/>
    <w:rsid w:val="00AB6E1D"/>
    <w:rsid w:val="00AB6E70"/>
    <w:rsid w:val="00AB7157"/>
    <w:rsid w:val="00AB7337"/>
    <w:rsid w:val="00AB76B4"/>
    <w:rsid w:val="00AB76E9"/>
    <w:rsid w:val="00AB7925"/>
    <w:rsid w:val="00AB7A59"/>
    <w:rsid w:val="00AB7D59"/>
    <w:rsid w:val="00AC0248"/>
    <w:rsid w:val="00AC030A"/>
    <w:rsid w:val="00AC077E"/>
    <w:rsid w:val="00AC0947"/>
    <w:rsid w:val="00AC0C16"/>
    <w:rsid w:val="00AC0DD9"/>
    <w:rsid w:val="00AC120E"/>
    <w:rsid w:val="00AC1329"/>
    <w:rsid w:val="00AC155B"/>
    <w:rsid w:val="00AC155F"/>
    <w:rsid w:val="00AC15CF"/>
    <w:rsid w:val="00AC17AC"/>
    <w:rsid w:val="00AC1A02"/>
    <w:rsid w:val="00AC1E39"/>
    <w:rsid w:val="00AC1E82"/>
    <w:rsid w:val="00AC1E8D"/>
    <w:rsid w:val="00AC1F1E"/>
    <w:rsid w:val="00AC2093"/>
    <w:rsid w:val="00AC233C"/>
    <w:rsid w:val="00AC25E7"/>
    <w:rsid w:val="00AC27C5"/>
    <w:rsid w:val="00AC2C97"/>
    <w:rsid w:val="00AC2CD4"/>
    <w:rsid w:val="00AC2EEB"/>
    <w:rsid w:val="00AC3081"/>
    <w:rsid w:val="00AC394A"/>
    <w:rsid w:val="00AC3A23"/>
    <w:rsid w:val="00AC3AF8"/>
    <w:rsid w:val="00AC3C33"/>
    <w:rsid w:val="00AC4051"/>
    <w:rsid w:val="00AC4494"/>
    <w:rsid w:val="00AC4581"/>
    <w:rsid w:val="00AC48C4"/>
    <w:rsid w:val="00AC4B56"/>
    <w:rsid w:val="00AC4C60"/>
    <w:rsid w:val="00AC4F03"/>
    <w:rsid w:val="00AC50B4"/>
    <w:rsid w:val="00AC523D"/>
    <w:rsid w:val="00AC52C3"/>
    <w:rsid w:val="00AC5563"/>
    <w:rsid w:val="00AC565F"/>
    <w:rsid w:val="00AC56F0"/>
    <w:rsid w:val="00AC57C1"/>
    <w:rsid w:val="00AC587F"/>
    <w:rsid w:val="00AC58EE"/>
    <w:rsid w:val="00AC5942"/>
    <w:rsid w:val="00AC5D8D"/>
    <w:rsid w:val="00AC5E38"/>
    <w:rsid w:val="00AC5F5D"/>
    <w:rsid w:val="00AC5FB7"/>
    <w:rsid w:val="00AC6101"/>
    <w:rsid w:val="00AC6117"/>
    <w:rsid w:val="00AC70EF"/>
    <w:rsid w:val="00AC71EE"/>
    <w:rsid w:val="00AC74B0"/>
    <w:rsid w:val="00AC74E0"/>
    <w:rsid w:val="00AD0015"/>
    <w:rsid w:val="00AD02AD"/>
    <w:rsid w:val="00AD02BD"/>
    <w:rsid w:val="00AD0326"/>
    <w:rsid w:val="00AD033C"/>
    <w:rsid w:val="00AD0492"/>
    <w:rsid w:val="00AD05F3"/>
    <w:rsid w:val="00AD095E"/>
    <w:rsid w:val="00AD096D"/>
    <w:rsid w:val="00AD0A8E"/>
    <w:rsid w:val="00AD0AA7"/>
    <w:rsid w:val="00AD0D39"/>
    <w:rsid w:val="00AD0E32"/>
    <w:rsid w:val="00AD0F6F"/>
    <w:rsid w:val="00AD0FFE"/>
    <w:rsid w:val="00AD10A7"/>
    <w:rsid w:val="00AD118A"/>
    <w:rsid w:val="00AD1237"/>
    <w:rsid w:val="00AD1440"/>
    <w:rsid w:val="00AD1516"/>
    <w:rsid w:val="00AD15F1"/>
    <w:rsid w:val="00AD174E"/>
    <w:rsid w:val="00AD1CAB"/>
    <w:rsid w:val="00AD1F46"/>
    <w:rsid w:val="00AD2061"/>
    <w:rsid w:val="00AD23E9"/>
    <w:rsid w:val="00AD24B7"/>
    <w:rsid w:val="00AD2555"/>
    <w:rsid w:val="00AD25FE"/>
    <w:rsid w:val="00AD272D"/>
    <w:rsid w:val="00AD280F"/>
    <w:rsid w:val="00AD2C40"/>
    <w:rsid w:val="00AD2C8F"/>
    <w:rsid w:val="00AD32D9"/>
    <w:rsid w:val="00AD32F0"/>
    <w:rsid w:val="00AD3306"/>
    <w:rsid w:val="00AD3517"/>
    <w:rsid w:val="00AD388A"/>
    <w:rsid w:val="00AD3B96"/>
    <w:rsid w:val="00AD3BE4"/>
    <w:rsid w:val="00AD3F01"/>
    <w:rsid w:val="00AD4090"/>
    <w:rsid w:val="00AD40F7"/>
    <w:rsid w:val="00AD461B"/>
    <w:rsid w:val="00AD472F"/>
    <w:rsid w:val="00AD4837"/>
    <w:rsid w:val="00AD4AC6"/>
    <w:rsid w:val="00AD4BA6"/>
    <w:rsid w:val="00AD4FA8"/>
    <w:rsid w:val="00AD5069"/>
    <w:rsid w:val="00AD519F"/>
    <w:rsid w:val="00AD5497"/>
    <w:rsid w:val="00AD5634"/>
    <w:rsid w:val="00AD567C"/>
    <w:rsid w:val="00AD5716"/>
    <w:rsid w:val="00AD58A2"/>
    <w:rsid w:val="00AD59BE"/>
    <w:rsid w:val="00AD5C5A"/>
    <w:rsid w:val="00AD5C6A"/>
    <w:rsid w:val="00AD5FB4"/>
    <w:rsid w:val="00AD636E"/>
    <w:rsid w:val="00AD63A8"/>
    <w:rsid w:val="00AD65FF"/>
    <w:rsid w:val="00AD6703"/>
    <w:rsid w:val="00AD671C"/>
    <w:rsid w:val="00AD685C"/>
    <w:rsid w:val="00AD6BA5"/>
    <w:rsid w:val="00AD6DA2"/>
    <w:rsid w:val="00AD6E14"/>
    <w:rsid w:val="00AD6E1B"/>
    <w:rsid w:val="00AD6E3A"/>
    <w:rsid w:val="00AD731B"/>
    <w:rsid w:val="00AD73BE"/>
    <w:rsid w:val="00AD75FB"/>
    <w:rsid w:val="00AD761C"/>
    <w:rsid w:val="00AD7ECE"/>
    <w:rsid w:val="00AD7F11"/>
    <w:rsid w:val="00AE009B"/>
    <w:rsid w:val="00AE02A1"/>
    <w:rsid w:val="00AE049F"/>
    <w:rsid w:val="00AE0585"/>
    <w:rsid w:val="00AE06C5"/>
    <w:rsid w:val="00AE079B"/>
    <w:rsid w:val="00AE08FC"/>
    <w:rsid w:val="00AE0F85"/>
    <w:rsid w:val="00AE1169"/>
    <w:rsid w:val="00AE1631"/>
    <w:rsid w:val="00AE165E"/>
    <w:rsid w:val="00AE1952"/>
    <w:rsid w:val="00AE1BEE"/>
    <w:rsid w:val="00AE1BF1"/>
    <w:rsid w:val="00AE1FE0"/>
    <w:rsid w:val="00AE27B9"/>
    <w:rsid w:val="00AE282C"/>
    <w:rsid w:val="00AE29CD"/>
    <w:rsid w:val="00AE2C7A"/>
    <w:rsid w:val="00AE2CC3"/>
    <w:rsid w:val="00AE3150"/>
    <w:rsid w:val="00AE3366"/>
    <w:rsid w:val="00AE3534"/>
    <w:rsid w:val="00AE36AD"/>
    <w:rsid w:val="00AE37C6"/>
    <w:rsid w:val="00AE380B"/>
    <w:rsid w:val="00AE3A9F"/>
    <w:rsid w:val="00AE3D63"/>
    <w:rsid w:val="00AE4340"/>
    <w:rsid w:val="00AE462A"/>
    <w:rsid w:val="00AE4E64"/>
    <w:rsid w:val="00AE5060"/>
    <w:rsid w:val="00AE50C2"/>
    <w:rsid w:val="00AE5133"/>
    <w:rsid w:val="00AE5294"/>
    <w:rsid w:val="00AE52C2"/>
    <w:rsid w:val="00AE537B"/>
    <w:rsid w:val="00AE54F0"/>
    <w:rsid w:val="00AE608B"/>
    <w:rsid w:val="00AE610D"/>
    <w:rsid w:val="00AE6279"/>
    <w:rsid w:val="00AE62C8"/>
    <w:rsid w:val="00AE6598"/>
    <w:rsid w:val="00AE669A"/>
    <w:rsid w:val="00AE684B"/>
    <w:rsid w:val="00AE6A5F"/>
    <w:rsid w:val="00AE6DF9"/>
    <w:rsid w:val="00AE705F"/>
    <w:rsid w:val="00AE71C0"/>
    <w:rsid w:val="00AE7203"/>
    <w:rsid w:val="00AE7409"/>
    <w:rsid w:val="00AE7426"/>
    <w:rsid w:val="00AE79DF"/>
    <w:rsid w:val="00AE7C64"/>
    <w:rsid w:val="00AE7CCF"/>
    <w:rsid w:val="00AE7D83"/>
    <w:rsid w:val="00AE7E12"/>
    <w:rsid w:val="00AE7FA9"/>
    <w:rsid w:val="00AF016A"/>
    <w:rsid w:val="00AF0317"/>
    <w:rsid w:val="00AF039D"/>
    <w:rsid w:val="00AF0430"/>
    <w:rsid w:val="00AF0511"/>
    <w:rsid w:val="00AF0715"/>
    <w:rsid w:val="00AF0766"/>
    <w:rsid w:val="00AF0D7E"/>
    <w:rsid w:val="00AF0DA6"/>
    <w:rsid w:val="00AF0E99"/>
    <w:rsid w:val="00AF1243"/>
    <w:rsid w:val="00AF1736"/>
    <w:rsid w:val="00AF1816"/>
    <w:rsid w:val="00AF18C4"/>
    <w:rsid w:val="00AF1B1F"/>
    <w:rsid w:val="00AF23E7"/>
    <w:rsid w:val="00AF24E5"/>
    <w:rsid w:val="00AF253D"/>
    <w:rsid w:val="00AF27E6"/>
    <w:rsid w:val="00AF29AB"/>
    <w:rsid w:val="00AF2B5F"/>
    <w:rsid w:val="00AF2DB0"/>
    <w:rsid w:val="00AF2E9E"/>
    <w:rsid w:val="00AF2F24"/>
    <w:rsid w:val="00AF2F2C"/>
    <w:rsid w:val="00AF2FB6"/>
    <w:rsid w:val="00AF3272"/>
    <w:rsid w:val="00AF35BB"/>
    <w:rsid w:val="00AF38C7"/>
    <w:rsid w:val="00AF3E96"/>
    <w:rsid w:val="00AF42C3"/>
    <w:rsid w:val="00AF453C"/>
    <w:rsid w:val="00AF4733"/>
    <w:rsid w:val="00AF4899"/>
    <w:rsid w:val="00AF4CA7"/>
    <w:rsid w:val="00AF4CC6"/>
    <w:rsid w:val="00AF4D59"/>
    <w:rsid w:val="00AF4D60"/>
    <w:rsid w:val="00AF501C"/>
    <w:rsid w:val="00AF509E"/>
    <w:rsid w:val="00AF5582"/>
    <w:rsid w:val="00AF566B"/>
    <w:rsid w:val="00AF5866"/>
    <w:rsid w:val="00AF588A"/>
    <w:rsid w:val="00AF5961"/>
    <w:rsid w:val="00AF59EF"/>
    <w:rsid w:val="00AF5A1E"/>
    <w:rsid w:val="00AF5C37"/>
    <w:rsid w:val="00AF5C99"/>
    <w:rsid w:val="00AF5D48"/>
    <w:rsid w:val="00AF600A"/>
    <w:rsid w:val="00AF63A5"/>
    <w:rsid w:val="00AF658D"/>
    <w:rsid w:val="00AF6604"/>
    <w:rsid w:val="00AF6700"/>
    <w:rsid w:val="00AF67C4"/>
    <w:rsid w:val="00AF6B69"/>
    <w:rsid w:val="00AF70F0"/>
    <w:rsid w:val="00AF748C"/>
    <w:rsid w:val="00AF766B"/>
    <w:rsid w:val="00AF7752"/>
    <w:rsid w:val="00AF7B5C"/>
    <w:rsid w:val="00AF7DAA"/>
    <w:rsid w:val="00AF7DD8"/>
    <w:rsid w:val="00AF7EF5"/>
    <w:rsid w:val="00AF7F84"/>
    <w:rsid w:val="00B0038B"/>
    <w:rsid w:val="00B0043B"/>
    <w:rsid w:val="00B00726"/>
    <w:rsid w:val="00B0094F"/>
    <w:rsid w:val="00B00DD9"/>
    <w:rsid w:val="00B00EB2"/>
    <w:rsid w:val="00B00F88"/>
    <w:rsid w:val="00B01170"/>
    <w:rsid w:val="00B011CF"/>
    <w:rsid w:val="00B0134E"/>
    <w:rsid w:val="00B013C2"/>
    <w:rsid w:val="00B0176E"/>
    <w:rsid w:val="00B017B3"/>
    <w:rsid w:val="00B01840"/>
    <w:rsid w:val="00B01951"/>
    <w:rsid w:val="00B01BC3"/>
    <w:rsid w:val="00B01CBE"/>
    <w:rsid w:val="00B01DA2"/>
    <w:rsid w:val="00B02099"/>
    <w:rsid w:val="00B0209D"/>
    <w:rsid w:val="00B02143"/>
    <w:rsid w:val="00B02591"/>
    <w:rsid w:val="00B026E9"/>
    <w:rsid w:val="00B02987"/>
    <w:rsid w:val="00B02B74"/>
    <w:rsid w:val="00B02E0D"/>
    <w:rsid w:val="00B02E36"/>
    <w:rsid w:val="00B02F51"/>
    <w:rsid w:val="00B02FD0"/>
    <w:rsid w:val="00B031B3"/>
    <w:rsid w:val="00B03986"/>
    <w:rsid w:val="00B03A94"/>
    <w:rsid w:val="00B03CDF"/>
    <w:rsid w:val="00B03E3B"/>
    <w:rsid w:val="00B040B2"/>
    <w:rsid w:val="00B04101"/>
    <w:rsid w:val="00B0417C"/>
    <w:rsid w:val="00B0418C"/>
    <w:rsid w:val="00B04515"/>
    <w:rsid w:val="00B0460A"/>
    <w:rsid w:val="00B046B6"/>
    <w:rsid w:val="00B047E4"/>
    <w:rsid w:val="00B0487B"/>
    <w:rsid w:val="00B049D2"/>
    <w:rsid w:val="00B04A01"/>
    <w:rsid w:val="00B04E83"/>
    <w:rsid w:val="00B04ED2"/>
    <w:rsid w:val="00B0557E"/>
    <w:rsid w:val="00B057C2"/>
    <w:rsid w:val="00B05DFA"/>
    <w:rsid w:val="00B05ED3"/>
    <w:rsid w:val="00B05ED8"/>
    <w:rsid w:val="00B05EE6"/>
    <w:rsid w:val="00B06576"/>
    <w:rsid w:val="00B0662A"/>
    <w:rsid w:val="00B068A8"/>
    <w:rsid w:val="00B06A96"/>
    <w:rsid w:val="00B06B00"/>
    <w:rsid w:val="00B073F0"/>
    <w:rsid w:val="00B076C6"/>
    <w:rsid w:val="00B079AD"/>
    <w:rsid w:val="00B07C7F"/>
    <w:rsid w:val="00B07C8D"/>
    <w:rsid w:val="00B101BE"/>
    <w:rsid w:val="00B102BB"/>
    <w:rsid w:val="00B104F0"/>
    <w:rsid w:val="00B10686"/>
    <w:rsid w:val="00B10F5D"/>
    <w:rsid w:val="00B1149F"/>
    <w:rsid w:val="00B11562"/>
    <w:rsid w:val="00B116D8"/>
    <w:rsid w:val="00B116DA"/>
    <w:rsid w:val="00B11906"/>
    <w:rsid w:val="00B11D45"/>
    <w:rsid w:val="00B11E10"/>
    <w:rsid w:val="00B11EA5"/>
    <w:rsid w:val="00B122BB"/>
    <w:rsid w:val="00B123DC"/>
    <w:rsid w:val="00B12A30"/>
    <w:rsid w:val="00B13518"/>
    <w:rsid w:val="00B1352C"/>
    <w:rsid w:val="00B138A4"/>
    <w:rsid w:val="00B13B26"/>
    <w:rsid w:val="00B13DDA"/>
    <w:rsid w:val="00B13F0D"/>
    <w:rsid w:val="00B1415B"/>
    <w:rsid w:val="00B141B8"/>
    <w:rsid w:val="00B14582"/>
    <w:rsid w:val="00B14B57"/>
    <w:rsid w:val="00B14E38"/>
    <w:rsid w:val="00B1529A"/>
    <w:rsid w:val="00B15F7E"/>
    <w:rsid w:val="00B15FF0"/>
    <w:rsid w:val="00B160D6"/>
    <w:rsid w:val="00B16270"/>
    <w:rsid w:val="00B162FC"/>
    <w:rsid w:val="00B16361"/>
    <w:rsid w:val="00B1637E"/>
    <w:rsid w:val="00B163B8"/>
    <w:rsid w:val="00B16662"/>
    <w:rsid w:val="00B169CD"/>
    <w:rsid w:val="00B16D48"/>
    <w:rsid w:val="00B16E3A"/>
    <w:rsid w:val="00B17000"/>
    <w:rsid w:val="00B172AA"/>
    <w:rsid w:val="00B1774D"/>
    <w:rsid w:val="00B177CE"/>
    <w:rsid w:val="00B179D9"/>
    <w:rsid w:val="00B17D7D"/>
    <w:rsid w:val="00B20064"/>
    <w:rsid w:val="00B2009E"/>
    <w:rsid w:val="00B20149"/>
    <w:rsid w:val="00B20503"/>
    <w:rsid w:val="00B20911"/>
    <w:rsid w:val="00B20CA7"/>
    <w:rsid w:val="00B20E7F"/>
    <w:rsid w:val="00B20FF2"/>
    <w:rsid w:val="00B214BA"/>
    <w:rsid w:val="00B21798"/>
    <w:rsid w:val="00B217A7"/>
    <w:rsid w:val="00B21922"/>
    <w:rsid w:val="00B219D3"/>
    <w:rsid w:val="00B219D8"/>
    <w:rsid w:val="00B21A8A"/>
    <w:rsid w:val="00B21B09"/>
    <w:rsid w:val="00B21CE2"/>
    <w:rsid w:val="00B21D32"/>
    <w:rsid w:val="00B22044"/>
    <w:rsid w:val="00B220A9"/>
    <w:rsid w:val="00B220D5"/>
    <w:rsid w:val="00B22246"/>
    <w:rsid w:val="00B22507"/>
    <w:rsid w:val="00B228BD"/>
    <w:rsid w:val="00B22A54"/>
    <w:rsid w:val="00B22F69"/>
    <w:rsid w:val="00B22FEB"/>
    <w:rsid w:val="00B23105"/>
    <w:rsid w:val="00B231BF"/>
    <w:rsid w:val="00B236FF"/>
    <w:rsid w:val="00B239B8"/>
    <w:rsid w:val="00B23AE0"/>
    <w:rsid w:val="00B23DE1"/>
    <w:rsid w:val="00B23DE8"/>
    <w:rsid w:val="00B2423E"/>
    <w:rsid w:val="00B24376"/>
    <w:rsid w:val="00B24603"/>
    <w:rsid w:val="00B24802"/>
    <w:rsid w:val="00B24B2D"/>
    <w:rsid w:val="00B251F9"/>
    <w:rsid w:val="00B2571C"/>
    <w:rsid w:val="00B25C33"/>
    <w:rsid w:val="00B25C80"/>
    <w:rsid w:val="00B2618A"/>
    <w:rsid w:val="00B261A7"/>
    <w:rsid w:val="00B2620F"/>
    <w:rsid w:val="00B264CE"/>
    <w:rsid w:val="00B265B2"/>
    <w:rsid w:val="00B26605"/>
    <w:rsid w:val="00B26646"/>
    <w:rsid w:val="00B2680C"/>
    <w:rsid w:val="00B268A0"/>
    <w:rsid w:val="00B26DAC"/>
    <w:rsid w:val="00B26DF4"/>
    <w:rsid w:val="00B26E77"/>
    <w:rsid w:val="00B26EA8"/>
    <w:rsid w:val="00B27024"/>
    <w:rsid w:val="00B27377"/>
    <w:rsid w:val="00B273F6"/>
    <w:rsid w:val="00B27415"/>
    <w:rsid w:val="00B27529"/>
    <w:rsid w:val="00B27932"/>
    <w:rsid w:val="00B2796D"/>
    <w:rsid w:val="00B27ACF"/>
    <w:rsid w:val="00B301DA"/>
    <w:rsid w:val="00B307E5"/>
    <w:rsid w:val="00B3091C"/>
    <w:rsid w:val="00B3095C"/>
    <w:rsid w:val="00B3138E"/>
    <w:rsid w:val="00B313EC"/>
    <w:rsid w:val="00B317CC"/>
    <w:rsid w:val="00B31B3E"/>
    <w:rsid w:val="00B31CEB"/>
    <w:rsid w:val="00B3208E"/>
    <w:rsid w:val="00B320CB"/>
    <w:rsid w:val="00B3219C"/>
    <w:rsid w:val="00B324F4"/>
    <w:rsid w:val="00B32566"/>
    <w:rsid w:val="00B32DFE"/>
    <w:rsid w:val="00B33075"/>
    <w:rsid w:val="00B330AA"/>
    <w:rsid w:val="00B337A2"/>
    <w:rsid w:val="00B33DA7"/>
    <w:rsid w:val="00B34016"/>
    <w:rsid w:val="00B34169"/>
    <w:rsid w:val="00B34257"/>
    <w:rsid w:val="00B342CD"/>
    <w:rsid w:val="00B346A5"/>
    <w:rsid w:val="00B34957"/>
    <w:rsid w:val="00B34A2B"/>
    <w:rsid w:val="00B34D64"/>
    <w:rsid w:val="00B352AE"/>
    <w:rsid w:val="00B353EE"/>
    <w:rsid w:val="00B35867"/>
    <w:rsid w:val="00B358C2"/>
    <w:rsid w:val="00B35BFD"/>
    <w:rsid w:val="00B35C8A"/>
    <w:rsid w:val="00B36224"/>
    <w:rsid w:val="00B3627E"/>
    <w:rsid w:val="00B36AA1"/>
    <w:rsid w:val="00B36C48"/>
    <w:rsid w:val="00B36DF4"/>
    <w:rsid w:val="00B36EC0"/>
    <w:rsid w:val="00B373D6"/>
    <w:rsid w:val="00B37787"/>
    <w:rsid w:val="00B377DE"/>
    <w:rsid w:val="00B37802"/>
    <w:rsid w:val="00B37E9F"/>
    <w:rsid w:val="00B40276"/>
    <w:rsid w:val="00B402E9"/>
    <w:rsid w:val="00B40334"/>
    <w:rsid w:val="00B4033B"/>
    <w:rsid w:val="00B40811"/>
    <w:rsid w:val="00B40D3A"/>
    <w:rsid w:val="00B40E93"/>
    <w:rsid w:val="00B411D3"/>
    <w:rsid w:val="00B41349"/>
    <w:rsid w:val="00B413C4"/>
    <w:rsid w:val="00B413FB"/>
    <w:rsid w:val="00B4146C"/>
    <w:rsid w:val="00B41531"/>
    <w:rsid w:val="00B4162C"/>
    <w:rsid w:val="00B416C6"/>
    <w:rsid w:val="00B41866"/>
    <w:rsid w:val="00B41918"/>
    <w:rsid w:val="00B4206F"/>
    <w:rsid w:val="00B420B0"/>
    <w:rsid w:val="00B420D3"/>
    <w:rsid w:val="00B42702"/>
    <w:rsid w:val="00B42771"/>
    <w:rsid w:val="00B42C31"/>
    <w:rsid w:val="00B42D01"/>
    <w:rsid w:val="00B43276"/>
    <w:rsid w:val="00B4337D"/>
    <w:rsid w:val="00B4343B"/>
    <w:rsid w:val="00B43457"/>
    <w:rsid w:val="00B4350C"/>
    <w:rsid w:val="00B43B54"/>
    <w:rsid w:val="00B43B77"/>
    <w:rsid w:val="00B43D3C"/>
    <w:rsid w:val="00B43DFD"/>
    <w:rsid w:val="00B44179"/>
    <w:rsid w:val="00B44180"/>
    <w:rsid w:val="00B4470C"/>
    <w:rsid w:val="00B4476F"/>
    <w:rsid w:val="00B44810"/>
    <w:rsid w:val="00B44C32"/>
    <w:rsid w:val="00B44CAA"/>
    <w:rsid w:val="00B44ED3"/>
    <w:rsid w:val="00B451B3"/>
    <w:rsid w:val="00B45213"/>
    <w:rsid w:val="00B452B8"/>
    <w:rsid w:val="00B457D8"/>
    <w:rsid w:val="00B4586D"/>
    <w:rsid w:val="00B4592F"/>
    <w:rsid w:val="00B45A32"/>
    <w:rsid w:val="00B45D87"/>
    <w:rsid w:val="00B45DE4"/>
    <w:rsid w:val="00B45F35"/>
    <w:rsid w:val="00B45FE0"/>
    <w:rsid w:val="00B46308"/>
    <w:rsid w:val="00B46519"/>
    <w:rsid w:val="00B46778"/>
    <w:rsid w:val="00B46934"/>
    <w:rsid w:val="00B46E55"/>
    <w:rsid w:val="00B46EC9"/>
    <w:rsid w:val="00B4733D"/>
    <w:rsid w:val="00B4735E"/>
    <w:rsid w:val="00B4737E"/>
    <w:rsid w:val="00B4749C"/>
    <w:rsid w:val="00B475D4"/>
    <w:rsid w:val="00B4765C"/>
    <w:rsid w:val="00B47B30"/>
    <w:rsid w:val="00B47BBF"/>
    <w:rsid w:val="00B47E14"/>
    <w:rsid w:val="00B47F81"/>
    <w:rsid w:val="00B50166"/>
    <w:rsid w:val="00B50315"/>
    <w:rsid w:val="00B5037D"/>
    <w:rsid w:val="00B5042F"/>
    <w:rsid w:val="00B5046B"/>
    <w:rsid w:val="00B504E3"/>
    <w:rsid w:val="00B50A59"/>
    <w:rsid w:val="00B50E93"/>
    <w:rsid w:val="00B50FD5"/>
    <w:rsid w:val="00B51018"/>
    <w:rsid w:val="00B514EF"/>
    <w:rsid w:val="00B515A0"/>
    <w:rsid w:val="00B515CD"/>
    <w:rsid w:val="00B51861"/>
    <w:rsid w:val="00B51C23"/>
    <w:rsid w:val="00B51D5C"/>
    <w:rsid w:val="00B520F9"/>
    <w:rsid w:val="00B524ED"/>
    <w:rsid w:val="00B52556"/>
    <w:rsid w:val="00B527FA"/>
    <w:rsid w:val="00B528FC"/>
    <w:rsid w:val="00B529E4"/>
    <w:rsid w:val="00B52AB1"/>
    <w:rsid w:val="00B52BB7"/>
    <w:rsid w:val="00B52D90"/>
    <w:rsid w:val="00B52DBA"/>
    <w:rsid w:val="00B52E1A"/>
    <w:rsid w:val="00B53131"/>
    <w:rsid w:val="00B53534"/>
    <w:rsid w:val="00B53580"/>
    <w:rsid w:val="00B53ABA"/>
    <w:rsid w:val="00B53C19"/>
    <w:rsid w:val="00B53D04"/>
    <w:rsid w:val="00B53E62"/>
    <w:rsid w:val="00B53F0B"/>
    <w:rsid w:val="00B53FB3"/>
    <w:rsid w:val="00B53FB4"/>
    <w:rsid w:val="00B53FCE"/>
    <w:rsid w:val="00B5415A"/>
    <w:rsid w:val="00B54A1E"/>
    <w:rsid w:val="00B54CB8"/>
    <w:rsid w:val="00B54E12"/>
    <w:rsid w:val="00B54E72"/>
    <w:rsid w:val="00B55068"/>
    <w:rsid w:val="00B5513F"/>
    <w:rsid w:val="00B5518F"/>
    <w:rsid w:val="00B551AD"/>
    <w:rsid w:val="00B5522E"/>
    <w:rsid w:val="00B554B7"/>
    <w:rsid w:val="00B55861"/>
    <w:rsid w:val="00B559EC"/>
    <w:rsid w:val="00B55A6E"/>
    <w:rsid w:val="00B55AA2"/>
    <w:rsid w:val="00B55E4C"/>
    <w:rsid w:val="00B55F2F"/>
    <w:rsid w:val="00B56003"/>
    <w:rsid w:val="00B5643A"/>
    <w:rsid w:val="00B564AC"/>
    <w:rsid w:val="00B564CC"/>
    <w:rsid w:val="00B56509"/>
    <w:rsid w:val="00B56838"/>
    <w:rsid w:val="00B56AB5"/>
    <w:rsid w:val="00B56B85"/>
    <w:rsid w:val="00B56CC6"/>
    <w:rsid w:val="00B56D56"/>
    <w:rsid w:val="00B56F51"/>
    <w:rsid w:val="00B57479"/>
    <w:rsid w:val="00B57516"/>
    <w:rsid w:val="00B575EE"/>
    <w:rsid w:val="00B57AB8"/>
    <w:rsid w:val="00B57C44"/>
    <w:rsid w:val="00B57E6E"/>
    <w:rsid w:val="00B60033"/>
    <w:rsid w:val="00B6031B"/>
    <w:rsid w:val="00B604C3"/>
    <w:rsid w:val="00B60562"/>
    <w:rsid w:val="00B6057E"/>
    <w:rsid w:val="00B606C0"/>
    <w:rsid w:val="00B60878"/>
    <w:rsid w:val="00B60D57"/>
    <w:rsid w:val="00B60F8F"/>
    <w:rsid w:val="00B60F95"/>
    <w:rsid w:val="00B61139"/>
    <w:rsid w:val="00B6127C"/>
    <w:rsid w:val="00B616DD"/>
    <w:rsid w:val="00B61932"/>
    <w:rsid w:val="00B619A7"/>
    <w:rsid w:val="00B61D76"/>
    <w:rsid w:val="00B61D7E"/>
    <w:rsid w:val="00B61F55"/>
    <w:rsid w:val="00B623CA"/>
    <w:rsid w:val="00B625A7"/>
    <w:rsid w:val="00B62812"/>
    <w:rsid w:val="00B628E6"/>
    <w:rsid w:val="00B62C64"/>
    <w:rsid w:val="00B6306E"/>
    <w:rsid w:val="00B633DE"/>
    <w:rsid w:val="00B634CE"/>
    <w:rsid w:val="00B63531"/>
    <w:rsid w:val="00B635B6"/>
    <w:rsid w:val="00B637ED"/>
    <w:rsid w:val="00B63979"/>
    <w:rsid w:val="00B63982"/>
    <w:rsid w:val="00B63A7A"/>
    <w:rsid w:val="00B63D14"/>
    <w:rsid w:val="00B63E75"/>
    <w:rsid w:val="00B6452C"/>
    <w:rsid w:val="00B648B3"/>
    <w:rsid w:val="00B649EA"/>
    <w:rsid w:val="00B64A6B"/>
    <w:rsid w:val="00B64B08"/>
    <w:rsid w:val="00B651B7"/>
    <w:rsid w:val="00B653E2"/>
    <w:rsid w:val="00B65595"/>
    <w:rsid w:val="00B65871"/>
    <w:rsid w:val="00B658CE"/>
    <w:rsid w:val="00B659C8"/>
    <w:rsid w:val="00B65A3A"/>
    <w:rsid w:val="00B65AD3"/>
    <w:rsid w:val="00B65BFA"/>
    <w:rsid w:val="00B65D86"/>
    <w:rsid w:val="00B65DBC"/>
    <w:rsid w:val="00B65EA8"/>
    <w:rsid w:val="00B6614E"/>
    <w:rsid w:val="00B664BC"/>
    <w:rsid w:val="00B665D4"/>
    <w:rsid w:val="00B66C82"/>
    <w:rsid w:val="00B66E40"/>
    <w:rsid w:val="00B66E74"/>
    <w:rsid w:val="00B66EE0"/>
    <w:rsid w:val="00B66F07"/>
    <w:rsid w:val="00B67273"/>
    <w:rsid w:val="00B6734F"/>
    <w:rsid w:val="00B673A9"/>
    <w:rsid w:val="00B67572"/>
    <w:rsid w:val="00B676D8"/>
    <w:rsid w:val="00B6777E"/>
    <w:rsid w:val="00B67807"/>
    <w:rsid w:val="00B67BBF"/>
    <w:rsid w:val="00B67CE6"/>
    <w:rsid w:val="00B700C9"/>
    <w:rsid w:val="00B70351"/>
    <w:rsid w:val="00B706DC"/>
    <w:rsid w:val="00B70B92"/>
    <w:rsid w:val="00B70C89"/>
    <w:rsid w:val="00B70FAC"/>
    <w:rsid w:val="00B712B3"/>
    <w:rsid w:val="00B7160D"/>
    <w:rsid w:val="00B7183A"/>
    <w:rsid w:val="00B71A9B"/>
    <w:rsid w:val="00B72006"/>
    <w:rsid w:val="00B720EF"/>
    <w:rsid w:val="00B72255"/>
    <w:rsid w:val="00B7236D"/>
    <w:rsid w:val="00B723F5"/>
    <w:rsid w:val="00B72701"/>
    <w:rsid w:val="00B727DA"/>
    <w:rsid w:val="00B72CBD"/>
    <w:rsid w:val="00B72DFD"/>
    <w:rsid w:val="00B73289"/>
    <w:rsid w:val="00B7340D"/>
    <w:rsid w:val="00B73481"/>
    <w:rsid w:val="00B7390F"/>
    <w:rsid w:val="00B73AA0"/>
    <w:rsid w:val="00B73D6B"/>
    <w:rsid w:val="00B7406E"/>
    <w:rsid w:val="00B74071"/>
    <w:rsid w:val="00B7416D"/>
    <w:rsid w:val="00B7417D"/>
    <w:rsid w:val="00B74202"/>
    <w:rsid w:val="00B74363"/>
    <w:rsid w:val="00B7450F"/>
    <w:rsid w:val="00B74743"/>
    <w:rsid w:val="00B748FD"/>
    <w:rsid w:val="00B7499C"/>
    <w:rsid w:val="00B74C3E"/>
    <w:rsid w:val="00B750ED"/>
    <w:rsid w:val="00B75259"/>
    <w:rsid w:val="00B7530C"/>
    <w:rsid w:val="00B7557C"/>
    <w:rsid w:val="00B7566E"/>
    <w:rsid w:val="00B75B00"/>
    <w:rsid w:val="00B75D14"/>
    <w:rsid w:val="00B762DA"/>
    <w:rsid w:val="00B7644E"/>
    <w:rsid w:val="00B765B0"/>
    <w:rsid w:val="00B76A7F"/>
    <w:rsid w:val="00B76CE8"/>
    <w:rsid w:val="00B76F01"/>
    <w:rsid w:val="00B76F7D"/>
    <w:rsid w:val="00B76FAC"/>
    <w:rsid w:val="00B7725E"/>
    <w:rsid w:val="00B7745B"/>
    <w:rsid w:val="00B77DDE"/>
    <w:rsid w:val="00B77E3D"/>
    <w:rsid w:val="00B77ED8"/>
    <w:rsid w:val="00B77F1C"/>
    <w:rsid w:val="00B80182"/>
    <w:rsid w:val="00B8035C"/>
    <w:rsid w:val="00B80454"/>
    <w:rsid w:val="00B80490"/>
    <w:rsid w:val="00B80725"/>
    <w:rsid w:val="00B807E9"/>
    <w:rsid w:val="00B80BE1"/>
    <w:rsid w:val="00B80DC4"/>
    <w:rsid w:val="00B80DEC"/>
    <w:rsid w:val="00B80EEC"/>
    <w:rsid w:val="00B8100E"/>
    <w:rsid w:val="00B810A1"/>
    <w:rsid w:val="00B8146D"/>
    <w:rsid w:val="00B81542"/>
    <w:rsid w:val="00B81713"/>
    <w:rsid w:val="00B81905"/>
    <w:rsid w:val="00B81A8B"/>
    <w:rsid w:val="00B81C58"/>
    <w:rsid w:val="00B81E5F"/>
    <w:rsid w:val="00B82139"/>
    <w:rsid w:val="00B824E2"/>
    <w:rsid w:val="00B82522"/>
    <w:rsid w:val="00B82593"/>
    <w:rsid w:val="00B82949"/>
    <w:rsid w:val="00B82E35"/>
    <w:rsid w:val="00B83018"/>
    <w:rsid w:val="00B8317A"/>
    <w:rsid w:val="00B83272"/>
    <w:rsid w:val="00B83375"/>
    <w:rsid w:val="00B834E2"/>
    <w:rsid w:val="00B83669"/>
    <w:rsid w:val="00B83D3E"/>
    <w:rsid w:val="00B83F5C"/>
    <w:rsid w:val="00B83FAC"/>
    <w:rsid w:val="00B8412D"/>
    <w:rsid w:val="00B84184"/>
    <w:rsid w:val="00B841A7"/>
    <w:rsid w:val="00B841DA"/>
    <w:rsid w:val="00B84267"/>
    <w:rsid w:val="00B844F8"/>
    <w:rsid w:val="00B845B7"/>
    <w:rsid w:val="00B845F2"/>
    <w:rsid w:val="00B84621"/>
    <w:rsid w:val="00B8474E"/>
    <w:rsid w:val="00B84A75"/>
    <w:rsid w:val="00B84A9B"/>
    <w:rsid w:val="00B84CF4"/>
    <w:rsid w:val="00B84F3F"/>
    <w:rsid w:val="00B84FC6"/>
    <w:rsid w:val="00B8550D"/>
    <w:rsid w:val="00B855A9"/>
    <w:rsid w:val="00B858A4"/>
    <w:rsid w:val="00B85FDA"/>
    <w:rsid w:val="00B860F8"/>
    <w:rsid w:val="00B8687D"/>
    <w:rsid w:val="00B86ADF"/>
    <w:rsid w:val="00B86E3C"/>
    <w:rsid w:val="00B870EF"/>
    <w:rsid w:val="00B87373"/>
    <w:rsid w:val="00B87403"/>
    <w:rsid w:val="00B87922"/>
    <w:rsid w:val="00B87E25"/>
    <w:rsid w:val="00B90584"/>
    <w:rsid w:val="00B905B0"/>
    <w:rsid w:val="00B90A00"/>
    <w:rsid w:val="00B90FD9"/>
    <w:rsid w:val="00B910AB"/>
    <w:rsid w:val="00B911E2"/>
    <w:rsid w:val="00B9140F"/>
    <w:rsid w:val="00B91898"/>
    <w:rsid w:val="00B9208D"/>
    <w:rsid w:val="00B9214C"/>
    <w:rsid w:val="00B923F9"/>
    <w:rsid w:val="00B926B5"/>
    <w:rsid w:val="00B92734"/>
    <w:rsid w:val="00B92969"/>
    <w:rsid w:val="00B929A5"/>
    <w:rsid w:val="00B92ACA"/>
    <w:rsid w:val="00B92D72"/>
    <w:rsid w:val="00B92E75"/>
    <w:rsid w:val="00B92EBE"/>
    <w:rsid w:val="00B92F7A"/>
    <w:rsid w:val="00B9300E"/>
    <w:rsid w:val="00B9383A"/>
    <w:rsid w:val="00B93996"/>
    <w:rsid w:val="00B93B21"/>
    <w:rsid w:val="00B93B26"/>
    <w:rsid w:val="00B93BFC"/>
    <w:rsid w:val="00B93DA3"/>
    <w:rsid w:val="00B93EB1"/>
    <w:rsid w:val="00B942C6"/>
    <w:rsid w:val="00B9443F"/>
    <w:rsid w:val="00B94A1C"/>
    <w:rsid w:val="00B94BBB"/>
    <w:rsid w:val="00B94DC6"/>
    <w:rsid w:val="00B94F21"/>
    <w:rsid w:val="00B9536A"/>
    <w:rsid w:val="00B9568D"/>
    <w:rsid w:val="00B959B9"/>
    <w:rsid w:val="00B95A52"/>
    <w:rsid w:val="00B95ACF"/>
    <w:rsid w:val="00B95B40"/>
    <w:rsid w:val="00B95EA7"/>
    <w:rsid w:val="00B960DF"/>
    <w:rsid w:val="00B961F2"/>
    <w:rsid w:val="00B96306"/>
    <w:rsid w:val="00B963B6"/>
    <w:rsid w:val="00B96571"/>
    <w:rsid w:val="00B967BC"/>
    <w:rsid w:val="00B96861"/>
    <w:rsid w:val="00B969B1"/>
    <w:rsid w:val="00B96F3E"/>
    <w:rsid w:val="00B96F66"/>
    <w:rsid w:val="00B97588"/>
    <w:rsid w:val="00B97857"/>
    <w:rsid w:val="00B9789B"/>
    <w:rsid w:val="00B97AA5"/>
    <w:rsid w:val="00B97BB1"/>
    <w:rsid w:val="00BA00DA"/>
    <w:rsid w:val="00BA0273"/>
    <w:rsid w:val="00BA041D"/>
    <w:rsid w:val="00BA05D7"/>
    <w:rsid w:val="00BA07D1"/>
    <w:rsid w:val="00BA092F"/>
    <w:rsid w:val="00BA0C67"/>
    <w:rsid w:val="00BA0D09"/>
    <w:rsid w:val="00BA0EDB"/>
    <w:rsid w:val="00BA16DA"/>
    <w:rsid w:val="00BA18F1"/>
    <w:rsid w:val="00BA1B56"/>
    <w:rsid w:val="00BA1DEB"/>
    <w:rsid w:val="00BA21BE"/>
    <w:rsid w:val="00BA239A"/>
    <w:rsid w:val="00BA24CD"/>
    <w:rsid w:val="00BA2B2B"/>
    <w:rsid w:val="00BA2E45"/>
    <w:rsid w:val="00BA31B1"/>
    <w:rsid w:val="00BA31CE"/>
    <w:rsid w:val="00BA3485"/>
    <w:rsid w:val="00BA34ED"/>
    <w:rsid w:val="00BA3AEE"/>
    <w:rsid w:val="00BA3CC9"/>
    <w:rsid w:val="00BA4136"/>
    <w:rsid w:val="00BA41DA"/>
    <w:rsid w:val="00BA457C"/>
    <w:rsid w:val="00BA45EA"/>
    <w:rsid w:val="00BA47E4"/>
    <w:rsid w:val="00BA4E25"/>
    <w:rsid w:val="00BA541B"/>
    <w:rsid w:val="00BA54BC"/>
    <w:rsid w:val="00BA5911"/>
    <w:rsid w:val="00BA595B"/>
    <w:rsid w:val="00BA59AC"/>
    <w:rsid w:val="00BA5DE9"/>
    <w:rsid w:val="00BA5E96"/>
    <w:rsid w:val="00BA62E3"/>
    <w:rsid w:val="00BA65E4"/>
    <w:rsid w:val="00BA6618"/>
    <w:rsid w:val="00BA69FE"/>
    <w:rsid w:val="00BA6B2C"/>
    <w:rsid w:val="00BA6B35"/>
    <w:rsid w:val="00BA6C9F"/>
    <w:rsid w:val="00BA6DCE"/>
    <w:rsid w:val="00BA6E0E"/>
    <w:rsid w:val="00BA6ECE"/>
    <w:rsid w:val="00BA73B8"/>
    <w:rsid w:val="00BA76FE"/>
    <w:rsid w:val="00BA77BF"/>
    <w:rsid w:val="00BA77CB"/>
    <w:rsid w:val="00BA7813"/>
    <w:rsid w:val="00BA7C87"/>
    <w:rsid w:val="00BB07E5"/>
    <w:rsid w:val="00BB0A0B"/>
    <w:rsid w:val="00BB1467"/>
    <w:rsid w:val="00BB153D"/>
    <w:rsid w:val="00BB158D"/>
    <w:rsid w:val="00BB1798"/>
    <w:rsid w:val="00BB190A"/>
    <w:rsid w:val="00BB194A"/>
    <w:rsid w:val="00BB19A4"/>
    <w:rsid w:val="00BB1A19"/>
    <w:rsid w:val="00BB1CCC"/>
    <w:rsid w:val="00BB1F52"/>
    <w:rsid w:val="00BB1FC5"/>
    <w:rsid w:val="00BB2116"/>
    <w:rsid w:val="00BB236C"/>
    <w:rsid w:val="00BB2392"/>
    <w:rsid w:val="00BB2393"/>
    <w:rsid w:val="00BB2611"/>
    <w:rsid w:val="00BB2961"/>
    <w:rsid w:val="00BB2A6D"/>
    <w:rsid w:val="00BB2D52"/>
    <w:rsid w:val="00BB300D"/>
    <w:rsid w:val="00BB30F6"/>
    <w:rsid w:val="00BB33FA"/>
    <w:rsid w:val="00BB35EA"/>
    <w:rsid w:val="00BB3637"/>
    <w:rsid w:val="00BB365B"/>
    <w:rsid w:val="00BB3673"/>
    <w:rsid w:val="00BB3906"/>
    <w:rsid w:val="00BB3ACE"/>
    <w:rsid w:val="00BB3B47"/>
    <w:rsid w:val="00BB3B64"/>
    <w:rsid w:val="00BB3EAE"/>
    <w:rsid w:val="00BB41D7"/>
    <w:rsid w:val="00BB424E"/>
    <w:rsid w:val="00BB42E7"/>
    <w:rsid w:val="00BB463E"/>
    <w:rsid w:val="00BB46C2"/>
    <w:rsid w:val="00BB477D"/>
    <w:rsid w:val="00BB47E7"/>
    <w:rsid w:val="00BB48FC"/>
    <w:rsid w:val="00BB4AA7"/>
    <w:rsid w:val="00BB4AB4"/>
    <w:rsid w:val="00BB4B5E"/>
    <w:rsid w:val="00BB4BA7"/>
    <w:rsid w:val="00BB4BC8"/>
    <w:rsid w:val="00BB4CAE"/>
    <w:rsid w:val="00BB4D86"/>
    <w:rsid w:val="00BB50A6"/>
    <w:rsid w:val="00BB5169"/>
    <w:rsid w:val="00BB55E7"/>
    <w:rsid w:val="00BB5942"/>
    <w:rsid w:val="00BB5961"/>
    <w:rsid w:val="00BB5A73"/>
    <w:rsid w:val="00BB5F4B"/>
    <w:rsid w:val="00BB6243"/>
    <w:rsid w:val="00BB6470"/>
    <w:rsid w:val="00BB64A7"/>
    <w:rsid w:val="00BB6F94"/>
    <w:rsid w:val="00BB6FAC"/>
    <w:rsid w:val="00BB7051"/>
    <w:rsid w:val="00BB787C"/>
    <w:rsid w:val="00BB7FCC"/>
    <w:rsid w:val="00BC0271"/>
    <w:rsid w:val="00BC03FB"/>
    <w:rsid w:val="00BC0BDA"/>
    <w:rsid w:val="00BC0E78"/>
    <w:rsid w:val="00BC1100"/>
    <w:rsid w:val="00BC1421"/>
    <w:rsid w:val="00BC15A4"/>
    <w:rsid w:val="00BC18E6"/>
    <w:rsid w:val="00BC1B5C"/>
    <w:rsid w:val="00BC1CFC"/>
    <w:rsid w:val="00BC1F06"/>
    <w:rsid w:val="00BC1FB6"/>
    <w:rsid w:val="00BC20AA"/>
    <w:rsid w:val="00BC21AA"/>
    <w:rsid w:val="00BC2386"/>
    <w:rsid w:val="00BC23C4"/>
    <w:rsid w:val="00BC246E"/>
    <w:rsid w:val="00BC2635"/>
    <w:rsid w:val="00BC284B"/>
    <w:rsid w:val="00BC2878"/>
    <w:rsid w:val="00BC2914"/>
    <w:rsid w:val="00BC29C4"/>
    <w:rsid w:val="00BC2BB5"/>
    <w:rsid w:val="00BC2F69"/>
    <w:rsid w:val="00BC3099"/>
    <w:rsid w:val="00BC334B"/>
    <w:rsid w:val="00BC3468"/>
    <w:rsid w:val="00BC3600"/>
    <w:rsid w:val="00BC3D31"/>
    <w:rsid w:val="00BC3E48"/>
    <w:rsid w:val="00BC40B8"/>
    <w:rsid w:val="00BC424B"/>
    <w:rsid w:val="00BC473E"/>
    <w:rsid w:val="00BC4897"/>
    <w:rsid w:val="00BC4EE8"/>
    <w:rsid w:val="00BC5564"/>
    <w:rsid w:val="00BC569F"/>
    <w:rsid w:val="00BC5966"/>
    <w:rsid w:val="00BC5985"/>
    <w:rsid w:val="00BC62FB"/>
    <w:rsid w:val="00BC67D7"/>
    <w:rsid w:val="00BC698B"/>
    <w:rsid w:val="00BC6B72"/>
    <w:rsid w:val="00BC6D56"/>
    <w:rsid w:val="00BC7306"/>
    <w:rsid w:val="00BC7346"/>
    <w:rsid w:val="00BC7385"/>
    <w:rsid w:val="00BC7F49"/>
    <w:rsid w:val="00BC7FA2"/>
    <w:rsid w:val="00BD003B"/>
    <w:rsid w:val="00BD07EA"/>
    <w:rsid w:val="00BD08FF"/>
    <w:rsid w:val="00BD0997"/>
    <w:rsid w:val="00BD0D79"/>
    <w:rsid w:val="00BD0DA2"/>
    <w:rsid w:val="00BD0FB4"/>
    <w:rsid w:val="00BD166E"/>
    <w:rsid w:val="00BD16E2"/>
    <w:rsid w:val="00BD1D2E"/>
    <w:rsid w:val="00BD1DE8"/>
    <w:rsid w:val="00BD20DA"/>
    <w:rsid w:val="00BD26A2"/>
    <w:rsid w:val="00BD2AE7"/>
    <w:rsid w:val="00BD2BCF"/>
    <w:rsid w:val="00BD2DD9"/>
    <w:rsid w:val="00BD2E73"/>
    <w:rsid w:val="00BD376E"/>
    <w:rsid w:val="00BD3C78"/>
    <w:rsid w:val="00BD3C7D"/>
    <w:rsid w:val="00BD3DFB"/>
    <w:rsid w:val="00BD3F84"/>
    <w:rsid w:val="00BD3FC1"/>
    <w:rsid w:val="00BD4675"/>
    <w:rsid w:val="00BD46D6"/>
    <w:rsid w:val="00BD47EE"/>
    <w:rsid w:val="00BD4913"/>
    <w:rsid w:val="00BD4BA9"/>
    <w:rsid w:val="00BD4F14"/>
    <w:rsid w:val="00BD51C2"/>
    <w:rsid w:val="00BD53A2"/>
    <w:rsid w:val="00BD57FA"/>
    <w:rsid w:val="00BD5AD1"/>
    <w:rsid w:val="00BD5B62"/>
    <w:rsid w:val="00BD5C39"/>
    <w:rsid w:val="00BD5CA5"/>
    <w:rsid w:val="00BD5F51"/>
    <w:rsid w:val="00BD60F5"/>
    <w:rsid w:val="00BD6209"/>
    <w:rsid w:val="00BD62A7"/>
    <w:rsid w:val="00BD63FA"/>
    <w:rsid w:val="00BD6911"/>
    <w:rsid w:val="00BD69FE"/>
    <w:rsid w:val="00BD6A3A"/>
    <w:rsid w:val="00BD6D55"/>
    <w:rsid w:val="00BD6E08"/>
    <w:rsid w:val="00BD6F77"/>
    <w:rsid w:val="00BD6FC2"/>
    <w:rsid w:val="00BD7272"/>
    <w:rsid w:val="00BD76BB"/>
    <w:rsid w:val="00BD7725"/>
    <w:rsid w:val="00BD780C"/>
    <w:rsid w:val="00BD78DE"/>
    <w:rsid w:val="00BD7D37"/>
    <w:rsid w:val="00BD7E37"/>
    <w:rsid w:val="00BE013F"/>
    <w:rsid w:val="00BE02E3"/>
    <w:rsid w:val="00BE02F0"/>
    <w:rsid w:val="00BE040E"/>
    <w:rsid w:val="00BE0510"/>
    <w:rsid w:val="00BE06DA"/>
    <w:rsid w:val="00BE0821"/>
    <w:rsid w:val="00BE0AE2"/>
    <w:rsid w:val="00BE0B2F"/>
    <w:rsid w:val="00BE10CE"/>
    <w:rsid w:val="00BE1546"/>
    <w:rsid w:val="00BE15D8"/>
    <w:rsid w:val="00BE1784"/>
    <w:rsid w:val="00BE1AAF"/>
    <w:rsid w:val="00BE1B70"/>
    <w:rsid w:val="00BE2049"/>
    <w:rsid w:val="00BE2322"/>
    <w:rsid w:val="00BE25E2"/>
    <w:rsid w:val="00BE26E4"/>
    <w:rsid w:val="00BE28FE"/>
    <w:rsid w:val="00BE290E"/>
    <w:rsid w:val="00BE2C81"/>
    <w:rsid w:val="00BE31C8"/>
    <w:rsid w:val="00BE343B"/>
    <w:rsid w:val="00BE3548"/>
    <w:rsid w:val="00BE3554"/>
    <w:rsid w:val="00BE36D5"/>
    <w:rsid w:val="00BE37A0"/>
    <w:rsid w:val="00BE3887"/>
    <w:rsid w:val="00BE3A14"/>
    <w:rsid w:val="00BE3AE1"/>
    <w:rsid w:val="00BE3DCF"/>
    <w:rsid w:val="00BE3EF5"/>
    <w:rsid w:val="00BE3FE5"/>
    <w:rsid w:val="00BE4025"/>
    <w:rsid w:val="00BE4155"/>
    <w:rsid w:val="00BE4317"/>
    <w:rsid w:val="00BE43C9"/>
    <w:rsid w:val="00BE44F7"/>
    <w:rsid w:val="00BE4598"/>
    <w:rsid w:val="00BE4888"/>
    <w:rsid w:val="00BE4C63"/>
    <w:rsid w:val="00BE4E07"/>
    <w:rsid w:val="00BE4F4A"/>
    <w:rsid w:val="00BE538B"/>
    <w:rsid w:val="00BE594E"/>
    <w:rsid w:val="00BE59DA"/>
    <w:rsid w:val="00BE5B3E"/>
    <w:rsid w:val="00BE6286"/>
    <w:rsid w:val="00BE632D"/>
    <w:rsid w:val="00BE6452"/>
    <w:rsid w:val="00BE6459"/>
    <w:rsid w:val="00BE64E6"/>
    <w:rsid w:val="00BE679C"/>
    <w:rsid w:val="00BE68A3"/>
    <w:rsid w:val="00BE6CEE"/>
    <w:rsid w:val="00BE707E"/>
    <w:rsid w:val="00BE73BF"/>
    <w:rsid w:val="00BE7629"/>
    <w:rsid w:val="00BE764C"/>
    <w:rsid w:val="00BE767F"/>
    <w:rsid w:val="00BE79F9"/>
    <w:rsid w:val="00BE7C27"/>
    <w:rsid w:val="00BE7D66"/>
    <w:rsid w:val="00BE7F5D"/>
    <w:rsid w:val="00BF0162"/>
    <w:rsid w:val="00BF01B0"/>
    <w:rsid w:val="00BF0231"/>
    <w:rsid w:val="00BF02E3"/>
    <w:rsid w:val="00BF0382"/>
    <w:rsid w:val="00BF038E"/>
    <w:rsid w:val="00BF0433"/>
    <w:rsid w:val="00BF048E"/>
    <w:rsid w:val="00BF0680"/>
    <w:rsid w:val="00BF071D"/>
    <w:rsid w:val="00BF0739"/>
    <w:rsid w:val="00BF091A"/>
    <w:rsid w:val="00BF0A5A"/>
    <w:rsid w:val="00BF0EB5"/>
    <w:rsid w:val="00BF0FC2"/>
    <w:rsid w:val="00BF1033"/>
    <w:rsid w:val="00BF1735"/>
    <w:rsid w:val="00BF189D"/>
    <w:rsid w:val="00BF1BC3"/>
    <w:rsid w:val="00BF1C4A"/>
    <w:rsid w:val="00BF1D99"/>
    <w:rsid w:val="00BF1DD8"/>
    <w:rsid w:val="00BF2219"/>
    <w:rsid w:val="00BF2313"/>
    <w:rsid w:val="00BF24A8"/>
    <w:rsid w:val="00BF258F"/>
    <w:rsid w:val="00BF25CA"/>
    <w:rsid w:val="00BF28CC"/>
    <w:rsid w:val="00BF2B4F"/>
    <w:rsid w:val="00BF2DC1"/>
    <w:rsid w:val="00BF302C"/>
    <w:rsid w:val="00BF3597"/>
    <w:rsid w:val="00BF398A"/>
    <w:rsid w:val="00BF3D64"/>
    <w:rsid w:val="00BF42D2"/>
    <w:rsid w:val="00BF445A"/>
    <w:rsid w:val="00BF4673"/>
    <w:rsid w:val="00BF489A"/>
    <w:rsid w:val="00BF4B39"/>
    <w:rsid w:val="00BF4BD2"/>
    <w:rsid w:val="00BF4CD1"/>
    <w:rsid w:val="00BF4E60"/>
    <w:rsid w:val="00BF4EBE"/>
    <w:rsid w:val="00BF4F5B"/>
    <w:rsid w:val="00BF50C9"/>
    <w:rsid w:val="00BF5239"/>
    <w:rsid w:val="00BF54FB"/>
    <w:rsid w:val="00BF55C1"/>
    <w:rsid w:val="00BF5856"/>
    <w:rsid w:val="00BF60C5"/>
    <w:rsid w:val="00BF6238"/>
    <w:rsid w:val="00BF6326"/>
    <w:rsid w:val="00BF667F"/>
    <w:rsid w:val="00BF67B8"/>
    <w:rsid w:val="00BF6845"/>
    <w:rsid w:val="00BF6A41"/>
    <w:rsid w:val="00BF6B16"/>
    <w:rsid w:val="00BF6C2A"/>
    <w:rsid w:val="00BF6C44"/>
    <w:rsid w:val="00BF6E05"/>
    <w:rsid w:val="00BF7093"/>
    <w:rsid w:val="00BF717A"/>
    <w:rsid w:val="00BF729F"/>
    <w:rsid w:val="00BF755F"/>
    <w:rsid w:val="00BF7726"/>
    <w:rsid w:val="00BF7A35"/>
    <w:rsid w:val="00BF7AE4"/>
    <w:rsid w:val="00C002F4"/>
    <w:rsid w:val="00C0046B"/>
    <w:rsid w:val="00C0057B"/>
    <w:rsid w:val="00C00710"/>
    <w:rsid w:val="00C00C16"/>
    <w:rsid w:val="00C00C46"/>
    <w:rsid w:val="00C00C58"/>
    <w:rsid w:val="00C00DE4"/>
    <w:rsid w:val="00C0120C"/>
    <w:rsid w:val="00C01313"/>
    <w:rsid w:val="00C0159C"/>
    <w:rsid w:val="00C01699"/>
    <w:rsid w:val="00C0174A"/>
    <w:rsid w:val="00C01E59"/>
    <w:rsid w:val="00C02318"/>
    <w:rsid w:val="00C02540"/>
    <w:rsid w:val="00C02597"/>
    <w:rsid w:val="00C026D9"/>
    <w:rsid w:val="00C02898"/>
    <w:rsid w:val="00C028F8"/>
    <w:rsid w:val="00C02B69"/>
    <w:rsid w:val="00C02D5A"/>
    <w:rsid w:val="00C0337E"/>
    <w:rsid w:val="00C03444"/>
    <w:rsid w:val="00C03450"/>
    <w:rsid w:val="00C0355D"/>
    <w:rsid w:val="00C038C1"/>
    <w:rsid w:val="00C03E42"/>
    <w:rsid w:val="00C03F2F"/>
    <w:rsid w:val="00C0412F"/>
    <w:rsid w:val="00C04695"/>
    <w:rsid w:val="00C046DA"/>
    <w:rsid w:val="00C04740"/>
    <w:rsid w:val="00C04880"/>
    <w:rsid w:val="00C04A02"/>
    <w:rsid w:val="00C04A2D"/>
    <w:rsid w:val="00C04AC1"/>
    <w:rsid w:val="00C04B5F"/>
    <w:rsid w:val="00C04C64"/>
    <w:rsid w:val="00C05063"/>
    <w:rsid w:val="00C05071"/>
    <w:rsid w:val="00C051D9"/>
    <w:rsid w:val="00C05282"/>
    <w:rsid w:val="00C05511"/>
    <w:rsid w:val="00C05691"/>
    <w:rsid w:val="00C05B29"/>
    <w:rsid w:val="00C05E7C"/>
    <w:rsid w:val="00C05FC6"/>
    <w:rsid w:val="00C060CC"/>
    <w:rsid w:val="00C066E8"/>
    <w:rsid w:val="00C06C1B"/>
    <w:rsid w:val="00C06D87"/>
    <w:rsid w:val="00C06E2D"/>
    <w:rsid w:val="00C07490"/>
    <w:rsid w:val="00C07821"/>
    <w:rsid w:val="00C07A59"/>
    <w:rsid w:val="00C07AA7"/>
    <w:rsid w:val="00C07B12"/>
    <w:rsid w:val="00C07B3C"/>
    <w:rsid w:val="00C07C43"/>
    <w:rsid w:val="00C07CA4"/>
    <w:rsid w:val="00C07D48"/>
    <w:rsid w:val="00C07E1B"/>
    <w:rsid w:val="00C1057C"/>
    <w:rsid w:val="00C10E85"/>
    <w:rsid w:val="00C10EE8"/>
    <w:rsid w:val="00C10F1D"/>
    <w:rsid w:val="00C110AE"/>
    <w:rsid w:val="00C1117B"/>
    <w:rsid w:val="00C112C9"/>
    <w:rsid w:val="00C1136A"/>
    <w:rsid w:val="00C11490"/>
    <w:rsid w:val="00C11542"/>
    <w:rsid w:val="00C11641"/>
    <w:rsid w:val="00C117BD"/>
    <w:rsid w:val="00C118D1"/>
    <w:rsid w:val="00C11C63"/>
    <w:rsid w:val="00C12603"/>
    <w:rsid w:val="00C126F6"/>
    <w:rsid w:val="00C12727"/>
    <w:rsid w:val="00C12B51"/>
    <w:rsid w:val="00C12C21"/>
    <w:rsid w:val="00C12C5A"/>
    <w:rsid w:val="00C12C83"/>
    <w:rsid w:val="00C12F10"/>
    <w:rsid w:val="00C13147"/>
    <w:rsid w:val="00C132E6"/>
    <w:rsid w:val="00C13310"/>
    <w:rsid w:val="00C13321"/>
    <w:rsid w:val="00C1352C"/>
    <w:rsid w:val="00C1370D"/>
    <w:rsid w:val="00C1371A"/>
    <w:rsid w:val="00C1387A"/>
    <w:rsid w:val="00C13B01"/>
    <w:rsid w:val="00C13BFB"/>
    <w:rsid w:val="00C13D46"/>
    <w:rsid w:val="00C140B9"/>
    <w:rsid w:val="00C14519"/>
    <w:rsid w:val="00C146DE"/>
    <w:rsid w:val="00C1487D"/>
    <w:rsid w:val="00C148B4"/>
    <w:rsid w:val="00C14AF8"/>
    <w:rsid w:val="00C14BB7"/>
    <w:rsid w:val="00C14BCE"/>
    <w:rsid w:val="00C15074"/>
    <w:rsid w:val="00C1527D"/>
    <w:rsid w:val="00C154C8"/>
    <w:rsid w:val="00C15995"/>
    <w:rsid w:val="00C15A23"/>
    <w:rsid w:val="00C15B36"/>
    <w:rsid w:val="00C15B75"/>
    <w:rsid w:val="00C16345"/>
    <w:rsid w:val="00C1639F"/>
    <w:rsid w:val="00C163B7"/>
    <w:rsid w:val="00C163EF"/>
    <w:rsid w:val="00C164D7"/>
    <w:rsid w:val="00C164DB"/>
    <w:rsid w:val="00C16631"/>
    <w:rsid w:val="00C1670F"/>
    <w:rsid w:val="00C16736"/>
    <w:rsid w:val="00C16788"/>
    <w:rsid w:val="00C16BDB"/>
    <w:rsid w:val="00C1719C"/>
    <w:rsid w:val="00C1719E"/>
    <w:rsid w:val="00C1721B"/>
    <w:rsid w:val="00C172F8"/>
    <w:rsid w:val="00C17540"/>
    <w:rsid w:val="00C178DB"/>
    <w:rsid w:val="00C17DC4"/>
    <w:rsid w:val="00C2038C"/>
    <w:rsid w:val="00C2045F"/>
    <w:rsid w:val="00C20540"/>
    <w:rsid w:val="00C20541"/>
    <w:rsid w:val="00C205B6"/>
    <w:rsid w:val="00C20699"/>
    <w:rsid w:val="00C20B39"/>
    <w:rsid w:val="00C210FB"/>
    <w:rsid w:val="00C2120C"/>
    <w:rsid w:val="00C21262"/>
    <w:rsid w:val="00C2155A"/>
    <w:rsid w:val="00C21662"/>
    <w:rsid w:val="00C2189F"/>
    <w:rsid w:val="00C21A29"/>
    <w:rsid w:val="00C21A9E"/>
    <w:rsid w:val="00C21AE1"/>
    <w:rsid w:val="00C21B9D"/>
    <w:rsid w:val="00C21E29"/>
    <w:rsid w:val="00C21FDD"/>
    <w:rsid w:val="00C22201"/>
    <w:rsid w:val="00C222A7"/>
    <w:rsid w:val="00C22358"/>
    <w:rsid w:val="00C224B5"/>
    <w:rsid w:val="00C22A36"/>
    <w:rsid w:val="00C230FA"/>
    <w:rsid w:val="00C23150"/>
    <w:rsid w:val="00C2353D"/>
    <w:rsid w:val="00C235DD"/>
    <w:rsid w:val="00C236AB"/>
    <w:rsid w:val="00C23777"/>
    <w:rsid w:val="00C23A62"/>
    <w:rsid w:val="00C23A7E"/>
    <w:rsid w:val="00C23CEB"/>
    <w:rsid w:val="00C23D04"/>
    <w:rsid w:val="00C2427B"/>
    <w:rsid w:val="00C24CB5"/>
    <w:rsid w:val="00C250C8"/>
    <w:rsid w:val="00C253DB"/>
    <w:rsid w:val="00C25453"/>
    <w:rsid w:val="00C25465"/>
    <w:rsid w:val="00C2562D"/>
    <w:rsid w:val="00C25744"/>
    <w:rsid w:val="00C258B8"/>
    <w:rsid w:val="00C25914"/>
    <w:rsid w:val="00C2594C"/>
    <w:rsid w:val="00C25BF4"/>
    <w:rsid w:val="00C25BFC"/>
    <w:rsid w:val="00C25CE0"/>
    <w:rsid w:val="00C25F4D"/>
    <w:rsid w:val="00C25FED"/>
    <w:rsid w:val="00C264FB"/>
    <w:rsid w:val="00C265C1"/>
    <w:rsid w:val="00C269DA"/>
    <w:rsid w:val="00C26C96"/>
    <w:rsid w:val="00C26D3F"/>
    <w:rsid w:val="00C26DA2"/>
    <w:rsid w:val="00C26ECA"/>
    <w:rsid w:val="00C272FA"/>
    <w:rsid w:val="00C2752A"/>
    <w:rsid w:val="00C27968"/>
    <w:rsid w:val="00C27C1E"/>
    <w:rsid w:val="00C27D43"/>
    <w:rsid w:val="00C27F77"/>
    <w:rsid w:val="00C300D0"/>
    <w:rsid w:val="00C30315"/>
    <w:rsid w:val="00C30419"/>
    <w:rsid w:val="00C3048C"/>
    <w:rsid w:val="00C305DE"/>
    <w:rsid w:val="00C30643"/>
    <w:rsid w:val="00C30670"/>
    <w:rsid w:val="00C3088D"/>
    <w:rsid w:val="00C309E1"/>
    <w:rsid w:val="00C30A6D"/>
    <w:rsid w:val="00C30AF3"/>
    <w:rsid w:val="00C31036"/>
    <w:rsid w:val="00C31205"/>
    <w:rsid w:val="00C316A9"/>
    <w:rsid w:val="00C31BBC"/>
    <w:rsid w:val="00C31E24"/>
    <w:rsid w:val="00C31E4F"/>
    <w:rsid w:val="00C320A4"/>
    <w:rsid w:val="00C323D6"/>
    <w:rsid w:val="00C3260A"/>
    <w:rsid w:val="00C327C3"/>
    <w:rsid w:val="00C32ABA"/>
    <w:rsid w:val="00C32BAB"/>
    <w:rsid w:val="00C32BCA"/>
    <w:rsid w:val="00C32D82"/>
    <w:rsid w:val="00C32DB5"/>
    <w:rsid w:val="00C333B5"/>
    <w:rsid w:val="00C336FB"/>
    <w:rsid w:val="00C33ACB"/>
    <w:rsid w:val="00C33C9F"/>
    <w:rsid w:val="00C33F05"/>
    <w:rsid w:val="00C33F0D"/>
    <w:rsid w:val="00C34198"/>
    <w:rsid w:val="00C341A5"/>
    <w:rsid w:val="00C343C2"/>
    <w:rsid w:val="00C346B7"/>
    <w:rsid w:val="00C34755"/>
    <w:rsid w:val="00C349B8"/>
    <w:rsid w:val="00C34BB0"/>
    <w:rsid w:val="00C34ED7"/>
    <w:rsid w:val="00C35257"/>
    <w:rsid w:val="00C352F0"/>
    <w:rsid w:val="00C35472"/>
    <w:rsid w:val="00C3563A"/>
    <w:rsid w:val="00C3567A"/>
    <w:rsid w:val="00C35803"/>
    <w:rsid w:val="00C35936"/>
    <w:rsid w:val="00C359F7"/>
    <w:rsid w:val="00C35ACD"/>
    <w:rsid w:val="00C35B71"/>
    <w:rsid w:val="00C36377"/>
    <w:rsid w:val="00C36804"/>
    <w:rsid w:val="00C36A69"/>
    <w:rsid w:val="00C36C23"/>
    <w:rsid w:val="00C36DF2"/>
    <w:rsid w:val="00C370F7"/>
    <w:rsid w:val="00C371AD"/>
    <w:rsid w:val="00C373AD"/>
    <w:rsid w:val="00C375D0"/>
    <w:rsid w:val="00C37B52"/>
    <w:rsid w:val="00C37DD8"/>
    <w:rsid w:val="00C37E6D"/>
    <w:rsid w:val="00C37EBC"/>
    <w:rsid w:val="00C40527"/>
    <w:rsid w:val="00C405B9"/>
    <w:rsid w:val="00C405E8"/>
    <w:rsid w:val="00C40884"/>
    <w:rsid w:val="00C40A7E"/>
    <w:rsid w:val="00C40D63"/>
    <w:rsid w:val="00C4104D"/>
    <w:rsid w:val="00C41237"/>
    <w:rsid w:val="00C414EC"/>
    <w:rsid w:val="00C417CE"/>
    <w:rsid w:val="00C41A4D"/>
    <w:rsid w:val="00C41AE3"/>
    <w:rsid w:val="00C41C1F"/>
    <w:rsid w:val="00C41C60"/>
    <w:rsid w:val="00C41C91"/>
    <w:rsid w:val="00C4208A"/>
    <w:rsid w:val="00C424E5"/>
    <w:rsid w:val="00C428A1"/>
    <w:rsid w:val="00C42A3C"/>
    <w:rsid w:val="00C42B4E"/>
    <w:rsid w:val="00C430A5"/>
    <w:rsid w:val="00C43570"/>
    <w:rsid w:val="00C436E2"/>
    <w:rsid w:val="00C43737"/>
    <w:rsid w:val="00C438D3"/>
    <w:rsid w:val="00C439C5"/>
    <w:rsid w:val="00C43D03"/>
    <w:rsid w:val="00C44145"/>
    <w:rsid w:val="00C4459D"/>
    <w:rsid w:val="00C4493B"/>
    <w:rsid w:val="00C449F1"/>
    <w:rsid w:val="00C44A1E"/>
    <w:rsid w:val="00C44E3B"/>
    <w:rsid w:val="00C44F82"/>
    <w:rsid w:val="00C4505D"/>
    <w:rsid w:val="00C451AD"/>
    <w:rsid w:val="00C45D53"/>
    <w:rsid w:val="00C45DBC"/>
    <w:rsid w:val="00C461DB"/>
    <w:rsid w:val="00C462E5"/>
    <w:rsid w:val="00C4665E"/>
    <w:rsid w:val="00C46ABB"/>
    <w:rsid w:val="00C46B7F"/>
    <w:rsid w:val="00C46DD9"/>
    <w:rsid w:val="00C46E16"/>
    <w:rsid w:val="00C46F0E"/>
    <w:rsid w:val="00C47665"/>
    <w:rsid w:val="00C47748"/>
    <w:rsid w:val="00C47770"/>
    <w:rsid w:val="00C47A6E"/>
    <w:rsid w:val="00C47DC9"/>
    <w:rsid w:val="00C47F37"/>
    <w:rsid w:val="00C5005B"/>
    <w:rsid w:val="00C50086"/>
    <w:rsid w:val="00C50233"/>
    <w:rsid w:val="00C5081A"/>
    <w:rsid w:val="00C509B0"/>
    <w:rsid w:val="00C50FC7"/>
    <w:rsid w:val="00C5128E"/>
    <w:rsid w:val="00C51362"/>
    <w:rsid w:val="00C51385"/>
    <w:rsid w:val="00C514B1"/>
    <w:rsid w:val="00C51594"/>
    <w:rsid w:val="00C51689"/>
    <w:rsid w:val="00C51A0E"/>
    <w:rsid w:val="00C51E41"/>
    <w:rsid w:val="00C52235"/>
    <w:rsid w:val="00C52486"/>
    <w:rsid w:val="00C524B7"/>
    <w:rsid w:val="00C52540"/>
    <w:rsid w:val="00C529C3"/>
    <w:rsid w:val="00C529E3"/>
    <w:rsid w:val="00C52A83"/>
    <w:rsid w:val="00C52E88"/>
    <w:rsid w:val="00C530E9"/>
    <w:rsid w:val="00C5337A"/>
    <w:rsid w:val="00C53782"/>
    <w:rsid w:val="00C537BE"/>
    <w:rsid w:val="00C53981"/>
    <w:rsid w:val="00C53E04"/>
    <w:rsid w:val="00C54070"/>
    <w:rsid w:val="00C541D7"/>
    <w:rsid w:val="00C542FF"/>
    <w:rsid w:val="00C54581"/>
    <w:rsid w:val="00C54665"/>
    <w:rsid w:val="00C54BAF"/>
    <w:rsid w:val="00C55033"/>
    <w:rsid w:val="00C55210"/>
    <w:rsid w:val="00C55487"/>
    <w:rsid w:val="00C556D1"/>
    <w:rsid w:val="00C556D6"/>
    <w:rsid w:val="00C557EB"/>
    <w:rsid w:val="00C55835"/>
    <w:rsid w:val="00C55C1A"/>
    <w:rsid w:val="00C55F62"/>
    <w:rsid w:val="00C560F0"/>
    <w:rsid w:val="00C5618C"/>
    <w:rsid w:val="00C56249"/>
    <w:rsid w:val="00C563A5"/>
    <w:rsid w:val="00C56498"/>
    <w:rsid w:val="00C564F4"/>
    <w:rsid w:val="00C56707"/>
    <w:rsid w:val="00C567A1"/>
    <w:rsid w:val="00C567FD"/>
    <w:rsid w:val="00C5692D"/>
    <w:rsid w:val="00C56B50"/>
    <w:rsid w:val="00C56D8D"/>
    <w:rsid w:val="00C57126"/>
    <w:rsid w:val="00C57164"/>
    <w:rsid w:val="00C573E6"/>
    <w:rsid w:val="00C57510"/>
    <w:rsid w:val="00C576AD"/>
    <w:rsid w:val="00C57759"/>
    <w:rsid w:val="00C577DC"/>
    <w:rsid w:val="00C60082"/>
    <w:rsid w:val="00C600C6"/>
    <w:rsid w:val="00C600FD"/>
    <w:rsid w:val="00C60674"/>
    <w:rsid w:val="00C60820"/>
    <w:rsid w:val="00C608E5"/>
    <w:rsid w:val="00C60BED"/>
    <w:rsid w:val="00C60EB3"/>
    <w:rsid w:val="00C60FC8"/>
    <w:rsid w:val="00C6100B"/>
    <w:rsid w:val="00C6106E"/>
    <w:rsid w:val="00C6109D"/>
    <w:rsid w:val="00C6122C"/>
    <w:rsid w:val="00C615BD"/>
    <w:rsid w:val="00C618D9"/>
    <w:rsid w:val="00C618EE"/>
    <w:rsid w:val="00C618F0"/>
    <w:rsid w:val="00C6195E"/>
    <w:rsid w:val="00C61ACB"/>
    <w:rsid w:val="00C61B22"/>
    <w:rsid w:val="00C61BAB"/>
    <w:rsid w:val="00C61FD9"/>
    <w:rsid w:val="00C6235F"/>
    <w:rsid w:val="00C625DB"/>
    <w:rsid w:val="00C6263D"/>
    <w:rsid w:val="00C6264D"/>
    <w:rsid w:val="00C627AE"/>
    <w:rsid w:val="00C62891"/>
    <w:rsid w:val="00C62CA5"/>
    <w:rsid w:val="00C62D0F"/>
    <w:rsid w:val="00C62D38"/>
    <w:rsid w:val="00C62EC3"/>
    <w:rsid w:val="00C635FD"/>
    <w:rsid w:val="00C63889"/>
    <w:rsid w:val="00C63905"/>
    <w:rsid w:val="00C63A5C"/>
    <w:rsid w:val="00C63B1B"/>
    <w:rsid w:val="00C63C0B"/>
    <w:rsid w:val="00C63CD8"/>
    <w:rsid w:val="00C63ECB"/>
    <w:rsid w:val="00C64318"/>
    <w:rsid w:val="00C6446E"/>
    <w:rsid w:val="00C64AB6"/>
    <w:rsid w:val="00C64CA8"/>
    <w:rsid w:val="00C65543"/>
    <w:rsid w:val="00C656F4"/>
    <w:rsid w:val="00C657B9"/>
    <w:rsid w:val="00C65A6F"/>
    <w:rsid w:val="00C65D4A"/>
    <w:rsid w:val="00C65D9D"/>
    <w:rsid w:val="00C65FA9"/>
    <w:rsid w:val="00C663DB"/>
    <w:rsid w:val="00C66614"/>
    <w:rsid w:val="00C6683D"/>
    <w:rsid w:val="00C66919"/>
    <w:rsid w:val="00C671B5"/>
    <w:rsid w:val="00C673CB"/>
    <w:rsid w:val="00C677DD"/>
    <w:rsid w:val="00C67BF0"/>
    <w:rsid w:val="00C67C17"/>
    <w:rsid w:val="00C67DD4"/>
    <w:rsid w:val="00C7022B"/>
    <w:rsid w:val="00C7028E"/>
    <w:rsid w:val="00C70380"/>
    <w:rsid w:val="00C703EE"/>
    <w:rsid w:val="00C703F6"/>
    <w:rsid w:val="00C706A0"/>
    <w:rsid w:val="00C7072D"/>
    <w:rsid w:val="00C70DCD"/>
    <w:rsid w:val="00C71045"/>
    <w:rsid w:val="00C710C6"/>
    <w:rsid w:val="00C7116F"/>
    <w:rsid w:val="00C7129E"/>
    <w:rsid w:val="00C7156F"/>
    <w:rsid w:val="00C71716"/>
    <w:rsid w:val="00C71A3F"/>
    <w:rsid w:val="00C71EB1"/>
    <w:rsid w:val="00C725E3"/>
    <w:rsid w:val="00C72B32"/>
    <w:rsid w:val="00C732EB"/>
    <w:rsid w:val="00C73593"/>
    <w:rsid w:val="00C736C5"/>
    <w:rsid w:val="00C7382F"/>
    <w:rsid w:val="00C73BEF"/>
    <w:rsid w:val="00C73CBD"/>
    <w:rsid w:val="00C73D3C"/>
    <w:rsid w:val="00C73E12"/>
    <w:rsid w:val="00C73E4B"/>
    <w:rsid w:val="00C73F71"/>
    <w:rsid w:val="00C73FFF"/>
    <w:rsid w:val="00C740AF"/>
    <w:rsid w:val="00C74298"/>
    <w:rsid w:val="00C7454A"/>
    <w:rsid w:val="00C74A41"/>
    <w:rsid w:val="00C750EC"/>
    <w:rsid w:val="00C7529C"/>
    <w:rsid w:val="00C75469"/>
    <w:rsid w:val="00C758D8"/>
    <w:rsid w:val="00C759F2"/>
    <w:rsid w:val="00C75B47"/>
    <w:rsid w:val="00C75B58"/>
    <w:rsid w:val="00C75DE6"/>
    <w:rsid w:val="00C760A0"/>
    <w:rsid w:val="00C763A3"/>
    <w:rsid w:val="00C7652C"/>
    <w:rsid w:val="00C76633"/>
    <w:rsid w:val="00C76642"/>
    <w:rsid w:val="00C76A8C"/>
    <w:rsid w:val="00C76CCC"/>
    <w:rsid w:val="00C76DEF"/>
    <w:rsid w:val="00C76F48"/>
    <w:rsid w:val="00C7703E"/>
    <w:rsid w:val="00C77136"/>
    <w:rsid w:val="00C776A0"/>
    <w:rsid w:val="00C77DE4"/>
    <w:rsid w:val="00C77E61"/>
    <w:rsid w:val="00C77E6F"/>
    <w:rsid w:val="00C77EF1"/>
    <w:rsid w:val="00C803FC"/>
    <w:rsid w:val="00C80443"/>
    <w:rsid w:val="00C8047E"/>
    <w:rsid w:val="00C804D3"/>
    <w:rsid w:val="00C8077D"/>
    <w:rsid w:val="00C809E6"/>
    <w:rsid w:val="00C80CD5"/>
    <w:rsid w:val="00C8104D"/>
    <w:rsid w:val="00C81100"/>
    <w:rsid w:val="00C81269"/>
    <w:rsid w:val="00C815B7"/>
    <w:rsid w:val="00C815BD"/>
    <w:rsid w:val="00C81720"/>
    <w:rsid w:val="00C81738"/>
    <w:rsid w:val="00C81CA4"/>
    <w:rsid w:val="00C81CE6"/>
    <w:rsid w:val="00C821A4"/>
    <w:rsid w:val="00C82424"/>
    <w:rsid w:val="00C826C8"/>
    <w:rsid w:val="00C827C9"/>
    <w:rsid w:val="00C833CE"/>
    <w:rsid w:val="00C835D2"/>
    <w:rsid w:val="00C839AD"/>
    <w:rsid w:val="00C83A01"/>
    <w:rsid w:val="00C83CC1"/>
    <w:rsid w:val="00C841EF"/>
    <w:rsid w:val="00C8443A"/>
    <w:rsid w:val="00C84479"/>
    <w:rsid w:val="00C846F9"/>
    <w:rsid w:val="00C84753"/>
    <w:rsid w:val="00C848C3"/>
    <w:rsid w:val="00C848D6"/>
    <w:rsid w:val="00C84C6E"/>
    <w:rsid w:val="00C84D01"/>
    <w:rsid w:val="00C84E18"/>
    <w:rsid w:val="00C84E21"/>
    <w:rsid w:val="00C85316"/>
    <w:rsid w:val="00C8545D"/>
    <w:rsid w:val="00C8569A"/>
    <w:rsid w:val="00C857C5"/>
    <w:rsid w:val="00C85830"/>
    <w:rsid w:val="00C85876"/>
    <w:rsid w:val="00C85C1C"/>
    <w:rsid w:val="00C85C6A"/>
    <w:rsid w:val="00C85CF5"/>
    <w:rsid w:val="00C86068"/>
    <w:rsid w:val="00C86405"/>
    <w:rsid w:val="00C86526"/>
    <w:rsid w:val="00C86545"/>
    <w:rsid w:val="00C86943"/>
    <w:rsid w:val="00C86BD7"/>
    <w:rsid w:val="00C8715F"/>
    <w:rsid w:val="00C873A7"/>
    <w:rsid w:val="00C87B04"/>
    <w:rsid w:val="00C87CD5"/>
    <w:rsid w:val="00C87DDE"/>
    <w:rsid w:val="00C87F0B"/>
    <w:rsid w:val="00C9032F"/>
    <w:rsid w:val="00C905C7"/>
    <w:rsid w:val="00C906CA"/>
    <w:rsid w:val="00C90810"/>
    <w:rsid w:val="00C9088F"/>
    <w:rsid w:val="00C90CF9"/>
    <w:rsid w:val="00C914CD"/>
    <w:rsid w:val="00C91A3B"/>
    <w:rsid w:val="00C91CF8"/>
    <w:rsid w:val="00C91DBE"/>
    <w:rsid w:val="00C91F29"/>
    <w:rsid w:val="00C9200B"/>
    <w:rsid w:val="00C92021"/>
    <w:rsid w:val="00C9259A"/>
    <w:rsid w:val="00C92851"/>
    <w:rsid w:val="00C92B7D"/>
    <w:rsid w:val="00C92BE6"/>
    <w:rsid w:val="00C92DCD"/>
    <w:rsid w:val="00C93BE0"/>
    <w:rsid w:val="00C93CA0"/>
    <w:rsid w:val="00C93E3F"/>
    <w:rsid w:val="00C940F8"/>
    <w:rsid w:val="00C94213"/>
    <w:rsid w:val="00C9457C"/>
    <w:rsid w:val="00C946A0"/>
    <w:rsid w:val="00C9481F"/>
    <w:rsid w:val="00C94A13"/>
    <w:rsid w:val="00C94A20"/>
    <w:rsid w:val="00C94A2B"/>
    <w:rsid w:val="00C94A70"/>
    <w:rsid w:val="00C9503F"/>
    <w:rsid w:val="00C953E9"/>
    <w:rsid w:val="00C95637"/>
    <w:rsid w:val="00C957BC"/>
    <w:rsid w:val="00C958A3"/>
    <w:rsid w:val="00C95B6A"/>
    <w:rsid w:val="00C95CB5"/>
    <w:rsid w:val="00C95D54"/>
    <w:rsid w:val="00C95EA9"/>
    <w:rsid w:val="00C95FE3"/>
    <w:rsid w:val="00C95FF5"/>
    <w:rsid w:val="00C96066"/>
    <w:rsid w:val="00C96268"/>
    <w:rsid w:val="00C96309"/>
    <w:rsid w:val="00C9678C"/>
    <w:rsid w:val="00C9682E"/>
    <w:rsid w:val="00C969AE"/>
    <w:rsid w:val="00C96D3E"/>
    <w:rsid w:val="00C96D91"/>
    <w:rsid w:val="00C96E10"/>
    <w:rsid w:val="00C970DE"/>
    <w:rsid w:val="00C9714D"/>
    <w:rsid w:val="00C972D7"/>
    <w:rsid w:val="00C976A9"/>
    <w:rsid w:val="00C97C4D"/>
    <w:rsid w:val="00C97C71"/>
    <w:rsid w:val="00C97C79"/>
    <w:rsid w:val="00C97DB2"/>
    <w:rsid w:val="00CA0656"/>
    <w:rsid w:val="00CA0920"/>
    <w:rsid w:val="00CA0946"/>
    <w:rsid w:val="00CA0CA6"/>
    <w:rsid w:val="00CA11C9"/>
    <w:rsid w:val="00CA13F8"/>
    <w:rsid w:val="00CA14DD"/>
    <w:rsid w:val="00CA14E7"/>
    <w:rsid w:val="00CA15B2"/>
    <w:rsid w:val="00CA191E"/>
    <w:rsid w:val="00CA1EB0"/>
    <w:rsid w:val="00CA1FE6"/>
    <w:rsid w:val="00CA21AD"/>
    <w:rsid w:val="00CA263C"/>
    <w:rsid w:val="00CA28F6"/>
    <w:rsid w:val="00CA2B2F"/>
    <w:rsid w:val="00CA2B93"/>
    <w:rsid w:val="00CA2FDB"/>
    <w:rsid w:val="00CA317C"/>
    <w:rsid w:val="00CA3198"/>
    <w:rsid w:val="00CA320C"/>
    <w:rsid w:val="00CA3308"/>
    <w:rsid w:val="00CA349C"/>
    <w:rsid w:val="00CA3592"/>
    <w:rsid w:val="00CA3BCD"/>
    <w:rsid w:val="00CA3E3A"/>
    <w:rsid w:val="00CA3F3C"/>
    <w:rsid w:val="00CA4098"/>
    <w:rsid w:val="00CA40D9"/>
    <w:rsid w:val="00CA437B"/>
    <w:rsid w:val="00CA463A"/>
    <w:rsid w:val="00CA464E"/>
    <w:rsid w:val="00CA4CF6"/>
    <w:rsid w:val="00CA4D8E"/>
    <w:rsid w:val="00CA5021"/>
    <w:rsid w:val="00CA527F"/>
    <w:rsid w:val="00CA5296"/>
    <w:rsid w:val="00CA537A"/>
    <w:rsid w:val="00CA5421"/>
    <w:rsid w:val="00CA57C3"/>
    <w:rsid w:val="00CA5839"/>
    <w:rsid w:val="00CA5A3D"/>
    <w:rsid w:val="00CA5BB6"/>
    <w:rsid w:val="00CA5CB0"/>
    <w:rsid w:val="00CA5D9A"/>
    <w:rsid w:val="00CA5FC7"/>
    <w:rsid w:val="00CA6133"/>
    <w:rsid w:val="00CA63D7"/>
    <w:rsid w:val="00CA6579"/>
    <w:rsid w:val="00CA6B5E"/>
    <w:rsid w:val="00CA6B8D"/>
    <w:rsid w:val="00CA6C49"/>
    <w:rsid w:val="00CA7046"/>
    <w:rsid w:val="00CA7069"/>
    <w:rsid w:val="00CA72E2"/>
    <w:rsid w:val="00CA74C8"/>
    <w:rsid w:val="00CA754B"/>
    <w:rsid w:val="00CA787E"/>
    <w:rsid w:val="00CA7911"/>
    <w:rsid w:val="00CA7930"/>
    <w:rsid w:val="00CA7C32"/>
    <w:rsid w:val="00CA7D46"/>
    <w:rsid w:val="00CA7E86"/>
    <w:rsid w:val="00CA7EAB"/>
    <w:rsid w:val="00CA7EDB"/>
    <w:rsid w:val="00CB015F"/>
    <w:rsid w:val="00CB0653"/>
    <w:rsid w:val="00CB07A3"/>
    <w:rsid w:val="00CB081E"/>
    <w:rsid w:val="00CB0AB2"/>
    <w:rsid w:val="00CB0BD2"/>
    <w:rsid w:val="00CB0C42"/>
    <w:rsid w:val="00CB0D92"/>
    <w:rsid w:val="00CB118C"/>
    <w:rsid w:val="00CB14DF"/>
    <w:rsid w:val="00CB156A"/>
    <w:rsid w:val="00CB1712"/>
    <w:rsid w:val="00CB18F0"/>
    <w:rsid w:val="00CB1A38"/>
    <w:rsid w:val="00CB1ACC"/>
    <w:rsid w:val="00CB1DC7"/>
    <w:rsid w:val="00CB1E0E"/>
    <w:rsid w:val="00CB1E35"/>
    <w:rsid w:val="00CB1F50"/>
    <w:rsid w:val="00CB1FA1"/>
    <w:rsid w:val="00CB224E"/>
    <w:rsid w:val="00CB22A1"/>
    <w:rsid w:val="00CB2352"/>
    <w:rsid w:val="00CB245C"/>
    <w:rsid w:val="00CB2822"/>
    <w:rsid w:val="00CB2BB1"/>
    <w:rsid w:val="00CB2D86"/>
    <w:rsid w:val="00CB2F88"/>
    <w:rsid w:val="00CB32F3"/>
    <w:rsid w:val="00CB3672"/>
    <w:rsid w:val="00CB36AD"/>
    <w:rsid w:val="00CB3817"/>
    <w:rsid w:val="00CB3AA2"/>
    <w:rsid w:val="00CB3B12"/>
    <w:rsid w:val="00CB3D60"/>
    <w:rsid w:val="00CB3E83"/>
    <w:rsid w:val="00CB40B9"/>
    <w:rsid w:val="00CB481A"/>
    <w:rsid w:val="00CB4AE6"/>
    <w:rsid w:val="00CB4B98"/>
    <w:rsid w:val="00CB4E33"/>
    <w:rsid w:val="00CB5003"/>
    <w:rsid w:val="00CB517C"/>
    <w:rsid w:val="00CB5181"/>
    <w:rsid w:val="00CB51F5"/>
    <w:rsid w:val="00CB52CC"/>
    <w:rsid w:val="00CB5368"/>
    <w:rsid w:val="00CB5418"/>
    <w:rsid w:val="00CB57B3"/>
    <w:rsid w:val="00CB59DF"/>
    <w:rsid w:val="00CB5A5D"/>
    <w:rsid w:val="00CB5DA5"/>
    <w:rsid w:val="00CB5DD1"/>
    <w:rsid w:val="00CB60B6"/>
    <w:rsid w:val="00CB6351"/>
    <w:rsid w:val="00CB67F0"/>
    <w:rsid w:val="00CB68F9"/>
    <w:rsid w:val="00CB690B"/>
    <w:rsid w:val="00CB6BA4"/>
    <w:rsid w:val="00CB6E52"/>
    <w:rsid w:val="00CB7554"/>
    <w:rsid w:val="00CB7C6D"/>
    <w:rsid w:val="00CC00AB"/>
    <w:rsid w:val="00CC01E9"/>
    <w:rsid w:val="00CC0298"/>
    <w:rsid w:val="00CC0494"/>
    <w:rsid w:val="00CC059D"/>
    <w:rsid w:val="00CC06CC"/>
    <w:rsid w:val="00CC0CD0"/>
    <w:rsid w:val="00CC0E1E"/>
    <w:rsid w:val="00CC11C7"/>
    <w:rsid w:val="00CC11E0"/>
    <w:rsid w:val="00CC150A"/>
    <w:rsid w:val="00CC16FA"/>
    <w:rsid w:val="00CC1D13"/>
    <w:rsid w:val="00CC1D55"/>
    <w:rsid w:val="00CC1D9A"/>
    <w:rsid w:val="00CC1E73"/>
    <w:rsid w:val="00CC1F22"/>
    <w:rsid w:val="00CC2003"/>
    <w:rsid w:val="00CC225A"/>
    <w:rsid w:val="00CC22D6"/>
    <w:rsid w:val="00CC2322"/>
    <w:rsid w:val="00CC238E"/>
    <w:rsid w:val="00CC23C3"/>
    <w:rsid w:val="00CC23CC"/>
    <w:rsid w:val="00CC2589"/>
    <w:rsid w:val="00CC2645"/>
    <w:rsid w:val="00CC2B01"/>
    <w:rsid w:val="00CC2BA2"/>
    <w:rsid w:val="00CC2D88"/>
    <w:rsid w:val="00CC2DE9"/>
    <w:rsid w:val="00CC31B7"/>
    <w:rsid w:val="00CC3B97"/>
    <w:rsid w:val="00CC3C1D"/>
    <w:rsid w:val="00CC3C50"/>
    <w:rsid w:val="00CC3F41"/>
    <w:rsid w:val="00CC41B4"/>
    <w:rsid w:val="00CC44B5"/>
    <w:rsid w:val="00CC4525"/>
    <w:rsid w:val="00CC4613"/>
    <w:rsid w:val="00CC4687"/>
    <w:rsid w:val="00CC48E8"/>
    <w:rsid w:val="00CC4931"/>
    <w:rsid w:val="00CC4961"/>
    <w:rsid w:val="00CC4A57"/>
    <w:rsid w:val="00CC545D"/>
    <w:rsid w:val="00CC5B65"/>
    <w:rsid w:val="00CC5B8B"/>
    <w:rsid w:val="00CC5F90"/>
    <w:rsid w:val="00CC61A0"/>
    <w:rsid w:val="00CC67A6"/>
    <w:rsid w:val="00CC67AD"/>
    <w:rsid w:val="00CC6994"/>
    <w:rsid w:val="00CC6AE6"/>
    <w:rsid w:val="00CC6B06"/>
    <w:rsid w:val="00CC6B73"/>
    <w:rsid w:val="00CC6C4A"/>
    <w:rsid w:val="00CC6E10"/>
    <w:rsid w:val="00CC6E49"/>
    <w:rsid w:val="00CC70CB"/>
    <w:rsid w:val="00CC7299"/>
    <w:rsid w:val="00CC7606"/>
    <w:rsid w:val="00CC7764"/>
    <w:rsid w:val="00CC78BC"/>
    <w:rsid w:val="00CC78E5"/>
    <w:rsid w:val="00CC79B8"/>
    <w:rsid w:val="00CC7E98"/>
    <w:rsid w:val="00CC7FBA"/>
    <w:rsid w:val="00CD0009"/>
    <w:rsid w:val="00CD0238"/>
    <w:rsid w:val="00CD033F"/>
    <w:rsid w:val="00CD038F"/>
    <w:rsid w:val="00CD0740"/>
    <w:rsid w:val="00CD0A4B"/>
    <w:rsid w:val="00CD0B3F"/>
    <w:rsid w:val="00CD11E6"/>
    <w:rsid w:val="00CD1734"/>
    <w:rsid w:val="00CD182E"/>
    <w:rsid w:val="00CD1B9F"/>
    <w:rsid w:val="00CD1D7C"/>
    <w:rsid w:val="00CD20A9"/>
    <w:rsid w:val="00CD2386"/>
    <w:rsid w:val="00CD247A"/>
    <w:rsid w:val="00CD25F0"/>
    <w:rsid w:val="00CD2A37"/>
    <w:rsid w:val="00CD2AA8"/>
    <w:rsid w:val="00CD2C31"/>
    <w:rsid w:val="00CD2E03"/>
    <w:rsid w:val="00CD2E18"/>
    <w:rsid w:val="00CD307A"/>
    <w:rsid w:val="00CD35D9"/>
    <w:rsid w:val="00CD363C"/>
    <w:rsid w:val="00CD3664"/>
    <w:rsid w:val="00CD368A"/>
    <w:rsid w:val="00CD39DF"/>
    <w:rsid w:val="00CD3B77"/>
    <w:rsid w:val="00CD3C1F"/>
    <w:rsid w:val="00CD3DAB"/>
    <w:rsid w:val="00CD3E78"/>
    <w:rsid w:val="00CD4106"/>
    <w:rsid w:val="00CD4153"/>
    <w:rsid w:val="00CD4658"/>
    <w:rsid w:val="00CD483C"/>
    <w:rsid w:val="00CD4ACC"/>
    <w:rsid w:val="00CD4C98"/>
    <w:rsid w:val="00CD4D8D"/>
    <w:rsid w:val="00CD4F99"/>
    <w:rsid w:val="00CD506A"/>
    <w:rsid w:val="00CD52D0"/>
    <w:rsid w:val="00CD546A"/>
    <w:rsid w:val="00CD54B9"/>
    <w:rsid w:val="00CD5501"/>
    <w:rsid w:val="00CD5595"/>
    <w:rsid w:val="00CD58F5"/>
    <w:rsid w:val="00CD5BA3"/>
    <w:rsid w:val="00CD5C2F"/>
    <w:rsid w:val="00CD61FF"/>
    <w:rsid w:val="00CD68B1"/>
    <w:rsid w:val="00CD68B9"/>
    <w:rsid w:val="00CD68E2"/>
    <w:rsid w:val="00CD6A2D"/>
    <w:rsid w:val="00CD6AAB"/>
    <w:rsid w:val="00CD6D85"/>
    <w:rsid w:val="00CD7338"/>
    <w:rsid w:val="00CD76E9"/>
    <w:rsid w:val="00CD7924"/>
    <w:rsid w:val="00CD7D57"/>
    <w:rsid w:val="00CD7DFD"/>
    <w:rsid w:val="00CE003D"/>
    <w:rsid w:val="00CE0830"/>
    <w:rsid w:val="00CE096E"/>
    <w:rsid w:val="00CE0A08"/>
    <w:rsid w:val="00CE0D2B"/>
    <w:rsid w:val="00CE0EEA"/>
    <w:rsid w:val="00CE12C6"/>
    <w:rsid w:val="00CE14C1"/>
    <w:rsid w:val="00CE14F0"/>
    <w:rsid w:val="00CE15C2"/>
    <w:rsid w:val="00CE17E0"/>
    <w:rsid w:val="00CE1855"/>
    <w:rsid w:val="00CE22A0"/>
    <w:rsid w:val="00CE290A"/>
    <w:rsid w:val="00CE2A84"/>
    <w:rsid w:val="00CE2D45"/>
    <w:rsid w:val="00CE2EAB"/>
    <w:rsid w:val="00CE31F5"/>
    <w:rsid w:val="00CE34D9"/>
    <w:rsid w:val="00CE3542"/>
    <w:rsid w:val="00CE35FB"/>
    <w:rsid w:val="00CE363E"/>
    <w:rsid w:val="00CE3678"/>
    <w:rsid w:val="00CE36E3"/>
    <w:rsid w:val="00CE38BD"/>
    <w:rsid w:val="00CE4151"/>
    <w:rsid w:val="00CE4349"/>
    <w:rsid w:val="00CE44BE"/>
    <w:rsid w:val="00CE45A8"/>
    <w:rsid w:val="00CE47C4"/>
    <w:rsid w:val="00CE483A"/>
    <w:rsid w:val="00CE4A18"/>
    <w:rsid w:val="00CE4BD4"/>
    <w:rsid w:val="00CE4E5B"/>
    <w:rsid w:val="00CE4F88"/>
    <w:rsid w:val="00CE4FB1"/>
    <w:rsid w:val="00CE50B0"/>
    <w:rsid w:val="00CE50E5"/>
    <w:rsid w:val="00CE54A4"/>
    <w:rsid w:val="00CE56F4"/>
    <w:rsid w:val="00CE5722"/>
    <w:rsid w:val="00CE575C"/>
    <w:rsid w:val="00CE57BC"/>
    <w:rsid w:val="00CE57E2"/>
    <w:rsid w:val="00CE591D"/>
    <w:rsid w:val="00CE5F83"/>
    <w:rsid w:val="00CE60C7"/>
    <w:rsid w:val="00CE61E5"/>
    <w:rsid w:val="00CE645B"/>
    <w:rsid w:val="00CE6484"/>
    <w:rsid w:val="00CE6506"/>
    <w:rsid w:val="00CE672B"/>
    <w:rsid w:val="00CE68E0"/>
    <w:rsid w:val="00CE694A"/>
    <w:rsid w:val="00CE72B3"/>
    <w:rsid w:val="00CE73A3"/>
    <w:rsid w:val="00CE782A"/>
    <w:rsid w:val="00CE7934"/>
    <w:rsid w:val="00CE7B04"/>
    <w:rsid w:val="00CE7B65"/>
    <w:rsid w:val="00CE7D18"/>
    <w:rsid w:val="00CE7DB7"/>
    <w:rsid w:val="00CF009E"/>
    <w:rsid w:val="00CF027A"/>
    <w:rsid w:val="00CF060C"/>
    <w:rsid w:val="00CF06EB"/>
    <w:rsid w:val="00CF0966"/>
    <w:rsid w:val="00CF0D46"/>
    <w:rsid w:val="00CF1370"/>
    <w:rsid w:val="00CF1385"/>
    <w:rsid w:val="00CF13F9"/>
    <w:rsid w:val="00CF14DA"/>
    <w:rsid w:val="00CF1AF0"/>
    <w:rsid w:val="00CF1B22"/>
    <w:rsid w:val="00CF2051"/>
    <w:rsid w:val="00CF2320"/>
    <w:rsid w:val="00CF2831"/>
    <w:rsid w:val="00CF294B"/>
    <w:rsid w:val="00CF2AA9"/>
    <w:rsid w:val="00CF2BB3"/>
    <w:rsid w:val="00CF2DCA"/>
    <w:rsid w:val="00CF306D"/>
    <w:rsid w:val="00CF326F"/>
    <w:rsid w:val="00CF3286"/>
    <w:rsid w:val="00CF344B"/>
    <w:rsid w:val="00CF35B9"/>
    <w:rsid w:val="00CF3647"/>
    <w:rsid w:val="00CF39EE"/>
    <w:rsid w:val="00CF39F0"/>
    <w:rsid w:val="00CF3A41"/>
    <w:rsid w:val="00CF3C31"/>
    <w:rsid w:val="00CF3D7F"/>
    <w:rsid w:val="00CF3E72"/>
    <w:rsid w:val="00CF4032"/>
    <w:rsid w:val="00CF4539"/>
    <w:rsid w:val="00CF4545"/>
    <w:rsid w:val="00CF4556"/>
    <w:rsid w:val="00CF4DCA"/>
    <w:rsid w:val="00CF4DF1"/>
    <w:rsid w:val="00CF5442"/>
    <w:rsid w:val="00CF5A84"/>
    <w:rsid w:val="00CF5B6F"/>
    <w:rsid w:val="00CF5D77"/>
    <w:rsid w:val="00CF5DF3"/>
    <w:rsid w:val="00CF5E48"/>
    <w:rsid w:val="00CF63DF"/>
    <w:rsid w:val="00CF65DA"/>
    <w:rsid w:val="00CF6715"/>
    <w:rsid w:val="00CF6A64"/>
    <w:rsid w:val="00CF6AE8"/>
    <w:rsid w:val="00CF6AF3"/>
    <w:rsid w:val="00CF6E78"/>
    <w:rsid w:val="00CF7005"/>
    <w:rsid w:val="00CF71AC"/>
    <w:rsid w:val="00CF75C2"/>
    <w:rsid w:val="00CF75EA"/>
    <w:rsid w:val="00CF7C7E"/>
    <w:rsid w:val="00CF7D37"/>
    <w:rsid w:val="00CF7DA1"/>
    <w:rsid w:val="00CF7EE6"/>
    <w:rsid w:val="00CF7FA5"/>
    <w:rsid w:val="00D00117"/>
    <w:rsid w:val="00D004C1"/>
    <w:rsid w:val="00D005DB"/>
    <w:rsid w:val="00D006C3"/>
    <w:rsid w:val="00D006C8"/>
    <w:rsid w:val="00D0087E"/>
    <w:rsid w:val="00D00A47"/>
    <w:rsid w:val="00D00AB8"/>
    <w:rsid w:val="00D00B16"/>
    <w:rsid w:val="00D00C54"/>
    <w:rsid w:val="00D011BD"/>
    <w:rsid w:val="00D0121A"/>
    <w:rsid w:val="00D01241"/>
    <w:rsid w:val="00D01358"/>
    <w:rsid w:val="00D015CB"/>
    <w:rsid w:val="00D017FD"/>
    <w:rsid w:val="00D01A8E"/>
    <w:rsid w:val="00D01C4C"/>
    <w:rsid w:val="00D02000"/>
    <w:rsid w:val="00D020FF"/>
    <w:rsid w:val="00D02112"/>
    <w:rsid w:val="00D0223D"/>
    <w:rsid w:val="00D028CA"/>
    <w:rsid w:val="00D028FF"/>
    <w:rsid w:val="00D02A3D"/>
    <w:rsid w:val="00D02F23"/>
    <w:rsid w:val="00D0304B"/>
    <w:rsid w:val="00D030C9"/>
    <w:rsid w:val="00D034FE"/>
    <w:rsid w:val="00D035ED"/>
    <w:rsid w:val="00D0370D"/>
    <w:rsid w:val="00D037BE"/>
    <w:rsid w:val="00D038D1"/>
    <w:rsid w:val="00D03922"/>
    <w:rsid w:val="00D0395C"/>
    <w:rsid w:val="00D039E7"/>
    <w:rsid w:val="00D03A83"/>
    <w:rsid w:val="00D03D09"/>
    <w:rsid w:val="00D040E8"/>
    <w:rsid w:val="00D04193"/>
    <w:rsid w:val="00D041EF"/>
    <w:rsid w:val="00D044DD"/>
    <w:rsid w:val="00D045ED"/>
    <w:rsid w:val="00D04AC9"/>
    <w:rsid w:val="00D04EA8"/>
    <w:rsid w:val="00D05590"/>
    <w:rsid w:val="00D0589A"/>
    <w:rsid w:val="00D05C53"/>
    <w:rsid w:val="00D05F46"/>
    <w:rsid w:val="00D06223"/>
    <w:rsid w:val="00D062AD"/>
    <w:rsid w:val="00D0634D"/>
    <w:rsid w:val="00D06510"/>
    <w:rsid w:val="00D066FB"/>
    <w:rsid w:val="00D068A2"/>
    <w:rsid w:val="00D06A8C"/>
    <w:rsid w:val="00D06D01"/>
    <w:rsid w:val="00D0729C"/>
    <w:rsid w:val="00D0736D"/>
    <w:rsid w:val="00D074A4"/>
    <w:rsid w:val="00D0762F"/>
    <w:rsid w:val="00D0766E"/>
    <w:rsid w:val="00D07A73"/>
    <w:rsid w:val="00D07B20"/>
    <w:rsid w:val="00D07BBB"/>
    <w:rsid w:val="00D07CCF"/>
    <w:rsid w:val="00D07CE5"/>
    <w:rsid w:val="00D07EBD"/>
    <w:rsid w:val="00D101F6"/>
    <w:rsid w:val="00D10209"/>
    <w:rsid w:val="00D102AD"/>
    <w:rsid w:val="00D10552"/>
    <w:rsid w:val="00D1058C"/>
    <w:rsid w:val="00D1084A"/>
    <w:rsid w:val="00D10870"/>
    <w:rsid w:val="00D10D79"/>
    <w:rsid w:val="00D10F0D"/>
    <w:rsid w:val="00D116EE"/>
    <w:rsid w:val="00D11940"/>
    <w:rsid w:val="00D119E7"/>
    <w:rsid w:val="00D11C8E"/>
    <w:rsid w:val="00D11DAF"/>
    <w:rsid w:val="00D11E72"/>
    <w:rsid w:val="00D12014"/>
    <w:rsid w:val="00D12038"/>
    <w:rsid w:val="00D12298"/>
    <w:rsid w:val="00D1239E"/>
    <w:rsid w:val="00D12545"/>
    <w:rsid w:val="00D1257B"/>
    <w:rsid w:val="00D12673"/>
    <w:rsid w:val="00D126F7"/>
    <w:rsid w:val="00D1296A"/>
    <w:rsid w:val="00D129E4"/>
    <w:rsid w:val="00D12F38"/>
    <w:rsid w:val="00D13253"/>
    <w:rsid w:val="00D1363C"/>
    <w:rsid w:val="00D13A9F"/>
    <w:rsid w:val="00D13B1E"/>
    <w:rsid w:val="00D13C60"/>
    <w:rsid w:val="00D13CEB"/>
    <w:rsid w:val="00D13D84"/>
    <w:rsid w:val="00D1410B"/>
    <w:rsid w:val="00D141A5"/>
    <w:rsid w:val="00D141B2"/>
    <w:rsid w:val="00D14528"/>
    <w:rsid w:val="00D148FC"/>
    <w:rsid w:val="00D14E7F"/>
    <w:rsid w:val="00D150BC"/>
    <w:rsid w:val="00D15238"/>
    <w:rsid w:val="00D15362"/>
    <w:rsid w:val="00D15381"/>
    <w:rsid w:val="00D1587A"/>
    <w:rsid w:val="00D15A92"/>
    <w:rsid w:val="00D15BC6"/>
    <w:rsid w:val="00D15BE2"/>
    <w:rsid w:val="00D15CF9"/>
    <w:rsid w:val="00D15FB4"/>
    <w:rsid w:val="00D166A2"/>
    <w:rsid w:val="00D16FA7"/>
    <w:rsid w:val="00D17402"/>
    <w:rsid w:val="00D17515"/>
    <w:rsid w:val="00D17533"/>
    <w:rsid w:val="00D17588"/>
    <w:rsid w:val="00D1793B"/>
    <w:rsid w:val="00D17B20"/>
    <w:rsid w:val="00D17BB3"/>
    <w:rsid w:val="00D17C54"/>
    <w:rsid w:val="00D2016E"/>
    <w:rsid w:val="00D20275"/>
    <w:rsid w:val="00D206D9"/>
    <w:rsid w:val="00D2077C"/>
    <w:rsid w:val="00D20AA1"/>
    <w:rsid w:val="00D20BA3"/>
    <w:rsid w:val="00D20BF6"/>
    <w:rsid w:val="00D20DF1"/>
    <w:rsid w:val="00D20F55"/>
    <w:rsid w:val="00D2101B"/>
    <w:rsid w:val="00D210C5"/>
    <w:rsid w:val="00D21326"/>
    <w:rsid w:val="00D2152C"/>
    <w:rsid w:val="00D21592"/>
    <w:rsid w:val="00D21A26"/>
    <w:rsid w:val="00D21A5B"/>
    <w:rsid w:val="00D21BF2"/>
    <w:rsid w:val="00D21E91"/>
    <w:rsid w:val="00D21F78"/>
    <w:rsid w:val="00D22142"/>
    <w:rsid w:val="00D221B9"/>
    <w:rsid w:val="00D221DA"/>
    <w:rsid w:val="00D221EF"/>
    <w:rsid w:val="00D2230E"/>
    <w:rsid w:val="00D223DB"/>
    <w:rsid w:val="00D22670"/>
    <w:rsid w:val="00D2272E"/>
    <w:rsid w:val="00D2293C"/>
    <w:rsid w:val="00D22C04"/>
    <w:rsid w:val="00D22E95"/>
    <w:rsid w:val="00D22F78"/>
    <w:rsid w:val="00D22F7A"/>
    <w:rsid w:val="00D2312B"/>
    <w:rsid w:val="00D2327D"/>
    <w:rsid w:val="00D235AC"/>
    <w:rsid w:val="00D236E7"/>
    <w:rsid w:val="00D2387C"/>
    <w:rsid w:val="00D2388D"/>
    <w:rsid w:val="00D23AC2"/>
    <w:rsid w:val="00D23B91"/>
    <w:rsid w:val="00D23E5F"/>
    <w:rsid w:val="00D23F40"/>
    <w:rsid w:val="00D2403F"/>
    <w:rsid w:val="00D24045"/>
    <w:rsid w:val="00D2405D"/>
    <w:rsid w:val="00D242F1"/>
    <w:rsid w:val="00D2488C"/>
    <w:rsid w:val="00D24A32"/>
    <w:rsid w:val="00D24AE9"/>
    <w:rsid w:val="00D24C6F"/>
    <w:rsid w:val="00D24DCD"/>
    <w:rsid w:val="00D24ECF"/>
    <w:rsid w:val="00D25180"/>
    <w:rsid w:val="00D25437"/>
    <w:rsid w:val="00D254D4"/>
    <w:rsid w:val="00D25781"/>
    <w:rsid w:val="00D2587E"/>
    <w:rsid w:val="00D258D3"/>
    <w:rsid w:val="00D25A54"/>
    <w:rsid w:val="00D25AFB"/>
    <w:rsid w:val="00D25B26"/>
    <w:rsid w:val="00D25D2B"/>
    <w:rsid w:val="00D262CF"/>
    <w:rsid w:val="00D2633E"/>
    <w:rsid w:val="00D2694F"/>
    <w:rsid w:val="00D26C72"/>
    <w:rsid w:val="00D26C8F"/>
    <w:rsid w:val="00D26F88"/>
    <w:rsid w:val="00D26FEE"/>
    <w:rsid w:val="00D27344"/>
    <w:rsid w:val="00D27519"/>
    <w:rsid w:val="00D278FE"/>
    <w:rsid w:val="00D279E3"/>
    <w:rsid w:val="00D27A0F"/>
    <w:rsid w:val="00D27A47"/>
    <w:rsid w:val="00D27BBD"/>
    <w:rsid w:val="00D27E7B"/>
    <w:rsid w:val="00D3017E"/>
    <w:rsid w:val="00D3040C"/>
    <w:rsid w:val="00D3083E"/>
    <w:rsid w:val="00D30A2E"/>
    <w:rsid w:val="00D30A3D"/>
    <w:rsid w:val="00D30A6A"/>
    <w:rsid w:val="00D30C68"/>
    <w:rsid w:val="00D30CA7"/>
    <w:rsid w:val="00D30D00"/>
    <w:rsid w:val="00D30D92"/>
    <w:rsid w:val="00D31392"/>
    <w:rsid w:val="00D3157C"/>
    <w:rsid w:val="00D315FA"/>
    <w:rsid w:val="00D319CC"/>
    <w:rsid w:val="00D31D94"/>
    <w:rsid w:val="00D3264D"/>
    <w:rsid w:val="00D32763"/>
    <w:rsid w:val="00D32AC0"/>
    <w:rsid w:val="00D32B62"/>
    <w:rsid w:val="00D32D08"/>
    <w:rsid w:val="00D331B9"/>
    <w:rsid w:val="00D33517"/>
    <w:rsid w:val="00D338A8"/>
    <w:rsid w:val="00D34138"/>
    <w:rsid w:val="00D34145"/>
    <w:rsid w:val="00D3468A"/>
    <w:rsid w:val="00D34AA6"/>
    <w:rsid w:val="00D34AFA"/>
    <w:rsid w:val="00D34B83"/>
    <w:rsid w:val="00D34B8B"/>
    <w:rsid w:val="00D34C47"/>
    <w:rsid w:val="00D34D12"/>
    <w:rsid w:val="00D3561D"/>
    <w:rsid w:val="00D359A2"/>
    <w:rsid w:val="00D35ECF"/>
    <w:rsid w:val="00D35EF4"/>
    <w:rsid w:val="00D35F24"/>
    <w:rsid w:val="00D36265"/>
    <w:rsid w:val="00D3626F"/>
    <w:rsid w:val="00D368FD"/>
    <w:rsid w:val="00D36940"/>
    <w:rsid w:val="00D36A81"/>
    <w:rsid w:val="00D36AC2"/>
    <w:rsid w:val="00D36B65"/>
    <w:rsid w:val="00D371F3"/>
    <w:rsid w:val="00D374C9"/>
    <w:rsid w:val="00D37569"/>
    <w:rsid w:val="00D37AD6"/>
    <w:rsid w:val="00D37F06"/>
    <w:rsid w:val="00D37FDD"/>
    <w:rsid w:val="00D400F4"/>
    <w:rsid w:val="00D4040C"/>
    <w:rsid w:val="00D40441"/>
    <w:rsid w:val="00D4056C"/>
    <w:rsid w:val="00D40773"/>
    <w:rsid w:val="00D40CC9"/>
    <w:rsid w:val="00D40D8F"/>
    <w:rsid w:val="00D40DE4"/>
    <w:rsid w:val="00D40F52"/>
    <w:rsid w:val="00D4102F"/>
    <w:rsid w:val="00D41152"/>
    <w:rsid w:val="00D418DC"/>
    <w:rsid w:val="00D41E26"/>
    <w:rsid w:val="00D41EF2"/>
    <w:rsid w:val="00D42530"/>
    <w:rsid w:val="00D42569"/>
    <w:rsid w:val="00D42690"/>
    <w:rsid w:val="00D42B42"/>
    <w:rsid w:val="00D42B6A"/>
    <w:rsid w:val="00D42C89"/>
    <w:rsid w:val="00D431E9"/>
    <w:rsid w:val="00D4330F"/>
    <w:rsid w:val="00D43359"/>
    <w:rsid w:val="00D433A7"/>
    <w:rsid w:val="00D43864"/>
    <w:rsid w:val="00D43937"/>
    <w:rsid w:val="00D43D4A"/>
    <w:rsid w:val="00D43F6B"/>
    <w:rsid w:val="00D44100"/>
    <w:rsid w:val="00D444C1"/>
    <w:rsid w:val="00D4472D"/>
    <w:rsid w:val="00D44AD5"/>
    <w:rsid w:val="00D44B3A"/>
    <w:rsid w:val="00D44EFD"/>
    <w:rsid w:val="00D455C9"/>
    <w:rsid w:val="00D45729"/>
    <w:rsid w:val="00D45785"/>
    <w:rsid w:val="00D45998"/>
    <w:rsid w:val="00D45ACA"/>
    <w:rsid w:val="00D45D34"/>
    <w:rsid w:val="00D46159"/>
    <w:rsid w:val="00D4635C"/>
    <w:rsid w:val="00D46473"/>
    <w:rsid w:val="00D4690B"/>
    <w:rsid w:val="00D46923"/>
    <w:rsid w:val="00D46B4E"/>
    <w:rsid w:val="00D46B65"/>
    <w:rsid w:val="00D46E3A"/>
    <w:rsid w:val="00D4739E"/>
    <w:rsid w:val="00D47482"/>
    <w:rsid w:val="00D47620"/>
    <w:rsid w:val="00D478F4"/>
    <w:rsid w:val="00D47935"/>
    <w:rsid w:val="00D47BB2"/>
    <w:rsid w:val="00D47E00"/>
    <w:rsid w:val="00D47EBC"/>
    <w:rsid w:val="00D509AB"/>
    <w:rsid w:val="00D50A39"/>
    <w:rsid w:val="00D50BE6"/>
    <w:rsid w:val="00D50C82"/>
    <w:rsid w:val="00D50D64"/>
    <w:rsid w:val="00D50D81"/>
    <w:rsid w:val="00D5107C"/>
    <w:rsid w:val="00D5117F"/>
    <w:rsid w:val="00D51497"/>
    <w:rsid w:val="00D514FE"/>
    <w:rsid w:val="00D51545"/>
    <w:rsid w:val="00D515EE"/>
    <w:rsid w:val="00D51790"/>
    <w:rsid w:val="00D5187D"/>
    <w:rsid w:val="00D518F9"/>
    <w:rsid w:val="00D51C16"/>
    <w:rsid w:val="00D523B9"/>
    <w:rsid w:val="00D524CC"/>
    <w:rsid w:val="00D5289E"/>
    <w:rsid w:val="00D52DDA"/>
    <w:rsid w:val="00D53361"/>
    <w:rsid w:val="00D53405"/>
    <w:rsid w:val="00D53575"/>
    <w:rsid w:val="00D53652"/>
    <w:rsid w:val="00D53786"/>
    <w:rsid w:val="00D537B7"/>
    <w:rsid w:val="00D53802"/>
    <w:rsid w:val="00D538DE"/>
    <w:rsid w:val="00D54189"/>
    <w:rsid w:val="00D5422C"/>
    <w:rsid w:val="00D54533"/>
    <w:rsid w:val="00D545B1"/>
    <w:rsid w:val="00D547F2"/>
    <w:rsid w:val="00D54DF1"/>
    <w:rsid w:val="00D5502E"/>
    <w:rsid w:val="00D55510"/>
    <w:rsid w:val="00D55874"/>
    <w:rsid w:val="00D55B87"/>
    <w:rsid w:val="00D55C0E"/>
    <w:rsid w:val="00D55CAD"/>
    <w:rsid w:val="00D55FFD"/>
    <w:rsid w:val="00D56049"/>
    <w:rsid w:val="00D56292"/>
    <w:rsid w:val="00D56BF6"/>
    <w:rsid w:val="00D56D13"/>
    <w:rsid w:val="00D56F8B"/>
    <w:rsid w:val="00D56FCA"/>
    <w:rsid w:val="00D57021"/>
    <w:rsid w:val="00D572DC"/>
    <w:rsid w:val="00D5761D"/>
    <w:rsid w:val="00D576D8"/>
    <w:rsid w:val="00D5788A"/>
    <w:rsid w:val="00D57A21"/>
    <w:rsid w:val="00D57D7E"/>
    <w:rsid w:val="00D600DE"/>
    <w:rsid w:val="00D602A8"/>
    <w:rsid w:val="00D60319"/>
    <w:rsid w:val="00D60AB2"/>
    <w:rsid w:val="00D60DD5"/>
    <w:rsid w:val="00D61158"/>
    <w:rsid w:val="00D612BA"/>
    <w:rsid w:val="00D612C2"/>
    <w:rsid w:val="00D61308"/>
    <w:rsid w:val="00D616BF"/>
    <w:rsid w:val="00D61802"/>
    <w:rsid w:val="00D61AF2"/>
    <w:rsid w:val="00D61C78"/>
    <w:rsid w:val="00D61E43"/>
    <w:rsid w:val="00D62A81"/>
    <w:rsid w:val="00D62AF2"/>
    <w:rsid w:val="00D62BBC"/>
    <w:rsid w:val="00D630B6"/>
    <w:rsid w:val="00D6318A"/>
    <w:rsid w:val="00D6318E"/>
    <w:rsid w:val="00D634CF"/>
    <w:rsid w:val="00D63670"/>
    <w:rsid w:val="00D636E4"/>
    <w:rsid w:val="00D63E31"/>
    <w:rsid w:val="00D63E6C"/>
    <w:rsid w:val="00D641F3"/>
    <w:rsid w:val="00D6484B"/>
    <w:rsid w:val="00D648A1"/>
    <w:rsid w:val="00D64AD3"/>
    <w:rsid w:val="00D64ED9"/>
    <w:rsid w:val="00D651E5"/>
    <w:rsid w:val="00D65397"/>
    <w:rsid w:val="00D65777"/>
    <w:rsid w:val="00D6586A"/>
    <w:rsid w:val="00D660D0"/>
    <w:rsid w:val="00D6656D"/>
    <w:rsid w:val="00D666B5"/>
    <w:rsid w:val="00D66E0E"/>
    <w:rsid w:val="00D67064"/>
    <w:rsid w:val="00D6718B"/>
    <w:rsid w:val="00D67586"/>
    <w:rsid w:val="00D67965"/>
    <w:rsid w:val="00D67AE6"/>
    <w:rsid w:val="00D67C1D"/>
    <w:rsid w:val="00D700BB"/>
    <w:rsid w:val="00D701C1"/>
    <w:rsid w:val="00D705CA"/>
    <w:rsid w:val="00D7073F"/>
    <w:rsid w:val="00D71093"/>
    <w:rsid w:val="00D7165A"/>
    <w:rsid w:val="00D71919"/>
    <w:rsid w:val="00D71924"/>
    <w:rsid w:val="00D71A38"/>
    <w:rsid w:val="00D71D7B"/>
    <w:rsid w:val="00D71DE0"/>
    <w:rsid w:val="00D72175"/>
    <w:rsid w:val="00D7259B"/>
    <w:rsid w:val="00D72C07"/>
    <w:rsid w:val="00D72D72"/>
    <w:rsid w:val="00D72EA1"/>
    <w:rsid w:val="00D7306E"/>
    <w:rsid w:val="00D7375B"/>
    <w:rsid w:val="00D73C59"/>
    <w:rsid w:val="00D73F42"/>
    <w:rsid w:val="00D7410D"/>
    <w:rsid w:val="00D7410F"/>
    <w:rsid w:val="00D74170"/>
    <w:rsid w:val="00D7420D"/>
    <w:rsid w:val="00D74445"/>
    <w:rsid w:val="00D745B4"/>
    <w:rsid w:val="00D745C3"/>
    <w:rsid w:val="00D74A2D"/>
    <w:rsid w:val="00D74D33"/>
    <w:rsid w:val="00D74DDD"/>
    <w:rsid w:val="00D75099"/>
    <w:rsid w:val="00D75106"/>
    <w:rsid w:val="00D75365"/>
    <w:rsid w:val="00D756F4"/>
    <w:rsid w:val="00D758F3"/>
    <w:rsid w:val="00D75A0C"/>
    <w:rsid w:val="00D75B2E"/>
    <w:rsid w:val="00D75FE9"/>
    <w:rsid w:val="00D76014"/>
    <w:rsid w:val="00D7608A"/>
    <w:rsid w:val="00D76186"/>
    <w:rsid w:val="00D76371"/>
    <w:rsid w:val="00D76389"/>
    <w:rsid w:val="00D7638E"/>
    <w:rsid w:val="00D764C1"/>
    <w:rsid w:val="00D7658B"/>
    <w:rsid w:val="00D766A2"/>
    <w:rsid w:val="00D76873"/>
    <w:rsid w:val="00D76EBD"/>
    <w:rsid w:val="00D77C7E"/>
    <w:rsid w:val="00D77F01"/>
    <w:rsid w:val="00D80233"/>
    <w:rsid w:val="00D8033E"/>
    <w:rsid w:val="00D80431"/>
    <w:rsid w:val="00D80554"/>
    <w:rsid w:val="00D8082C"/>
    <w:rsid w:val="00D8087A"/>
    <w:rsid w:val="00D80986"/>
    <w:rsid w:val="00D80A9A"/>
    <w:rsid w:val="00D80DBB"/>
    <w:rsid w:val="00D80F15"/>
    <w:rsid w:val="00D816D7"/>
    <w:rsid w:val="00D8182D"/>
    <w:rsid w:val="00D8187D"/>
    <w:rsid w:val="00D81A44"/>
    <w:rsid w:val="00D81BBC"/>
    <w:rsid w:val="00D81C87"/>
    <w:rsid w:val="00D81F76"/>
    <w:rsid w:val="00D822A6"/>
    <w:rsid w:val="00D82587"/>
    <w:rsid w:val="00D8264A"/>
    <w:rsid w:val="00D82BF7"/>
    <w:rsid w:val="00D82D7A"/>
    <w:rsid w:val="00D82F5C"/>
    <w:rsid w:val="00D833B6"/>
    <w:rsid w:val="00D83514"/>
    <w:rsid w:val="00D8360B"/>
    <w:rsid w:val="00D83648"/>
    <w:rsid w:val="00D8371B"/>
    <w:rsid w:val="00D8374E"/>
    <w:rsid w:val="00D838D5"/>
    <w:rsid w:val="00D83E45"/>
    <w:rsid w:val="00D83ECB"/>
    <w:rsid w:val="00D83FA4"/>
    <w:rsid w:val="00D84125"/>
    <w:rsid w:val="00D84245"/>
    <w:rsid w:val="00D84455"/>
    <w:rsid w:val="00D84838"/>
    <w:rsid w:val="00D84E24"/>
    <w:rsid w:val="00D84E6E"/>
    <w:rsid w:val="00D85156"/>
    <w:rsid w:val="00D85320"/>
    <w:rsid w:val="00D85510"/>
    <w:rsid w:val="00D85C7B"/>
    <w:rsid w:val="00D8675B"/>
    <w:rsid w:val="00D86901"/>
    <w:rsid w:val="00D86A7D"/>
    <w:rsid w:val="00D86C22"/>
    <w:rsid w:val="00D86DA7"/>
    <w:rsid w:val="00D8706F"/>
    <w:rsid w:val="00D87226"/>
    <w:rsid w:val="00D87689"/>
    <w:rsid w:val="00D876E8"/>
    <w:rsid w:val="00D87F64"/>
    <w:rsid w:val="00D90186"/>
    <w:rsid w:val="00D901CA"/>
    <w:rsid w:val="00D907A3"/>
    <w:rsid w:val="00D9095D"/>
    <w:rsid w:val="00D90CD8"/>
    <w:rsid w:val="00D913EE"/>
    <w:rsid w:val="00D91924"/>
    <w:rsid w:val="00D91AB3"/>
    <w:rsid w:val="00D91D59"/>
    <w:rsid w:val="00D91F96"/>
    <w:rsid w:val="00D92098"/>
    <w:rsid w:val="00D920E7"/>
    <w:rsid w:val="00D922B7"/>
    <w:rsid w:val="00D92399"/>
    <w:rsid w:val="00D92483"/>
    <w:rsid w:val="00D924FB"/>
    <w:rsid w:val="00D92780"/>
    <w:rsid w:val="00D9282A"/>
    <w:rsid w:val="00D92916"/>
    <w:rsid w:val="00D92C0C"/>
    <w:rsid w:val="00D92E0E"/>
    <w:rsid w:val="00D92EFB"/>
    <w:rsid w:val="00D92F03"/>
    <w:rsid w:val="00D92F9D"/>
    <w:rsid w:val="00D930FE"/>
    <w:rsid w:val="00D93423"/>
    <w:rsid w:val="00D9367D"/>
    <w:rsid w:val="00D9371F"/>
    <w:rsid w:val="00D93906"/>
    <w:rsid w:val="00D93A65"/>
    <w:rsid w:val="00D93BB2"/>
    <w:rsid w:val="00D93F88"/>
    <w:rsid w:val="00D941F1"/>
    <w:rsid w:val="00D9425B"/>
    <w:rsid w:val="00D94366"/>
    <w:rsid w:val="00D94507"/>
    <w:rsid w:val="00D94521"/>
    <w:rsid w:val="00D94841"/>
    <w:rsid w:val="00D94F7E"/>
    <w:rsid w:val="00D95016"/>
    <w:rsid w:val="00D95169"/>
    <w:rsid w:val="00D9516D"/>
    <w:rsid w:val="00D9521E"/>
    <w:rsid w:val="00D95C27"/>
    <w:rsid w:val="00D95D5C"/>
    <w:rsid w:val="00D95DD4"/>
    <w:rsid w:val="00D95F45"/>
    <w:rsid w:val="00D96181"/>
    <w:rsid w:val="00D961D7"/>
    <w:rsid w:val="00D96242"/>
    <w:rsid w:val="00D9657B"/>
    <w:rsid w:val="00D969F1"/>
    <w:rsid w:val="00D96A11"/>
    <w:rsid w:val="00D96C38"/>
    <w:rsid w:val="00D96CBB"/>
    <w:rsid w:val="00D970CA"/>
    <w:rsid w:val="00D97595"/>
    <w:rsid w:val="00D9769F"/>
    <w:rsid w:val="00D976AE"/>
    <w:rsid w:val="00D97957"/>
    <w:rsid w:val="00D97B16"/>
    <w:rsid w:val="00D97B3D"/>
    <w:rsid w:val="00DA0040"/>
    <w:rsid w:val="00DA01DB"/>
    <w:rsid w:val="00DA0322"/>
    <w:rsid w:val="00DA034B"/>
    <w:rsid w:val="00DA0A29"/>
    <w:rsid w:val="00DA0B1D"/>
    <w:rsid w:val="00DA0F00"/>
    <w:rsid w:val="00DA0F1A"/>
    <w:rsid w:val="00DA0FDD"/>
    <w:rsid w:val="00DA10F3"/>
    <w:rsid w:val="00DA1551"/>
    <w:rsid w:val="00DA167B"/>
    <w:rsid w:val="00DA1E16"/>
    <w:rsid w:val="00DA1FE1"/>
    <w:rsid w:val="00DA2200"/>
    <w:rsid w:val="00DA235F"/>
    <w:rsid w:val="00DA2442"/>
    <w:rsid w:val="00DA26B1"/>
    <w:rsid w:val="00DA289B"/>
    <w:rsid w:val="00DA2BFB"/>
    <w:rsid w:val="00DA2C93"/>
    <w:rsid w:val="00DA2E27"/>
    <w:rsid w:val="00DA3101"/>
    <w:rsid w:val="00DA31C2"/>
    <w:rsid w:val="00DA33B2"/>
    <w:rsid w:val="00DA34FA"/>
    <w:rsid w:val="00DA363E"/>
    <w:rsid w:val="00DA3700"/>
    <w:rsid w:val="00DA3714"/>
    <w:rsid w:val="00DA3777"/>
    <w:rsid w:val="00DA3A27"/>
    <w:rsid w:val="00DA3AA0"/>
    <w:rsid w:val="00DA3AA8"/>
    <w:rsid w:val="00DA3C64"/>
    <w:rsid w:val="00DA3E1A"/>
    <w:rsid w:val="00DA4234"/>
    <w:rsid w:val="00DA4631"/>
    <w:rsid w:val="00DA4833"/>
    <w:rsid w:val="00DA494B"/>
    <w:rsid w:val="00DA4F6D"/>
    <w:rsid w:val="00DA5199"/>
    <w:rsid w:val="00DA5422"/>
    <w:rsid w:val="00DA5472"/>
    <w:rsid w:val="00DA57E6"/>
    <w:rsid w:val="00DA5D33"/>
    <w:rsid w:val="00DA5DF1"/>
    <w:rsid w:val="00DA5EBE"/>
    <w:rsid w:val="00DA6247"/>
    <w:rsid w:val="00DA6349"/>
    <w:rsid w:val="00DA666F"/>
    <w:rsid w:val="00DA6676"/>
    <w:rsid w:val="00DA672B"/>
    <w:rsid w:val="00DA6B65"/>
    <w:rsid w:val="00DA6C96"/>
    <w:rsid w:val="00DA7085"/>
    <w:rsid w:val="00DA712A"/>
    <w:rsid w:val="00DA755B"/>
    <w:rsid w:val="00DA77AB"/>
    <w:rsid w:val="00DA78CB"/>
    <w:rsid w:val="00DA7980"/>
    <w:rsid w:val="00DA7DEC"/>
    <w:rsid w:val="00DA7E74"/>
    <w:rsid w:val="00DA7EC8"/>
    <w:rsid w:val="00DA7F6B"/>
    <w:rsid w:val="00DB04FB"/>
    <w:rsid w:val="00DB06C1"/>
    <w:rsid w:val="00DB0870"/>
    <w:rsid w:val="00DB0A68"/>
    <w:rsid w:val="00DB0AE7"/>
    <w:rsid w:val="00DB0B1D"/>
    <w:rsid w:val="00DB0DFF"/>
    <w:rsid w:val="00DB0E7A"/>
    <w:rsid w:val="00DB0F66"/>
    <w:rsid w:val="00DB10A4"/>
    <w:rsid w:val="00DB114C"/>
    <w:rsid w:val="00DB12CE"/>
    <w:rsid w:val="00DB166A"/>
    <w:rsid w:val="00DB16CB"/>
    <w:rsid w:val="00DB1775"/>
    <w:rsid w:val="00DB17D0"/>
    <w:rsid w:val="00DB1D69"/>
    <w:rsid w:val="00DB1F6E"/>
    <w:rsid w:val="00DB208F"/>
    <w:rsid w:val="00DB2145"/>
    <w:rsid w:val="00DB21C1"/>
    <w:rsid w:val="00DB246C"/>
    <w:rsid w:val="00DB2621"/>
    <w:rsid w:val="00DB29EE"/>
    <w:rsid w:val="00DB2ABC"/>
    <w:rsid w:val="00DB2F93"/>
    <w:rsid w:val="00DB316C"/>
    <w:rsid w:val="00DB34C5"/>
    <w:rsid w:val="00DB352A"/>
    <w:rsid w:val="00DB3D3A"/>
    <w:rsid w:val="00DB3E55"/>
    <w:rsid w:val="00DB40E3"/>
    <w:rsid w:val="00DB4664"/>
    <w:rsid w:val="00DB46DE"/>
    <w:rsid w:val="00DB4748"/>
    <w:rsid w:val="00DB4B4B"/>
    <w:rsid w:val="00DB4BB1"/>
    <w:rsid w:val="00DB4E3E"/>
    <w:rsid w:val="00DB4E84"/>
    <w:rsid w:val="00DB508B"/>
    <w:rsid w:val="00DB53DE"/>
    <w:rsid w:val="00DB5978"/>
    <w:rsid w:val="00DB5D12"/>
    <w:rsid w:val="00DB6032"/>
    <w:rsid w:val="00DB60DB"/>
    <w:rsid w:val="00DB6122"/>
    <w:rsid w:val="00DB63FB"/>
    <w:rsid w:val="00DB6700"/>
    <w:rsid w:val="00DB67AF"/>
    <w:rsid w:val="00DB6828"/>
    <w:rsid w:val="00DB6C59"/>
    <w:rsid w:val="00DB6F2A"/>
    <w:rsid w:val="00DB7498"/>
    <w:rsid w:val="00DB76BB"/>
    <w:rsid w:val="00DB7870"/>
    <w:rsid w:val="00DB78EC"/>
    <w:rsid w:val="00DB7996"/>
    <w:rsid w:val="00DB79CE"/>
    <w:rsid w:val="00DB7C9B"/>
    <w:rsid w:val="00DB7CB5"/>
    <w:rsid w:val="00DB7D64"/>
    <w:rsid w:val="00DC0013"/>
    <w:rsid w:val="00DC002D"/>
    <w:rsid w:val="00DC007A"/>
    <w:rsid w:val="00DC00E5"/>
    <w:rsid w:val="00DC04F8"/>
    <w:rsid w:val="00DC05E0"/>
    <w:rsid w:val="00DC0713"/>
    <w:rsid w:val="00DC08C3"/>
    <w:rsid w:val="00DC0911"/>
    <w:rsid w:val="00DC0945"/>
    <w:rsid w:val="00DC0969"/>
    <w:rsid w:val="00DC09D6"/>
    <w:rsid w:val="00DC0D2A"/>
    <w:rsid w:val="00DC0F43"/>
    <w:rsid w:val="00DC10CA"/>
    <w:rsid w:val="00DC1152"/>
    <w:rsid w:val="00DC11AA"/>
    <w:rsid w:val="00DC1219"/>
    <w:rsid w:val="00DC14B3"/>
    <w:rsid w:val="00DC15D7"/>
    <w:rsid w:val="00DC1654"/>
    <w:rsid w:val="00DC178B"/>
    <w:rsid w:val="00DC17A4"/>
    <w:rsid w:val="00DC1896"/>
    <w:rsid w:val="00DC18FB"/>
    <w:rsid w:val="00DC1B50"/>
    <w:rsid w:val="00DC1BD2"/>
    <w:rsid w:val="00DC1BF1"/>
    <w:rsid w:val="00DC1FEC"/>
    <w:rsid w:val="00DC2160"/>
    <w:rsid w:val="00DC2189"/>
    <w:rsid w:val="00DC223F"/>
    <w:rsid w:val="00DC22AA"/>
    <w:rsid w:val="00DC3288"/>
    <w:rsid w:val="00DC354F"/>
    <w:rsid w:val="00DC3BD9"/>
    <w:rsid w:val="00DC3C6B"/>
    <w:rsid w:val="00DC3C96"/>
    <w:rsid w:val="00DC3EBF"/>
    <w:rsid w:val="00DC3F0F"/>
    <w:rsid w:val="00DC412C"/>
    <w:rsid w:val="00DC4744"/>
    <w:rsid w:val="00DC4E0A"/>
    <w:rsid w:val="00DC4F49"/>
    <w:rsid w:val="00DC53F6"/>
    <w:rsid w:val="00DC56F6"/>
    <w:rsid w:val="00DC5F83"/>
    <w:rsid w:val="00DC6048"/>
    <w:rsid w:val="00DC604C"/>
    <w:rsid w:val="00DC6054"/>
    <w:rsid w:val="00DC60A8"/>
    <w:rsid w:val="00DC6298"/>
    <w:rsid w:val="00DC6411"/>
    <w:rsid w:val="00DC6B6A"/>
    <w:rsid w:val="00DC6CD6"/>
    <w:rsid w:val="00DC6D20"/>
    <w:rsid w:val="00DC6EA5"/>
    <w:rsid w:val="00DC70C9"/>
    <w:rsid w:val="00DC7287"/>
    <w:rsid w:val="00DC735D"/>
    <w:rsid w:val="00DC7425"/>
    <w:rsid w:val="00DC7477"/>
    <w:rsid w:val="00DC76EF"/>
    <w:rsid w:val="00DC7C2E"/>
    <w:rsid w:val="00DC7CAE"/>
    <w:rsid w:val="00DC7CDA"/>
    <w:rsid w:val="00DD0298"/>
    <w:rsid w:val="00DD02F7"/>
    <w:rsid w:val="00DD0354"/>
    <w:rsid w:val="00DD0392"/>
    <w:rsid w:val="00DD065F"/>
    <w:rsid w:val="00DD0B52"/>
    <w:rsid w:val="00DD0D9B"/>
    <w:rsid w:val="00DD0ECC"/>
    <w:rsid w:val="00DD10DD"/>
    <w:rsid w:val="00DD120B"/>
    <w:rsid w:val="00DD12F0"/>
    <w:rsid w:val="00DD130F"/>
    <w:rsid w:val="00DD1387"/>
    <w:rsid w:val="00DD15CE"/>
    <w:rsid w:val="00DD1A9B"/>
    <w:rsid w:val="00DD1B87"/>
    <w:rsid w:val="00DD1E0E"/>
    <w:rsid w:val="00DD214D"/>
    <w:rsid w:val="00DD2312"/>
    <w:rsid w:val="00DD255A"/>
    <w:rsid w:val="00DD2D83"/>
    <w:rsid w:val="00DD2EF8"/>
    <w:rsid w:val="00DD3169"/>
    <w:rsid w:val="00DD3374"/>
    <w:rsid w:val="00DD33AD"/>
    <w:rsid w:val="00DD36DE"/>
    <w:rsid w:val="00DD36FD"/>
    <w:rsid w:val="00DD39A0"/>
    <w:rsid w:val="00DD3AD3"/>
    <w:rsid w:val="00DD3F47"/>
    <w:rsid w:val="00DD42F9"/>
    <w:rsid w:val="00DD4348"/>
    <w:rsid w:val="00DD4965"/>
    <w:rsid w:val="00DD4BC5"/>
    <w:rsid w:val="00DD4D8A"/>
    <w:rsid w:val="00DD4FE5"/>
    <w:rsid w:val="00DD5131"/>
    <w:rsid w:val="00DD5644"/>
    <w:rsid w:val="00DD570E"/>
    <w:rsid w:val="00DD5723"/>
    <w:rsid w:val="00DD5776"/>
    <w:rsid w:val="00DD5B42"/>
    <w:rsid w:val="00DD5C6D"/>
    <w:rsid w:val="00DD5FAC"/>
    <w:rsid w:val="00DD6454"/>
    <w:rsid w:val="00DD6682"/>
    <w:rsid w:val="00DD6A5E"/>
    <w:rsid w:val="00DD6A87"/>
    <w:rsid w:val="00DD6A8B"/>
    <w:rsid w:val="00DD6BBE"/>
    <w:rsid w:val="00DD6C41"/>
    <w:rsid w:val="00DD7102"/>
    <w:rsid w:val="00DD76E2"/>
    <w:rsid w:val="00DD788D"/>
    <w:rsid w:val="00DD7A5C"/>
    <w:rsid w:val="00DD7A8D"/>
    <w:rsid w:val="00DD7B13"/>
    <w:rsid w:val="00DD7EE6"/>
    <w:rsid w:val="00DD7F58"/>
    <w:rsid w:val="00DE03E4"/>
    <w:rsid w:val="00DE04E6"/>
    <w:rsid w:val="00DE0756"/>
    <w:rsid w:val="00DE0A91"/>
    <w:rsid w:val="00DE0DE4"/>
    <w:rsid w:val="00DE0FEC"/>
    <w:rsid w:val="00DE162F"/>
    <w:rsid w:val="00DE163E"/>
    <w:rsid w:val="00DE16C7"/>
    <w:rsid w:val="00DE177E"/>
    <w:rsid w:val="00DE18FA"/>
    <w:rsid w:val="00DE1A1E"/>
    <w:rsid w:val="00DE1FCE"/>
    <w:rsid w:val="00DE20DF"/>
    <w:rsid w:val="00DE210A"/>
    <w:rsid w:val="00DE22EB"/>
    <w:rsid w:val="00DE2589"/>
    <w:rsid w:val="00DE274B"/>
    <w:rsid w:val="00DE2A11"/>
    <w:rsid w:val="00DE2A55"/>
    <w:rsid w:val="00DE2BEB"/>
    <w:rsid w:val="00DE2D20"/>
    <w:rsid w:val="00DE2D51"/>
    <w:rsid w:val="00DE2FA5"/>
    <w:rsid w:val="00DE33C4"/>
    <w:rsid w:val="00DE3BDF"/>
    <w:rsid w:val="00DE3CBB"/>
    <w:rsid w:val="00DE3D20"/>
    <w:rsid w:val="00DE3D85"/>
    <w:rsid w:val="00DE406C"/>
    <w:rsid w:val="00DE411F"/>
    <w:rsid w:val="00DE4546"/>
    <w:rsid w:val="00DE4607"/>
    <w:rsid w:val="00DE4DDA"/>
    <w:rsid w:val="00DE4E2D"/>
    <w:rsid w:val="00DE4F23"/>
    <w:rsid w:val="00DE5257"/>
    <w:rsid w:val="00DE53A5"/>
    <w:rsid w:val="00DE542A"/>
    <w:rsid w:val="00DE54C3"/>
    <w:rsid w:val="00DE5A2B"/>
    <w:rsid w:val="00DE5D82"/>
    <w:rsid w:val="00DE6033"/>
    <w:rsid w:val="00DE604E"/>
    <w:rsid w:val="00DE6155"/>
    <w:rsid w:val="00DE62F9"/>
    <w:rsid w:val="00DE654C"/>
    <w:rsid w:val="00DE6574"/>
    <w:rsid w:val="00DE6635"/>
    <w:rsid w:val="00DE667D"/>
    <w:rsid w:val="00DE6740"/>
    <w:rsid w:val="00DE6B8E"/>
    <w:rsid w:val="00DE6DD3"/>
    <w:rsid w:val="00DE7059"/>
    <w:rsid w:val="00DE7418"/>
    <w:rsid w:val="00DE7AAF"/>
    <w:rsid w:val="00DE7C51"/>
    <w:rsid w:val="00DE7CA9"/>
    <w:rsid w:val="00DE7D2B"/>
    <w:rsid w:val="00DF007D"/>
    <w:rsid w:val="00DF0142"/>
    <w:rsid w:val="00DF06D8"/>
    <w:rsid w:val="00DF0734"/>
    <w:rsid w:val="00DF0D29"/>
    <w:rsid w:val="00DF0E50"/>
    <w:rsid w:val="00DF1274"/>
    <w:rsid w:val="00DF1814"/>
    <w:rsid w:val="00DF1919"/>
    <w:rsid w:val="00DF1BA4"/>
    <w:rsid w:val="00DF1C02"/>
    <w:rsid w:val="00DF1C78"/>
    <w:rsid w:val="00DF1D8F"/>
    <w:rsid w:val="00DF1FE0"/>
    <w:rsid w:val="00DF20EC"/>
    <w:rsid w:val="00DF219B"/>
    <w:rsid w:val="00DF25C2"/>
    <w:rsid w:val="00DF27B7"/>
    <w:rsid w:val="00DF291A"/>
    <w:rsid w:val="00DF2B6A"/>
    <w:rsid w:val="00DF2CBB"/>
    <w:rsid w:val="00DF2D93"/>
    <w:rsid w:val="00DF32C8"/>
    <w:rsid w:val="00DF331E"/>
    <w:rsid w:val="00DF39C0"/>
    <w:rsid w:val="00DF3B1F"/>
    <w:rsid w:val="00DF3E0D"/>
    <w:rsid w:val="00DF3F1B"/>
    <w:rsid w:val="00DF3F4D"/>
    <w:rsid w:val="00DF435D"/>
    <w:rsid w:val="00DF4559"/>
    <w:rsid w:val="00DF4749"/>
    <w:rsid w:val="00DF47FE"/>
    <w:rsid w:val="00DF4920"/>
    <w:rsid w:val="00DF4A48"/>
    <w:rsid w:val="00DF4A6A"/>
    <w:rsid w:val="00DF4D83"/>
    <w:rsid w:val="00DF4F46"/>
    <w:rsid w:val="00DF5222"/>
    <w:rsid w:val="00DF5267"/>
    <w:rsid w:val="00DF561A"/>
    <w:rsid w:val="00DF598B"/>
    <w:rsid w:val="00DF5DF8"/>
    <w:rsid w:val="00DF6051"/>
    <w:rsid w:val="00DF6082"/>
    <w:rsid w:val="00DF63D7"/>
    <w:rsid w:val="00DF645C"/>
    <w:rsid w:val="00DF6655"/>
    <w:rsid w:val="00DF689C"/>
    <w:rsid w:val="00DF6961"/>
    <w:rsid w:val="00DF6A4F"/>
    <w:rsid w:val="00DF6A57"/>
    <w:rsid w:val="00DF6AEE"/>
    <w:rsid w:val="00DF6B73"/>
    <w:rsid w:val="00DF6BAF"/>
    <w:rsid w:val="00DF6FD0"/>
    <w:rsid w:val="00DF732F"/>
    <w:rsid w:val="00DF73A3"/>
    <w:rsid w:val="00DF75E1"/>
    <w:rsid w:val="00DF7B4F"/>
    <w:rsid w:val="00DF7D0E"/>
    <w:rsid w:val="00DF7F06"/>
    <w:rsid w:val="00E000EB"/>
    <w:rsid w:val="00E001E5"/>
    <w:rsid w:val="00E0041B"/>
    <w:rsid w:val="00E004D4"/>
    <w:rsid w:val="00E0054F"/>
    <w:rsid w:val="00E007F6"/>
    <w:rsid w:val="00E008B4"/>
    <w:rsid w:val="00E00A43"/>
    <w:rsid w:val="00E00C44"/>
    <w:rsid w:val="00E01149"/>
    <w:rsid w:val="00E01194"/>
    <w:rsid w:val="00E0120E"/>
    <w:rsid w:val="00E016FA"/>
    <w:rsid w:val="00E019B0"/>
    <w:rsid w:val="00E01D40"/>
    <w:rsid w:val="00E01EBD"/>
    <w:rsid w:val="00E01FB5"/>
    <w:rsid w:val="00E01FD1"/>
    <w:rsid w:val="00E021B3"/>
    <w:rsid w:val="00E022B8"/>
    <w:rsid w:val="00E025F0"/>
    <w:rsid w:val="00E0271F"/>
    <w:rsid w:val="00E02743"/>
    <w:rsid w:val="00E027FB"/>
    <w:rsid w:val="00E02B26"/>
    <w:rsid w:val="00E02ED0"/>
    <w:rsid w:val="00E03433"/>
    <w:rsid w:val="00E034E0"/>
    <w:rsid w:val="00E0388B"/>
    <w:rsid w:val="00E039E8"/>
    <w:rsid w:val="00E03BE2"/>
    <w:rsid w:val="00E03CEA"/>
    <w:rsid w:val="00E04058"/>
    <w:rsid w:val="00E043F6"/>
    <w:rsid w:val="00E04502"/>
    <w:rsid w:val="00E0460F"/>
    <w:rsid w:val="00E0465E"/>
    <w:rsid w:val="00E047A0"/>
    <w:rsid w:val="00E048BA"/>
    <w:rsid w:val="00E04954"/>
    <w:rsid w:val="00E04AFD"/>
    <w:rsid w:val="00E04B0A"/>
    <w:rsid w:val="00E04B0C"/>
    <w:rsid w:val="00E04BF4"/>
    <w:rsid w:val="00E04D25"/>
    <w:rsid w:val="00E0529D"/>
    <w:rsid w:val="00E05AC0"/>
    <w:rsid w:val="00E05C81"/>
    <w:rsid w:val="00E06178"/>
    <w:rsid w:val="00E0642A"/>
    <w:rsid w:val="00E064A0"/>
    <w:rsid w:val="00E066F2"/>
    <w:rsid w:val="00E067C9"/>
    <w:rsid w:val="00E06B9F"/>
    <w:rsid w:val="00E07264"/>
    <w:rsid w:val="00E0726A"/>
    <w:rsid w:val="00E0759E"/>
    <w:rsid w:val="00E075F0"/>
    <w:rsid w:val="00E0774C"/>
    <w:rsid w:val="00E07C22"/>
    <w:rsid w:val="00E07CCD"/>
    <w:rsid w:val="00E108B8"/>
    <w:rsid w:val="00E108E0"/>
    <w:rsid w:val="00E10E65"/>
    <w:rsid w:val="00E10FF4"/>
    <w:rsid w:val="00E11311"/>
    <w:rsid w:val="00E1145A"/>
    <w:rsid w:val="00E11B32"/>
    <w:rsid w:val="00E11B99"/>
    <w:rsid w:val="00E11F33"/>
    <w:rsid w:val="00E11FEB"/>
    <w:rsid w:val="00E12482"/>
    <w:rsid w:val="00E124D4"/>
    <w:rsid w:val="00E125AD"/>
    <w:rsid w:val="00E1261A"/>
    <w:rsid w:val="00E126B7"/>
    <w:rsid w:val="00E1280F"/>
    <w:rsid w:val="00E12810"/>
    <w:rsid w:val="00E12985"/>
    <w:rsid w:val="00E12A6C"/>
    <w:rsid w:val="00E12D01"/>
    <w:rsid w:val="00E13362"/>
    <w:rsid w:val="00E134E3"/>
    <w:rsid w:val="00E13624"/>
    <w:rsid w:val="00E136EA"/>
    <w:rsid w:val="00E13B2D"/>
    <w:rsid w:val="00E1419C"/>
    <w:rsid w:val="00E14381"/>
    <w:rsid w:val="00E14913"/>
    <w:rsid w:val="00E14D40"/>
    <w:rsid w:val="00E14E61"/>
    <w:rsid w:val="00E14FF4"/>
    <w:rsid w:val="00E15059"/>
    <w:rsid w:val="00E153A9"/>
    <w:rsid w:val="00E15C2E"/>
    <w:rsid w:val="00E15C9C"/>
    <w:rsid w:val="00E15D9C"/>
    <w:rsid w:val="00E15DBE"/>
    <w:rsid w:val="00E16317"/>
    <w:rsid w:val="00E16591"/>
    <w:rsid w:val="00E16968"/>
    <w:rsid w:val="00E16C0F"/>
    <w:rsid w:val="00E171A3"/>
    <w:rsid w:val="00E17233"/>
    <w:rsid w:val="00E172DB"/>
    <w:rsid w:val="00E17320"/>
    <w:rsid w:val="00E177B1"/>
    <w:rsid w:val="00E17C2A"/>
    <w:rsid w:val="00E17C4F"/>
    <w:rsid w:val="00E17D6D"/>
    <w:rsid w:val="00E17DF5"/>
    <w:rsid w:val="00E201C0"/>
    <w:rsid w:val="00E20349"/>
    <w:rsid w:val="00E203E5"/>
    <w:rsid w:val="00E2048A"/>
    <w:rsid w:val="00E20526"/>
    <w:rsid w:val="00E20998"/>
    <w:rsid w:val="00E20AAD"/>
    <w:rsid w:val="00E20B46"/>
    <w:rsid w:val="00E20BB4"/>
    <w:rsid w:val="00E21753"/>
    <w:rsid w:val="00E21A2C"/>
    <w:rsid w:val="00E21AAC"/>
    <w:rsid w:val="00E21BD9"/>
    <w:rsid w:val="00E21C0F"/>
    <w:rsid w:val="00E21E24"/>
    <w:rsid w:val="00E21F03"/>
    <w:rsid w:val="00E21FE8"/>
    <w:rsid w:val="00E224F5"/>
    <w:rsid w:val="00E22C86"/>
    <w:rsid w:val="00E22D35"/>
    <w:rsid w:val="00E231D1"/>
    <w:rsid w:val="00E23309"/>
    <w:rsid w:val="00E23347"/>
    <w:rsid w:val="00E23B12"/>
    <w:rsid w:val="00E240B7"/>
    <w:rsid w:val="00E242EB"/>
    <w:rsid w:val="00E243D1"/>
    <w:rsid w:val="00E243D2"/>
    <w:rsid w:val="00E2441C"/>
    <w:rsid w:val="00E2447F"/>
    <w:rsid w:val="00E2471B"/>
    <w:rsid w:val="00E24DB2"/>
    <w:rsid w:val="00E24E5B"/>
    <w:rsid w:val="00E24F17"/>
    <w:rsid w:val="00E25464"/>
    <w:rsid w:val="00E25628"/>
    <w:rsid w:val="00E258E0"/>
    <w:rsid w:val="00E25B2D"/>
    <w:rsid w:val="00E25D3C"/>
    <w:rsid w:val="00E25F95"/>
    <w:rsid w:val="00E26006"/>
    <w:rsid w:val="00E2686E"/>
    <w:rsid w:val="00E2691F"/>
    <w:rsid w:val="00E26D50"/>
    <w:rsid w:val="00E27203"/>
    <w:rsid w:val="00E275EF"/>
    <w:rsid w:val="00E2791C"/>
    <w:rsid w:val="00E27B33"/>
    <w:rsid w:val="00E27CB7"/>
    <w:rsid w:val="00E30036"/>
    <w:rsid w:val="00E3031B"/>
    <w:rsid w:val="00E3036A"/>
    <w:rsid w:val="00E30A85"/>
    <w:rsid w:val="00E30AFE"/>
    <w:rsid w:val="00E30C34"/>
    <w:rsid w:val="00E30D0B"/>
    <w:rsid w:val="00E30E56"/>
    <w:rsid w:val="00E312E0"/>
    <w:rsid w:val="00E31402"/>
    <w:rsid w:val="00E31A8F"/>
    <w:rsid w:val="00E31AE4"/>
    <w:rsid w:val="00E32171"/>
    <w:rsid w:val="00E322DC"/>
    <w:rsid w:val="00E3299D"/>
    <w:rsid w:val="00E32A0E"/>
    <w:rsid w:val="00E32E3B"/>
    <w:rsid w:val="00E32F3C"/>
    <w:rsid w:val="00E3352F"/>
    <w:rsid w:val="00E3372D"/>
    <w:rsid w:val="00E33734"/>
    <w:rsid w:val="00E33763"/>
    <w:rsid w:val="00E338E0"/>
    <w:rsid w:val="00E33B6C"/>
    <w:rsid w:val="00E33C72"/>
    <w:rsid w:val="00E33F05"/>
    <w:rsid w:val="00E34023"/>
    <w:rsid w:val="00E3438A"/>
    <w:rsid w:val="00E344EF"/>
    <w:rsid w:val="00E345B3"/>
    <w:rsid w:val="00E345BF"/>
    <w:rsid w:val="00E346C3"/>
    <w:rsid w:val="00E348FD"/>
    <w:rsid w:val="00E34B20"/>
    <w:rsid w:val="00E34ECA"/>
    <w:rsid w:val="00E34F38"/>
    <w:rsid w:val="00E35049"/>
    <w:rsid w:val="00E3507A"/>
    <w:rsid w:val="00E352E4"/>
    <w:rsid w:val="00E3549A"/>
    <w:rsid w:val="00E3554E"/>
    <w:rsid w:val="00E358C5"/>
    <w:rsid w:val="00E35AB1"/>
    <w:rsid w:val="00E35B22"/>
    <w:rsid w:val="00E35B89"/>
    <w:rsid w:val="00E35D61"/>
    <w:rsid w:val="00E35EA0"/>
    <w:rsid w:val="00E36096"/>
    <w:rsid w:val="00E36167"/>
    <w:rsid w:val="00E36429"/>
    <w:rsid w:val="00E368E6"/>
    <w:rsid w:val="00E36E06"/>
    <w:rsid w:val="00E37133"/>
    <w:rsid w:val="00E371D7"/>
    <w:rsid w:val="00E37688"/>
    <w:rsid w:val="00E37752"/>
    <w:rsid w:val="00E37A37"/>
    <w:rsid w:val="00E37BB9"/>
    <w:rsid w:val="00E37CC4"/>
    <w:rsid w:val="00E401AD"/>
    <w:rsid w:val="00E4032E"/>
    <w:rsid w:val="00E40502"/>
    <w:rsid w:val="00E40634"/>
    <w:rsid w:val="00E40B3C"/>
    <w:rsid w:val="00E413E9"/>
    <w:rsid w:val="00E41753"/>
    <w:rsid w:val="00E41811"/>
    <w:rsid w:val="00E41894"/>
    <w:rsid w:val="00E4193C"/>
    <w:rsid w:val="00E41C88"/>
    <w:rsid w:val="00E42037"/>
    <w:rsid w:val="00E42451"/>
    <w:rsid w:val="00E4287C"/>
    <w:rsid w:val="00E42893"/>
    <w:rsid w:val="00E429FD"/>
    <w:rsid w:val="00E42BAB"/>
    <w:rsid w:val="00E42DD6"/>
    <w:rsid w:val="00E42E09"/>
    <w:rsid w:val="00E42E50"/>
    <w:rsid w:val="00E4324E"/>
    <w:rsid w:val="00E433F4"/>
    <w:rsid w:val="00E43429"/>
    <w:rsid w:val="00E43829"/>
    <w:rsid w:val="00E43914"/>
    <w:rsid w:val="00E43B7D"/>
    <w:rsid w:val="00E43D46"/>
    <w:rsid w:val="00E43DCA"/>
    <w:rsid w:val="00E44116"/>
    <w:rsid w:val="00E446D4"/>
    <w:rsid w:val="00E4480B"/>
    <w:rsid w:val="00E44A20"/>
    <w:rsid w:val="00E44DF3"/>
    <w:rsid w:val="00E44F35"/>
    <w:rsid w:val="00E44FA8"/>
    <w:rsid w:val="00E451BB"/>
    <w:rsid w:val="00E4543A"/>
    <w:rsid w:val="00E45787"/>
    <w:rsid w:val="00E45A1C"/>
    <w:rsid w:val="00E45DCA"/>
    <w:rsid w:val="00E45E04"/>
    <w:rsid w:val="00E45F74"/>
    <w:rsid w:val="00E4603C"/>
    <w:rsid w:val="00E462AB"/>
    <w:rsid w:val="00E46C2A"/>
    <w:rsid w:val="00E47003"/>
    <w:rsid w:val="00E4737F"/>
    <w:rsid w:val="00E4739B"/>
    <w:rsid w:val="00E475D2"/>
    <w:rsid w:val="00E475D7"/>
    <w:rsid w:val="00E47938"/>
    <w:rsid w:val="00E47CFB"/>
    <w:rsid w:val="00E503E4"/>
    <w:rsid w:val="00E50992"/>
    <w:rsid w:val="00E50B88"/>
    <w:rsid w:val="00E50E02"/>
    <w:rsid w:val="00E50FBF"/>
    <w:rsid w:val="00E5118E"/>
    <w:rsid w:val="00E511AD"/>
    <w:rsid w:val="00E512F5"/>
    <w:rsid w:val="00E51509"/>
    <w:rsid w:val="00E5157A"/>
    <w:rsid w:val="00E51B25"/>
    <w:rsid w:val="00E51CD3"/>
    <w:rsid w:val="00E51DA0"/>
    <w:rsid w:val="00E522B0"/>
    <w:rsid w:val="00E526F7"/>
    <w:rsid w:val="00E52905"/>
    <w:rsid w:val="00E52909"/>
    <w:rsid w:val="00E529F9"/>
    <w:rsid w:val="00E52B29"/>
    <w:rsid w:val="00E52D73"/>
    <w:rsid w:val="00E52F29"/>
    <w:rsid w:val="00E530BB"/>
    <w:rsid w:val="00E530D6"/>
    <w:rsid w:val="00E53586"/>
    <w:rsid w:val="00E53758"/>
    <w:rsid w:val="00E538C0"/>
    <w:rsid w:val="00E53EA7"/>
    <w:rsid w:val="00E53FCA"/>
    <w:rsid w:val="00E5415F"/>
    <w:rsid w:val="00E54189"/>
    <w:rsid w:val="00E54519"/>
    <w:rsid w:val="00E54834"/>
    <w:rsid w:val="00E54AC7"/>
    <w:rsid w:val="00E54F2D"/>
    <w:rsid w:val="00E55073"/>
    <w:rsid w:val="00E5559B"/>
    <w:rsid w:val="00E558C6"/>
    <w:rsid w:val="00E55A78"/>
    <w:rsid w:val="00E55BFA"/>
    <w:rsid w:val="00E55E99"/>
    <w:rsid w:val="00E55FFE"/>
    <w:rsid w:val="00E5611F"/>
    <w:rsid w:val="00E564A2"/>
    <w:rsid w:val="00E56508"/>
    <w:rsid w:val="00E56E77"/>
    <w:rsid w:val="00E57275"/>
    <w:rsid w:val="00E572CF"/>
    <w:rsid w:val="00E575DF"/>
    <w:rsid w:val="00E57897"/>
    <w:rsid w:val="00E57A27"/>
    <w:rsid w:val="00E57DA4"/>
    <w:rsid w:val="00E57EED"/>
    <w:rsid w:val="00E601C0"/>
    <w:rsid w:val="00E603BB"/>
    <w:rsid w:val="00E6042A"/>
    <w:rsid w:val="00E6075C"/>
    <w:rsid w:val="00E60A9D"/>
    <w:rsid w:val="00E60B2D"/>
    <w:rsid w:val="00E60E08"/>
    <w:rsid w:val="00E61196"/>
    <w:rsid w:val="00E61233"/>
    <w:rsid w:val="00E612B8"/>
    <w:rsid w:val="00E613E1"/>
    <w:rsid w:val="00E616E0"/>
    <w:rsid w:val="00E618E9"/>
    <w:rsid w:val="00E61B58"/>
    <w:rsid w:val="00E61C58"/>
    <w:rsid w:val="00E61E19"/>
    <w:rsid w:val="00E61E97"/>
    <w:rsid w:val="00E6203D"/>
    <w:rsid w:val="00E62096"/>
    <w:rsid w:val="00E627E1"/>
    <w:rsid w:val="00E62A81"/>
    <w:rsid w:val="00E62AA3"/>
    <w:rsid w:val="00E62AEF"/>
    <w:rsid w:val="00E62B81"/>
    <w:rsid w:val="00E62CC0"/>
    <w:rsid w:val="00E62E67"/>
    <w:rsid w:val="00E632AF"/>
    <w:rsid w:val="00E6346F"/>
    <w:rsid w:val="00E6347A"/>
    <w:rsid w:val="00E63770"/>
    <w:rsid w:val="00E6379C"/>
    <w:rsid w:val="00E63804"/>
    <w:rsid w:val="00E639A2"/>
    <w:rsid w:val="00E63E7D"/>
    <w:rsid w:val="00E63F3F"/>
    <w:rsid w:val="00E63FEF"/>
    <w:rsid w:val="00E64044"/>
    <w:rsid w:val="00E641B0"/>
    <w:rsid w:val="00E6422A"/>
    <w:rsid w:val="00E64345"/>
    <w:rsid w:val="00E64850"/>
    <w:rsid w:val="00E64E64"/>
    <w:rsid w:val="00E654B4"/>
    <w:rsid w:val="00E65510"/>
    <w:rsid w:val="00E6573D"/>
    <w:rsid w:val="00E65AEA"/>
    <w:rsid w:val="00E65B42"/>
    <w:rsid w:val="00E65C1E"/>
    <w:rsid w:val="00E65ED8"/>
    <w:rsid w:val="00E65FB1"/>
    <w:rsid w:val="00E662E4"/>
    <w:rsid w:val="00E66504"/>
    <w:rsid w:val="00E66E61"/>
    <w:rsid w:val="00E67152"/>
    <w:rsid w:val="00E675D7"/>
    <w:rsid w:val="00E67BA3"/>
    <w:rsid w:val="00E67D1E"/>
    <w:rsid w:val="00E701D7"/>
    <w:rsid w:val="00E705E3"/>
    <w:rsid w:val="00E707A3"/>
    <w:rsid w:val="00E70A9B"/>
    <w:rsid w:val="00E70C74"/>
    <w:rsid w:val="00E70F2B"/>
    <w:rsid w:val="00E70F7B"/>
    <w:rsid w:val="00E7178D"/>
    <w:rsid w:val="00E718DF"/>
    <w:rsid w:val="00E71933"/>
    <w:rsid w:val="00E71B03"/>
    <w:rsid w:val="00E71B1A"/>
    <w:rsid w:val="00E71C0D"/>
    <w:rsid w:val="00E71D90"/>
    <w:rsid w:val="00E71DA3"/>
    <w:rsid w:val="00E71FE8"/>
    <w:rsid w:val="00E720B8"/>
    <w:rsid w:val="00E7231E"/>
    <w:rsid w:val="00E72350"/>
    <w:rsid w:val="00E72A04"/>
    <w:rsid w:val="00E72B85"/>
    <w:rsid w:val="00E72BE3"/>
    <w:rsid w:val="00E72CB8"/>
    <w:rsid w:val="00E72DCD"/>
    <w:rsid w:val="00E72F59"/>
    <w:rsid w:val="00E7310D"/>
    <w:rsid w:val="00E732A2"/>
    <w:rsid w:val="00E73464"/>
    <w:rsid w:val="00E735A9"/>
    <w:rsid w:val="00E735B1"/>
    <w:rsid w:val="00E73913"/>
    <w:rsid w:val="00E73A2E"/>
    <w:rsid w:val="00E73AD3"/>
    <w:rsid w:val="00E73D28"/>
    <w:rsid w:val="00E73D40"/>
    <w:rsid w:val="00E73DD9"/>
    <w:rsid w:val="00E740E3"/>
    <w:rsid w:val="00E741C6"/>
    <w:rsid w:val="00E74276"/>
    <w:rsid w:val="00E743FE"/>
    <w:rsid w:val="00E744DD"/>
    <w:rsid w:val="00E7472A"/>
    <w:rsid w:val="00E748AC"/>
    <w:rsid w:val="00E74A83"/>
    <w:rsid w:val="00E74B95"/>
    <w:rsid w:val="00E74BE9"/>
    <w:rsid w:val="00E74E4A"/>
    <w:rsid w:val="00E74EF7"/>
    <w:rsid w:val="00E74FF8"/>
    <w:rsid w:val="00E756B5"/>
    <w:rsid w:val="00E75CCB"/>
    <w:rsid w:val="00E75D5B"/>
    <w:rsid w:val="00E75E6A"/>
    <w:rsid w:val="00E761C1"/>
    <w:rsid w:val="00E76259"/>
    <w:rsid w:val="00E76347"/>
    <w:rsid w:val="00E76596"/>
    <w:rsid w:val="00E76712"/>
    <w:rsid w:val="00E7674D"/>
    <w:rsid w:val="00E769F6"/>
    <w:rsid w:val="00E76CA3"/>
    <w:rsid w:val="00E770A1"/>
    <w:rsid w:val="00E77557"/>
    <w:rsid w:val="00E77A9D"/>
    <w:rsid w:val="00E77CE0"/>
    <w:rsid w:val="00E77E67"/>
    <w:rsid w:val="00E77EED"/>
    <w:rsid w:val="00E80087"/>
    <w:rsid w:val="00E8012C"/>
    <w:rsid w:val="00E801F7"/>
    <w:rsid w:val="00E80206"/>
    <w:rsid w:val="00E80337"/>
    <w:rsid w:val="00E80620"/>
    <w:rsid w:val="00E80646"/>
    <w:rsid w:val="00E80814"/>
    <w:rsid w:val="00E80955"/>
    <w:rsid w:val="00E80CF7"/>
    <w:rsid w:val="00E80E2D"/>
    <w:rsid w:val="00E80E76"/>
    <w:rsid w:val="00E80E8E"/>
    <w:rsid w:val="00E80ED0"/>
    <w:rsid w:val="00E813AB"/>
    <w:rsid w:val="00E813E9"/>
    <w:rsid w:val="00E815C3"/>
    <w:rsid w:val="00E816DA"/>
    <w:rsid w:val="00E81AD4"/>
    <w:rsid w:val="00E82007"/>
    <w:rsid w:val="00E820C6"/>
    <w:rsid w:val="00E82320"/>
    <w:rsid w:val="00E827C8"/>
    <w:rsid w:val="00E82BBB"/>
    <w:rsid w:val="00E82BC5"/>
    <w:rsid w:val="00E82E6C"/>
    <w:rsid w:val="00E830B9"/>
    <w:rsid w:val="00E8310E"/>
    <w:rsid w:val="00E83236"/>
    <w:rsid w:val="00E83417"/>
    <w:rsid w:val="00E8376A"/>
    <w:rsid w:val="00E8390A"/>
    <w:rsid w:val="00E843FC"/>
    <w:rsid w:val="00E845AB"/>
    <w:rsid w:val="00E84702"/>
    <w:rsid w:val="00E847CC"/>
    <w:rsid w:val="00E847D6"/>
    <w:rsid w:val="00E84814"/>
    <w:rsid w:val="00E84988"/>
    <w:rsid w:val="00E849E0"/>
    <w:rsid w:val="00E84C78"/>
    <w:rsid w:val="00E84E66"/>
    <w:rsid w:val="00E85390"/>
    <w:rsid w:val="00E8572B"/>
    <w:rsid w:val="00E85759"/>
    <w:rsid w:val="00E857DA"/>
    <w:rsid w:val="00E85860"/>
    <w:rsid w:val="00E858DF"/>
    <w:rsid w:val="00E85B70"/>
    <w:rsid w:val="00E85E3E"/>
    <w:rsid w:val="00E85EA7"/>
    <w:rsid w:val="00E86479"/>
    <w:rsid w:val="00E864F4"/>
    <w:rsid w:val="00E8675F"/>
    <w:rsid w:val="00E86939"/>
    <w:rsid w:val="00E86AB7"/>
    <w:rsid w:val="00E86B4F"/>
    <w:rsid w:val="00E86D22"/>
    <w:rsid w:val="00E86DF4"/>
    <w:rsid w:val="00E86EDA"/>
    <w:rsid w:val="00E87333"/>
    <w:rsid w:val="00E8734A"/>
    <w:rsid w:val="00E8749E"/>
    <w:rsid w:val="00E874D3"/>
    <w:rsid w:val="00E87593"/>
    <w:rsid w:val="00E8776F"/>
    <w:rsid w:val="00E879BB"/>
    <w:rsid w:val="00E87D89"/>
    <w:rsid w:val="00E87EFE"/>
    <w:rsid w:val="00E87F8C"/>
    <w:rsid w:val="00E901D5"/>
    <w:rsid w:val="00E902F8"/>
    <w:rsid w:val="00E908E2"/>
    <w:rsid w:val="00E90937"/>
    <w:rsid w:val="00E90D14"/>
    <w:rsid w:val="00E9101B"/>
    <w:rsid w:val="00E91950"/>
    <w:rsid w:val="00E91B02"/>
    <w:rsid w:val="00E91F90"/>
    <w:rsid w:val="00E920C4"/>
    <w:rsid w:val="00E92129"/>
    <w:rsid w:val="00E9254C"/>
    <w:rsid w:val="00E92616"/>
    <w:rsid w:val="00E92C41"/>
    <w:rsid w:val="00E93132"/>
    <w:rsid w:val="00E931C0"/>
    <w:rsid w:val="00E93479"/>
    <w:rsid w:val="00E9362F"/>
    <w:rsid w:val="00E93961"/>
    <w:rsid w:val="00E93B07"/>
    <w:rsid w:val="00E93B8D"/>
    <w:rsid w:val="00E9409B"/>
    <w:rsid w:val="00E941C8"/>
    <w:rsid w:val="00E942E3"/>
    <w:rsid w:val="00E942F7"/>
    <w:rsid w:val="00E944E7"/>
    <w:rsid w:val="00E94FA2"/>
    <w:rsid w:val="00E95242"/>
    <w:rsid w:val="00E952D9"/>
    <w:rsid w:val="00E958DE"/>
    <w:rsid w:val="00E95935"/>
    <w:rsid w:val="00E95A11"/>
    <w:rsid w:val="00E9602C"/>
    <w:rsid w:val="00E96302"/>
    <w:rsid w:val="00E96ADE"/>
    <w:rsid w:val="00E96BED"/>
    <w:rsid w:val="00E96DF7"/>
    <w:rsid w:val="00E96E4D"/>
    <w:rsid w:val="00E96F15"/>
    <w:rsid w:val="00E972CC"/>
    <w:rsid w:val="00E97463"/>
    <w:rsid w:val="00E9746B"/>
    <w:rsid w:val="00E9791A"/>
    <w:rsid w:val="00E97BAA"/>
    <w:rsid w:val="00E97BB9"/>
    <w:rsid w:val="00E97F30"/>
    <w:rsid w:val="00EA0259"/>
    <w:rsid w:val="00EA0429"/>
    <w:rsid w:val="00EA050E"/>
    <w:rsid w:val="00EA0880"/>
    <w:rsid w:val="00EA0ADD"/>
    <w:rsid w:val="00EA0C5C"/>
    <w:rsid w:val="00EA0F14"/>
    <w:rsid w:val="00EA10BD"/>
    <w:rsid w:val="00EA114A"/>
    <w:rsid w:val="00EA1438"/>
    <w:rsid w:val="00EA1798"/>
    <w:rsid w:val="00EA23E7"/>
    <w:rsid w:val="00EA23F2"/>
    <w:rsid w:val="00EA2746"/>
    <w:rsid w:val="00EA29FF"/>
    <w:rsid w:val="00EA2D3A"/>
    <w:rsid w:val="00EA2E4B"/>
    <w:rsid w:val="00EA30A6"/>
    <w:rsid w:val="00EA32A7"/>
    <w:rsid w:val="00EA33BA"/>
    <w:rsid w:val="00EA3462"/>
    <w:rsid w:val="00EA3486"/>
    <w:rsid w:val="00EA35AB"/>
    <w:rsid w:val="00EA3A7F"/>
    <w:rsid w:val="00EA3AC1"/>
    <w:rsid w:val="00EA3BD0"/>
    <w:rsid w:val="00EA3E32"/>
    <w:rsid w:val="00EA4347"/>
    <w:rsid w:val="00EA4506"/>
    <w:rsid w:val="00EA455D"/>
    <w:rsid w:val="00EA48AA"/>
    <w:rsid w:val="00EA49F8"/>
    <w:rsid w:val="00EA4DB6"/>
    <w:rsid w:val="00EA4E58"/>
    <w:rsid w:val="00EA4F9F"/>
    <w:rsid w:val="00EA5006"/>
    <w:rsid w:val="00EA501D"/>
    <w:rsid w:val="00EA51CB"/>
    <w:rsid w:val="00EA5480"/>
    <w:rsid w:val="00EA59F7"/>
    <w:rsid w:val="00EA5C4E"/>
    <w:rsid w:val="00EA5F70"/>
    <w:rsid w:val="00EA6017"/>
    <w:rsid w:val="00EA652F"/>
    <w:rsid w:val="00EA6714"/>
    <w:rsid w:val="00EA686E"/>
    <w:rsid w:val="00EA7159"/>
    <w:rsid w:val="00EA7263"/>
    <w:rsid w:val="00EA7570"/>
    <w:rsid w:val="00EA775A"/>
    <w:rsid w:val="00EA79F5"/>
    <w:rsid w:val="00EA7AFB"/>
    <w:rsid w:val="00EA7F96"/>
    <w:rsid w:val="00EB02BB"/>
    <w:rsid w:val="00EB0508"/>
    <w:rsid w:val="00EB0633"/>
    <w:rsid w:val="00EB06CF"/>
    <w:rsid w:val="00EB09BB"/>
    <w:rsid w:val="00EB0B4E"/>
    <w:rsid w:val="00EB0C4A"/>
    <w:rsid w:val="00EB0FBF"/>
    <w:rsid w:val="00EB10BF"/>
    <w:rsid w:val="00EB129E"/>
    <w:rsid w:val="00EB139C"/>
    <w:rsid w:val="00EB16FF"/>
    <w:rsid w:val="00EB178E"/>
    <w:rsid w:val="00EB1CBF"/>
    <w:rsid w:val="00EB1EB9"/>
    <w:rsid w:val="00EB23FC"/>
    <w:rsid w:val="00EB2407"/>
    <w:rsid w:val="00EB2457"/>
    <w:rsid w:val="00EB250F"/>
    <w:rsid w:val="00EB2588"/>
    <w:rsid w:val="00EB271A"/>
    <w:rsid w:val="00EB29BB"/>
    <w:rsid w:val="00EB2C58"/>
    <w:rsid w:val="00EB2C7E"/>
    <w:rsid w:val="00EB3203"/>
    <w:rsid w:val="00EB365F"/>
    <w:rsid w:val="00EB3687"/>
    <w:rsid w:val="00EB36B6"/>
    <w:rsid w:val="00EB3A8D"/>
    <w:rsid w:val="00EB3CA3"/>
    <w:rsid w:val="00EB3DE5"/>
    <w:rsid w:val="00EB3E88"/>
    <w:rsid w:val="00EB413D"/>
    <w:rsid w:val="00EB446F"/>
    <w:rsid w:val="00EB4549"/>
    <w:rsid w:val="00EB4AD5"/>
    <w:rsid w:val="00EB4CEB"/>
    <w:rsid w:val="00EB4DD1"/>
    <w:rsid w:val="00EB5235"/>
    <w:rsid w:val="00EB5260"/>
    <w:rsid w:val="00EB54F3"/>
    <w:rsid w:val="00EB5ACB"/>
    <w:rsid w:val="00EB5E4F"/>
    <w:rsid w:val="00EB60BC"/>
    <w:rsid w:val="00EB68D1"/>
    <w:rsid w:val="00EB69E2"/>
    <w:rsid w:val="00EB6B3D"/>
    <w:rsid w:val="00EB6D79"/>
    <w:rsid w:val="00EB6DD1"/>
    <w:rsid w:val="00EB6EF7"/>
    <w:rsid w:val="00EB6FEA"/>
    <w:rsid w:val="00EB7257"/>
    <w:rsid w:val="00EB7466"/>
    <w:rsid w:val="00EB755A"/>
    <w:rsid w:val="00EB79CE"/>
    <w:rsid w:val="00EB7D72"/>
    <w:rsid w:val="00EB7F0A"/>
    <w:rsid w:val="00EB7F64"/>
    <w:rsid w:val="00EC062B"/>
    <w:rsid w:val="00EC079F"/>
    <w:rsid w:val="00EC09ED"/>
    <w:rsid w:val="00EC0E80"/>
    <w:rsid w:val="00EC1059"/>
    <w:rsid w:val="00EC131D"/>
    <w:rsid w:val="00EC1655"/>
    <w:rsid w:val="00EC19FE"/>
    <w:rsid w:val="00EC1C65"/>
    <w:rsid w:val="00EC1CE0"/>
    <w:rsid w:val="00EC1D22"/>
    <w:rsid w:val="00EC1E0A"/>
    <w:rsid w:val="00EC1F88"/>
    <w:rsid w:val="00EC23EE"/>
    <w:rsid w:val="00EC260D"/>
    <w:rsid w:val="00EC27D9"/>
    <w:rsid w:val="00EC27EE"/>
    <w:rsid w:val="00EC2A9C"/>
    <w:rsid w:val="00EC2F93"/>
    <w:rsid w:val="00EC3108"/>
    <w:rsid w:val="00EC3130"/>
    <w:rsid w:val="00EC32CB"/>
    <w:rsid w:val="00EC3338"/>
    <w:rsid w:val="00EC33D3"/>
    <w:rsid w:val="00EC3544"/>
    <w:rsid w:val="00EC3597"/>
    <w:rsid w:val="00EC36DF"/>
    <w:rsid w:val="00EC3AD0"/>
    <w:rsid w:val="00EC3B6B"/>
    <w:rsid w:val="00EC3C53"/>
    <w:rsid w:val="00EC3C5B"/>
    <w:rsid w:val="00EC3D5A"/>
    <w:rsid w:val="00EC3FCD"/>
    <w:rsid w:val="00EC42E3"/>
    <w:rsid w:val="00EC43F7"/>
    <w:rsid w:val="00EC45EA"/>
    <w:rsid w:val="00EC4738"/>
    <w:rsid w:val="00EC48D3"/>
    <w:rsid w:val="00EC48EA"/>
    <w:rsid w:val="00EC49FB"/>
    <w:rsid w:val="00EC4A07"/>
    <w:rsid w:val="00EC4AC5"/>
    <w:rsid w:val="00EC50B3"/>
    <w:rsid w:val="00EC50CF"/>
    <w:rsid w:val="00EC512F"/>
    <w:rsid w:val="00EC5192"/>
    <w:rsid w:val="00EC51EE"/>
    <w:rsid w:val="00EC55BE"/>
    <w:rsid w:val="00EC55C7"/>
    <w:rsid w:val="00EC5851"/>
    <w:rsid w:val="00EC5A68"/>
    <w:rsid w:val="00EC5AAA"/>
    <w:rsid w:val="00EC5B0F"/>
    <w:rsid w:val="00EC5C18"/>
    <w:rsid w:val="00EC5DF9"/>
    <w:rsid w:val="00EC5EF6"/>
    <w:rsid w:val="00EC6231"/>
    <w:rsid w:val="00EC6243"/>
    <w:rsid w:val="00EC6418"/>
    <w:rsid w:val="00EC64B6"/>
    <w:rsid w:val="00EC6835"/>
    <w:rsid w:val="00EC6B33"/>
    <w:rsid w:val="00EC6FC5"/>
    <w:rsid w:val="00EC7186"/>
    <w:rsid w:val="00EC7241"/>
    <w:rsid w:val="00EC72AA"/>
    <w:rsid w:val="00EC7571"/>
    <w:rsid w:val="00EC75DA"/>
    <w:rsid w:val="00EC75E1"/>
    <w:rsid w:val="00EC77CE"/>
    <w:rsid w:val="00EC78DF"/>
    <w:rsid w:val="00EC797B"/>
    <w:rsid w:val="00EC79F8"/>
    <w:rsid w:val="00EC7A49"/>
    <w:rsid w:val="00EC7CF0"/>
    <w:rsid w:val="00EC7F37"/>
    <w:rsid w:val="00EC7FAA"/>
    <w:rsid w:val="00EC7FF9"/>
    <w:rsid w:val="00ED0346"/>
    <w:rsid w:val="00ED07DD"/>
    <w:rsid w:val="00ED082F"/>
    <w:rsid w:val="00ED0ACF"/>
    <w:rsid w:val="00ED0B14"/>
    <w:rsid w:val="00ED0D29"/>
    <w:rsid w:val="00ED0E15"/>
    <w:rsid w:val="00ED0F6B"/>
    <w:rsid w:val="00ED0FF5"/>
    <w:rsid w:val="00ED10C6"/>
    <w:rsid w:val="00ED1183"/>
    <w:rsid w:val="00ED144C"/>
    <w:rsid w:val="00ED148D"/>
    <w:rsid w:val="00ED1663"/>
    <w:rsid w:val="00ED1AA3"/>
    <w:rsid w:val="00ED1B23"/>
    <w:rsid w:val="00ED212D"/>
    <w:rsid w:val="00ED22E7"/>
    <w:rsid w:val="00ED2303"/>
    <w:rsid w:val="00ED25D2"/>
    <w:rsid w:val="00ED269A"/>
    <w:rsid w:val="00ED2705"/>
    <w:rsid w:val="00ED2853"/>
    <w:rsid w:val="00ED2A17"/>
    <w:rsid w:val="00ED2ABF"/>
    <w:rsid w:val="00ED2B82"/>
    <w:rsid w:val="00ED2F3D"/>
    <w:rsid w:val="00ED3041"/>
    <w:rsid w:val="00ED30E6"/>
    <w:rsid w:val="00ED311F"/>
    <w:rsid w:val="00ED31A9"/>
    <w:rsid w:val="00ED33FE"/>
    <w:rsid w:val="00ED34AF"/>
    <w:rsid w:val="00ED38C5"/>
    <w:rsid w:val="00ED38FE"/>
    <w:rsid w:val="00ED39D0"/>
    <w:rsid w:val="00ED3A40"/>
    <w:rsid w:val="00ED3B60"/>
    <w:rsid w:val="00ED3CCD"/>
    <w:rsid w:val="00ED3F10"/>
    <w:rsid w:val="00ED3F7F"/>
    <w:rsid w:val="00ED3FF4"/>
    <w:rsid w:val="00ED40B2"/>
    <w:rsid w:val="00ED41D8"/>
    <w:rsid w:val="00ED432D"/>
    <w:rsid w:val="00ED44B0"/>
    <w:rsid w:val="00ED44CD"/>
    <w:rsid w:val="00ED4B3F"/>
    <w:rsid w:val="00ED4BE9"/>
    <w:rsid w:val="00ED4C3C"/>
    <w:rsid w:val="00ED4E3D"/>
    <w:rsid w:val="00ED4FA1"/>
    <w:rsid w:val="00ED4FAC"/>
    <w:rsid w:val="00ED544A"/>
    <w:rsid w:val="00ED552E"/>
    <w:rsid w:val="00ED5B6C"/>
    <w:rsid w:val="00ED5BA8"/>
    <w:rsid w:val="00ED5C74"/>
    <w:rsid w:val="00ED5D90"/>
    <w:rsid w:val="00ED5EF4"/>
    <w:rsid w:val="00ED5FF5"/>
    <w:rsid w:val="00ED6803"/>
    <w:rsid w:val="00ED68B2"/>
    <w:rsid w:val="00ED6920"/>
    <w:rsid w:val="00ED7095"/>
    <w:rsid w:val="00ED7388"/>
    <w:rsid w:val="00ED757A"/>
    <w:rsid w:val="00ED7AE7"/>
    <w:rsid w:val="00ED7B13"/>
    <w:rsid w:val="00ED7BC2"/>
    <w:rsid w:val="00EE0029"/>
    <w:rsid w:val="00EE01C1"/>
    <w:rsid w:val="00EE038F"/>
    <w:rsid w:val="00EE0688"/>
    <w:rsid w:val="00EE0C21"/>
    <w:rsid w:val="00EE0DEF"/>
    <w:rsid w:val="00EE0EFC"/>
    <w:rsid w:val="00EE0F04"/>
    <w:rsid w:val="00EE13D1"/>
    <w:rsid w:val="00EE1475"/>
    <w:rsid w:val="00EE1584"/>
    <w:rsid w:val="00EE18CD"/>
    <w:rsid w:val="00EE1A98"/>
    <w:rsid w:val="00EE1E92"/>
    <w:rsid w:val="00EE203A"/>
    <w:rsid w:val="00EE21A6"/>
    <w:rsid w:val="00EE2224"/>
    <w:rsid w:val="00EE2BCE"/>
    <w:rsid w:val="00EE2F80"/>
    <w:rsid w:val="00EE2FC8"/>
    <w:rsid w:val="00EE3122"/>
    <w:rsid w:val="00EE3339"/>
    <w:rsid w:val="00EE3379"/>
    <w:rsid w:val="00EE36AD"/>
    <w:rsid w:val="00EE3788"/>
    <w:rsid w:val="00EE3825"/>
    <w:rsid w:val="00EE39D2"/>
    <w:rsid w:val="00EE3A93"/>
    <w:rsid w:val="00EE3B6F"/>
    <w:rsid w:val="00EE3BF3"/>
    <w:rsid w:val="00EE3FF5"/>
    <w:rsid w:val="00EE41F9"/>
    <w:rsid w:val="00EE433D"/>
    <w:rsid w:val="00EE4635"/>
    <w:rsid w:val="00EE4705"/>
    <w:rsid w:val="00EE4E3A"/>
    <w:rsid w:val="00EE5252"/>
    <w:rsid w:val="00EE54C7"/>
    <w:rsid w:val="00EE5BA5"/>
    <w:rsid w:val="00EE5BE7"/>
    <w:rsid w:val="00EE6026"/>
    <w:rsid w:val="00EE6115"/>
    <w:rsid w:val="00EE6133"/>
    <w:rsid w:val="00EE61A6"/>
    <w:rsid w:val="00EE61AF"/>
    <w:rsid w:val="00EE61D5"/>
    <w:rsid w:val="00EE6299"/>
    <w:rsid w:val="00EE6310"/>
    <w:rsid w:val="00EE6894"/>
    <w:rsid w:val="00EE68C4"/>
    <w:rsid w:val="00EE6D81"/>
    <w:rsid w:val="00EE6ED1"/>
    <w:rsid w:val="00EE7630"/>
    <w:rsid w:val="00EE76A2"/>
    <w:rsid w:val="00EE7DDA"/>
    <w:rsid w:val="00EE7FE3"/>
    <w:rsid w:val="00EF04FD"/>
    <w:rsid w:val="00EF0A6C"/>
    <w:rsid w:val="00EF0E1E"/>
    <w:rsid w:val="00EF13F1"/>
    <w:rsid w:val="00EF13F9"/>
    <w:rsid w:val="00EF15EB"/>
    <w:rsid w:val="00EF184E"/>
    <w:rsid w:val="00EF190D"/>
    <w:rsid w:val="00EF1953"/>
    <w:rsid w:val="00EF1CAE"/>
    <w:rsid w:val="00EF1EF0"/>
    <w:rsid w:val="00EF1F63"/>
    <w:rsid w:val="00EF1FD3"/>
    <w:rsid w:val="00EF2182"/>
    <w:rsid w:val="00EF2189"/>
    <w:rsid w:val="00EF239B"/>
    <w:rsid w:val="00EF28BF"/>
    <w:rsid w:val="00EF2963"/>
    <w:rsid w:val="00EF2A8A"/>
    <w:rsid w:val="00EF2A94"/>
    <w:rsid w:val="00EF2F9C"/>
    <w:rsid w:val="00EF3471"/>
    <w:rsid w:val="00EF348C"/>
    <w:rsid w:val="00EF34BB"/>
    <w:rsid w:val="00EF36FF"/>
    <w:rsid w:val="00EF3869"/>
    <w:rsid w:val="00EF3A7E"/>
    <w:rsid w:val="00EF3BF1"/>
    <w:rsid w:val="00EF3CD0"/>
    <w:rsid w:val="00EF3CD5"/>
    <w:rsid w:val="00EF3D81"/>
    <w:rsid w:val="00EF3DA0"/>
    <w:rsid w:val="00EF3E07"/>
    <w:rsid w:val="00EF3FA5"/>
    <w:rsid w:val="00EF4093"/>
    <w:rsid w:val="00EF415C"/>
    <w:rsid w:val="00EF41AC"/>
    <w:rsid w:val="00EF4240"/>
    <w:rsid w:val="00EF4528"/>
    <w:rsid w:val="00EF4620"/>
    <w:rsid w:val="00EF46C8"/>
    <w:rsid w:val="00EF4AAA"/>
    <w:rsid w:val="00EF4F14"/>
    <w:rsid w:val="00EF53C8"/>
    <w:rsid w:val="00EF5754"/>
    <w:rsid w:val="00EF57BE"/>
    <w:rsid w:val="00EF58F7"/>
    <w:rsid w:val="00EF5986"/>
    <w:rsid w:val="00EF5993"/>
    <w:rsid w:val="00EF5DA5"/>
    <w:rsid w:val="00EF5DF6"/>
    <w:rsid w:val="00EF60F9"/>
    <w:rsid w:val="00EF6330"/>
    <w:rsid w:val="00EF665F"/>
    <w:rsid w:val="00EF6674"/>
    <w:rsid w:val="00EF66A1"/>
    <w:rsid w:val="00EF6749"/>
    <w:rsid w:val="00EF6851"/>
    <w:rsid w:val="00EF6A19"/>
    <w:rsid w:val="00EF6D39"/>
    <w:rsid w:val="00EF6D4B"/>
    <w:rsid w:val="00EF6E91"/>
    <w:rsid w:val="00EF6EF7"/>
    <w:rsid w:val="00EF73C4"/>
    <w:rsid w:val="00EF757A"/>
    <w:rsid w:val="00EF7748"/>
    <w:rsid w:val="00EF7830"/>
    <w:rsid w:val="00EF7848"/>
    <w:rsid w:val="00EF7B35"/>
    <w:rsid w:val="00EF7B67"/>
    <w:rsid w:val="00EF7CAC"/>
    <w:rsid w:val="00EF7D27"/>
    <w:rsid w:val="00F00730"/>
    <w:rsid w:val="00F009CD"/>
    <w:rsid w:val="00F00D6F"/>
    <w:rsid w:val="00F018A6"/>
    <w:rsid w:val="00F01E11"/>
    <w:rsid w:val="00F0209C"/>
    <w:rsid w:val="00F020CA"/>
    <w:rsid w:val="00F02463"/>
    <w:rsid w:val="00F02469"/>
    <w:rsid w:val="00F02512"/>
    <w:rsid w:val="00F02530"/>
    <w:rsid w:val="00F0256F"/>
    <w:rsid w:val="00F02841"/>
    <w:rsid w:val="00F02877"/>
    <w:rsid w:val="00F02A4C"/>
    <w:rsid w:val="00F02BBA"/>
    <w:rsid w:val="00F02D20"/>
    <w:rsid w:val="00F03431"/>
    <w:rsid w:val="00F034F2"/>
    <w:rsid w:val="00F03BA1"/>
    <w:rsid w:val="00F03D10"/>
    <w:rsid w:val="00F03D2F"/>
    <w:rsid w:val="00F03FCA"/>
    <w:rsid w:val="00F040F1"/>
    <w:rsid w:val="00F042B8"/>
    <w:rsid w:val="00F045E2"/>
    <w:rsid w:val="00F0461F"/>
    <w:rsid w:val="00F04B43"/>
    <w:rsid w:val="00F04CEE"/>
    <w:rsid w:val="00F04DD6"/>
    <w:rsid w:val="00F04F06"/>
    <w:rsid w:val="00F05654"/>
    <w:rsid w:val="00F05716"/>
    <w:rsid w:val="00F058C0"/>
    <w:rsid w:val="00F05BF3"/>
    <w:rsid w:val="00F05EFF"/>
    <w:rsid w:val="00F0613B"/>
    <w:rsid w:val="00F061A0"/>
    <w:rsid w:val="00F06200"/>
    <w:rsid w:val="00F063E9"/>
    <w:rsid w:val="00F064B9"/>
    <w:rsid w:val="00F0669A"/>
    <w:rsid w:val="00F0669D"/>
    <w:rsid w:val="00F06B8F"/>
    <w:rsid w:val="00F06C70"/>
    <w:rsid w:val="00F06FB7"/>
    <w:rsid w:val="00F074BB"/>
    <w:rsid w:val="00F07566"/>
    <w:rsid w:val="00F07A21"/>
    <w:rsid w:val="00F07D35"/>
    <w:rsid w:val="00F07DBF"/>
    <w:rsid w:val="00F07E67"/>
    <w:rsid w:val="00F101F1"/>
    <w:rsid w:val="00F107FA"/>
    <w:rsid w:val="00F109BB"/>
    <w:rsid w:val="00F10CA5"/>
    <w:rsid w:val="00F10CAB"/>
    <w:rsid w:val="00F10E43"/>
    <w:rsid w:val="00F1131F"/>
    <w:rsid w:val="00F117AD"/>
    <w:rsid w:val="00F11943"/>
    <w:rsid w:val="00F11B11"/>
    <w:rsid w:val="00F11DD4"/>
    <w:rsid w:val="00F11EE6"/>
    <w:rsid w:val="00F11FAD"/>
    <w:rsid w:val="00F120AA"/>
    <w:rsid w:val="00F125B0"/>
    <w:rsid w:val="00F12714"/>
    <w:rsid w:val="00F12757"/>
    <w:rsid w:val="00F1280D"/>
    <w:rsid w:val="00F12A99"/>
    <w:rsid w:val="00F12DA9"/>
    <w:rsid w:val="00F12EC4"/>
    <w:rsid w:val="00F130F1"/>
    <w:rsid w:val="00F13106"/>
    <w:rsid w:val="00F13AAC"/>
    <w:rsid w:val="00F1409C"/>
    <w:rsid w:val="00F14109"/>
    <w:rsid w:val="00F142EF"/>
    <w:rsid w:val="00F14547"/>
    <w:rsid w:val="00F1454A"/>
    <w:rsid w:val="00F14677"/>
    <w:rsid w:val="00F14925"/>
    <w:rsid w:val="00F149F9"/>
    <w:rsid w:val="00F14D2A"/>
    <w:rsid w:val="00F15119"/>
    <w:rsid w:val="00F1531F"/>
    <w:rsid w:val="00F15343"/>
    <w:rsid w:val="00F1545A"/>
    <w:rsid w:val="00F154C5"/>
    <w:rsid w:val="00F157E6"/>
    <w:rsid w:val="00F15A25"/>
    <w:rsid w:val="00F15AC9"/>
    <w:rsid w:val="00F15B8E"/>
    <w:rsid w:val="00F15D49"/>
    <w:rsid w:val="00F15D88"/>
    <w:rsid w:val="00F15F33"/>
    <w:rsid w:val="00F16175"/>
    <w:rsid w:val="00F1621E"/>
    <w:rsid w:val="00F1637B"/>
    <w:rsid w:val="00F164E8"/>
    <w:rsid w:val="00F16526"/>
    <w:rsid w:val="00F16B38"/>
    <w:rsid w:val="00F16BBB"/>
    <w:rsid w:val="00F172E0"/>
    <w:rsid w:val="00F174BC"/>
    <w:rsid w:val="00F1760F"/>
    <w:rsid w:val="00F17717"/>
    <w:rsid w:val="00F17915"/>
    <w:rsid w:val="00F179F8"/>
    <w:rsid w:val="00F17A66"/>
    <w:rsid w:val="00F17C6E"/>
    <w:rsid w:val="00F17EB0"/>
    <w:rsid w:val="00F20039"/>
    <w:rsid w:val="00F20095"/>
    <w:rsid w:val="00F200B8"/>
    <w:rsid w:val="00F20225"/>
    <w:rsid w:val="00F20659"/>
    <w:rsid w:val="00F20678"/>
    <w:rsid w:val="00F20ABD"/>
    <w:rsid w:val="00F20C38"/>
    <w:rsid w:val="00F20C6C"/>
    <w:rsid w:val="00F20F98"/>
    <w:rsid w:val="00F2114D"/>
    <w:rsid w:val="00F21205"/>
    <w:rsid w:val="00F21688"/>
    <w:rsid w:val="00F21702"/>
    <w:rsid w:val="00F21A6C"/>
    <w:rsid w:val="00F21A9B"/>
    <w:rsid w:val="00F21AAB"/>
    <w:rsid w:val="00F21BE7"/>
    <w:rsid w:val="00F21EAF"/>
    <w:rsid w:val="00F22753"/>
    <w:rsid w:val="00F22A7C"/>
    <w:rsid w:val="00F22B27"/>
    <w:rsid w:val="00F22C64"/>
    <w:rsid w:val="00F22C71"/>
    <w:rsid w:val="00F22F48"/>
    <w:rsid w:val="00F23021"/>
    <w:rsid w:val="00F232BE"/>
    <w:rsid w:val="00F23393"/>
    <w:rsid w:val="00F23423"/>
    <w:rsid w:val="00F23705"/>
    <w:rsid w:val="00F23873"/>
    <w:rsid w:val="00F2428D"/>
    <w:rsid w:val="00F2429F"/>
    <w:rsid w:val="00F2437F"/>
    <w:rsid w:val="00F245F0"/>
    <w:rsid w:val="00F2474C"/>
    <w:rsid w:val="00F25046"/>
    <w:rsid w:val="00F2510D"/>
    <w:rsid w:val="00F255C2"/>
    <w:rsid w:val="00F25E75"/>
    <w:rsid w:val="00F25F2E"/>
    <w:rsid w:val="00F25F3A"/>
    <w:rsid w:val="00F260FC"/>
    <w:rsid w:val="00F26358"/>
    <w:rsid w:val="00F26953"/>
    <w:rsid w:val="00F26992"/>
    <w:rsid w:val="00F26D41"/>
    <w:rsid w:val="00F27070"/>
    <w:rsid w:val="00F277ED"/>
    <w:rsid w:val="00F27849"/>
    <w:rsid w:val="00F27ACD"/>
    <w:rsid w:val="00F27B60"/>
    <w:rsid w:val="00F27B70"/>
    <w:rsid w:val="00F27D5C"/>
    <w:rsid w:val="00F27D95"/>
    <w:rsid w:val="00F27E77"/>
    <w:rsid w:val="00F30141"/>
    <w:rsid w:val="00F30230"/>
    <w:rsid w:val="00F30259"/>
    <w:rsid w:val="00F302B7"/>
    <w:rsid w:val="00F3036C"/>
    <w:rsid w:val="00F307E0"/>
    <w:rsid w:val="00F30F25"/>
    <w:rsid w:val="00F30F90"/>
    <w:rsid w:val="00F311AD"/>
    <w:rsid w:val="00F31292"/>
    <w:rsid w:val="00F31A1D"/>
    <w:rsid w:val="00F321BE"/>
    <w:rsid w:val="00F32285"/>
    <w:rsid w:val="00F3275A"/>
    <w:rsid w:val="00F328E1"/>
    <w:rsid w:val="00F329A0"/>
    <w:rsid w:val="00F3301F"/>
    <w:rsid w:val="00F33030"/>
    <w:rsid w:val="00F33577"/>
    <w:rsid w:val="00F33CB2"/>
    <w:rsid w:val="00F33D86"/>
    <w:rsid w:val="00F33E88"/>
    <w:rsid w:val="00F33EE3"/>
    <w:rsid w:val="00F33EFF"/>
    <w:rsid w:val="00F3407E"/>
    <w:rsid w:val="00F34228"/>
    <w:rsid w:val="00F342FE"/>
    <w:rsid w:val="00F344D8"/>
    <w:rsid w:val="00F344E3"/>
    <w:rsid w:val="00F34510"/>
    <w:rsid w:val="00F34740"/>
    <w:rsid w:val="00F3486B"/>
    <w:rsid w:val="00F34AAC"/>
    <w:rsid w:val="00F34BA5"/>
    <w:rsid w:val="00F35183"/>
    <w:rsid w:val="00F35215"/>
    <w:rsid w:val="00F3533C"/>
    <w:rsid w:val="00F35469"/>
    <w:rsid w:val="00F355E0"/>
    <w:rsid w:val="00F3566B"/>
    <w:rsid w:val="00F359ED"/>
    <w:rsid w:val="00F35B87"/>
    <w:rsid w:val="00F35D9D"/>
    <w:rsid w:val="00F360FF"/>
    <w:rsid w:val="00F36462"/>
    <w:rsid w:val="00F36764"/>
    <w:rsid w:val="00F36919"/>
    <w:rsid w:val="00F36920"/>
    <w:rsid w:val="00F369AB"/>
    <w:rsid w:val="00F36CD5"/>
    <w:rsid w:val="00F3716B"/>
    <w:rsid w:val="00F37564"/>
    <w:rsid w:val="00F37ABA"/>
    <w:rsid w:val="00F37C4B"/>
    <w:rsid w:val="00F37E05"/>
    <w:rsid w:val="00F402CC"/>
    <w:rsid w:val="00F40389"/>
    <w:rsid w:val="00F40409"/>
    <w:rsid w:val="00F40726"/>
    <w:rsid w:val="00F40A25"/>
    <w:rsid w:val="00F40C00"/>
    <w:rsid w:val="00F40DD8"/>
    <w:rsid w:val="00F40E1F"/>
    <w:rsid w:val="00F40F86"/>
    <w:rsid w:val="00F41272"/>
    <w:rsid w:val="00F413C0"/>
    <w:rsid w:val="00F414F4"/>
    <w:rsid w:val="00F41600"/>
    <w:rsid w:val="00F41E0F"/>
    <w:rsid w:val="00F41E63"/>
    <w:rsid w:val="00F424CA"/>
    <w:rsid w:val="00F42842"/>
    <w:rsid w:val="00F42BC2"/>
    <w:rsid w:val="00F42C8F"/>
    <w:rsid w:val="00F42D88"/>
    <w:rsid w:val="00F43173"/>
    <w:rsid w:val="00F431E2"/>
    <w:rsid w:val="00F43215"/>
    <w:rsid w:val="00F43289"/>
    <w:rsid w:val="00F4362A"/>
    <w:rsid w:val="00F43701"/>
    <w:rsid w:val="00F43BB7"/>
    <w:rsid w:val="00F43BD5"/>
    <w:rsid w:val="00F43CD7"/>
    <w:rsid w:val="00F43E48"/>
    <w:rsid w:val="00F43ED2"/>
    <w:rsid w:val="00F43FBA"/>
    <w:rsid w:val="00F44375"/>
    <w:rsid w:val="00F44420"/>
    <w:rsid w:val="00F444AD"/>
    <w:rsid w:val="00F44988"/>
    <w:rsid w:val="00F44B0D"/>
    <w:rsid w:val="00F44B4E"/>
    <w:rsid w:val="00F44BDE"/>
    <w:rsid w:val="00F44C3A"/>
    <w:rsid w:val="00F44CBA"/>
    <w:rsid w:val="00F44CE0"/>
    <w:rsid w:val="00F44F0E"/>
    <w:rsid w:val="00F44F54"/>
    <w:rsid w:val="00F4511E"/>
    <w:rsid w:val="00F4520C"/>
    <w:rsid w:val="00F45232"/>
    <w:rsid w:val="00F457CD"/>
    <w:rsid w:val="00F45F70"/>
    <w:rsid w:val="00F463BA"/>
    <w:rsid w:val="00F46626"/>
    <w:rsid w:val="00F46732"/>
    <w:rsid w:val="00F4678A"/>
    <w:rsid w:val="00F4698B"/>
    <w:rsid w:val="00F46AC6"/>
    <w:rsid w:val="00F46B39"/>
    <w:rsid w:val="00F46BBD"/>
    <w:rsid w:val="00F46CD2"/>
    <w:rsid w:val="00F47504"/>
    <w:rsid w:val="00F47545"/>
    <w:rsid w:val="00F4769C"/>
    <w:rsid w:val="00F47DE6"/>
    <w:rsid w:val="00F47F73"/>
    <w:rsid w:val="00F47F87"/>
    <w:rsid w:val="00F50508"/>
    <w:rsid w:val="00F50758"/>
    <w:rsid w:val="00F50926"/>
    <w:rsid w:val="00F50B77"/>
    <w:rsid w:val="00F50C94"/>
    <w:rsid w:val="00F50F32"/>
    <w:rsid w:val="00F51056"/>
    <w:rsid w:val="00F513EB"/>
    <w:rsid w:val="00F5146D"/>
    <w:rsid w:val="00F5165D"/>
    <w:rsid w:val="00F519A5"/>
    <w:rsid w:val="00F51BCD"/>
    <w:rsid w:val="00F51D72"/>
    <w:rsid w:val="00F51ECC"/>
    <w:rsid w:val="00F520F6"/>
    <w:rsid w:val="00F522E1"/>
    <w:rsid w:val="00F5278B"/>
    <w:rsid w:val="00F52947"/>
    <w:rsid w:val="00F52AF6"/>
    <w:rsid w:val="00F52BBE"/>
    <w:rsid w:val="00F52BEA"/>
    <w:rsid w:val="00F52C94"/>
    <w:rsid w:val="00F52CEA"/>
    <w:rsid w:val="00F530F3"/>
    <w:rsid w:val="00F5315A"/>
    <w:rsid w:val="00F53327"/>
    <w:rsid w:val="00F53B27"/>
    <w:rsid w:val="00F53B54"/>
    <w:rsid w:val="00F54086"/>
    <w:rsid w:val="00F54444"/>
    <w:rsid w:val="00F54A3D"/>
    <w:rsid w:val="00F550C3"/>
    <w:rsid w:val="00F5517B"/>
    <w:rsid w:val="00F5532A"/>
    <w:rsid w:val="00F5544B"/>
    <w:rsid w:val="00F5566B"/>
    <w:rsid w:val="00F558F9"/>
    <w:rsid w:val="00F55E7D"/>
    <w:rsid w:val="00F56006"/>
    <w:rsid w:val="00F5619A"/>
    <w:rsid w:val="00F5640D"/>
    <w:rsid w:val="00F56AB4"/>
    <w:rsid w:val="00F56BF0"/>
    <w:rsid w:val="00F570A0"/>
    <w:rsid w:val="00F571FE"/>
    <w:rsid w:val="00F5725C"/>
    <w:rsid w:val="00F57671"/>
    <w:rsid w:val="00F57947"/>
    <w:rsid w:val="00F57A39"/>
    <w:rsid w:val="00F57B73"/>
    <w:rsid w:val="00F57C10"/>
    <w:rsid w:val="00F57E51"/>
    <w:rsid w:val="00F57E82"/>
    <w:rsid w:val="00F57F0F"/>
    <w:rsid w:val="00F60066"/>
    <w:rsid w:val="00F6006F"/>
    <w:rsid w:val="00F60145"/>
    <w:rsid w:val="00F6056C"/>
    <w:rsid w:val="00F605A7"/>
    <w:rsid w:val="00F609FE"/>
    <w:rsid w:val="00F60A32"/>
    <w:rsid w:val="00F60DDD"/>
    <w:rsid w:val="00F60FF7"/>
    <w:rsid w:val="00F612B5"/>
    <w:rsid w:val="00F61596"/>
    <w:rsid w:val="00F61D02"/>
    <w:rsid w:val="00F620CA"/>
    <w:rsid w:val="00F6224D"/>
    <w:rsid w:val="00F623E6"/>
    <w:rsid w:val="00F62873"/>
    <w:rsid w:val="00F628E9"/>
    <w:rsid w:val="00F62A60"/>
    <w:rsid w:val="00F62B75"/>
    <w:rsid w:val="00F62E83"/>
    <w:rsid w:val="00F63076"/>
    <w:rsid w:val="00F6311C"/>
    <w:rsid w:val="00F63473"/>
    <w:rsid w:val="00F63657"/>
    <w:rsid w:val="00F63A3C"/>
    <w:rsid w:val="00F63B43"/>
    <w:rsid w:val="00F63EC9"/>
    <w:rsid w:val="00F64491"/>
    <w:rsid w:val="00F6453B"/>
    <w:rsid w:val="00F64C22"/>
    <w:rsid w:val="00F64EBB"/>
    <w:rsid w:val="00F65132"/>
    <w:rsid w:val="00F65183"/>
    <w:rsid w:val="00F65249"/>
    <w:rsid w:val="00F652D6"/>
    <w:rsid w:val="00F65498"/>
    <w:rsid w:val="00F65972"/>
    <w:rsid w:val="00F65C0F"/>
    <w:rsid w:val="00F65E03"/>
    <w:rsid w:val="00F6625C"/>
    <w:rsid w:val="00F662F9"/>
    <w:rsid w:val="00F6651F"/>
    <w:rsid w:val="00F666B3"/>
    <w:rsid w:val="00F66A0C"/>
    <w:rsid w:val="00F66A98"/>
    <w:rsid w:val="00F66AB5"/>
    <w:rsid w:val="00F66B51"/>
    <w:rsid w:val="00F66DB7"/>
    <w:rsid w:val="00F66FB5"/>
    <w:rsid w:val="00F67532"/>
    <w:rsid w:val="00F677C4"/>
    <w:rsid w:val="00F67872"/>
    <w:rsid w:val="00F67A42"/>
    <w:rsid w:val="00F67A60"/>
    <w:rsid w:val="00F67A89"/>
    <w:rsid w:val="00F70308"/>
    <w:rsid w:val="00F703AA"/>
    <w:rsid w:val="00F704BC"/>
    <w:rsid w:val="00F70565"/>
    <w:rsid w:val="00F7072A"/>
    <w:rsid w:val="00F7074C"/>
    <w:rsid w:val="00F70806"/>
    <w:rsid w:val="00F708D6"/>
    <w:rsid w:val="00F70C6D"/>
    <w:rsid w:val="00F70D19"/>
    <w:rsid w:val="00F70F16"/>
    <w:rsid w:val="00F70F55"/>
    <w:rsid w:val="00F71012"/>
    <w:rsid w:val="00F7103A"/>
    <w:rsid w:val="00F712B6"/>
    <w:rsid w:val="00F71470"/>
    <w:rsid w:val="00F714C4"/>
    <w:rsid w:val="00F71868"/>
    <w:rsid w:val="00F7189E"/>
    <w:rsid w:val="00F719D5"/>
    <w:rsid w:val="00F71C26"/>
    <w:rsid w:val="00F71EAA"/>
    <w:rsid w:val="00F72139"/>
    <w:rsid w:val="00F72168"/>
    <w:rsid w:val="00F725A8"/>
    <w:rsid w:val="00F7270F"/>
    <w:rsid w:val="00F727BB"/>
    <w:rsid w:val="00F728C6"/>
    <w:rsid w:val="00F7298F"/>
    <w:rsid w:val="00F72BDE"/>
    <w:rsid w:val="00F72D67"/>
    <w:rsid w:val="00F72E02"/>
    <w:rsid w:val="00F72F6F"/>
    <w:rsid w:val="00F7310F"/>
    <w:rsid w:val="00F731C7"/>
    <w:rsid w:val="00F733B4"/>
    <w:rsid w:val="00F733E8"/>
    <w:rsid w:val="00F736A0"/>
    <w:rsid w:val="00F736EF"/>
    <w:rsid w:val="00F7383B"/>
    <w:rsid w:val="00F73894"/>
    <w:rsid w:val="00F73A5D"/>
    <w:rsid w:val="00F73B8D"/>
    <w:rsid w:val="00F73D9A"/>
    <w:rsid w:val="00F74173"/>
    <w:rsid w:val="00F741B2"/>
    <w:rsid w:val="00F744E6"/>
    <w:rsid w:val="00F74610"/>
    <w:rsid w:val="00F74613"/>
    <w:rsid w:val="00F74811"/>
    <w:rsid w:val="00F7489C"/>
    <w:rsid w:val="00F74BED"/>
    <w:rsid w:val="00F75077"/>
    <w:rsid w:val="00F750A9"/>
    <w:rsid w:val="00F75289"/>
    <w:rsid w:val="00F75581"/>
    <w:rsid w:val="00F756DA"/>
    <w:rsid w:val="00F7574B"/>
    <w:rsid w:val="00F759C6"/>
    <w:rsid w:val="00F75B63"/>
    <w:rsid w:val="00F75CFC"/>
    <w:rsid w:val="00F75E38"/>
    <w:rsid w:val="00F7614E"/>
    <w:rsid w:val="00F76588"/>
    <w:rsid w:val="00F7692B"/>
    <w:rsid w:val="00F76AEB"/>
    <w:rsid w:val="00F76D28"/>
    <w:rsid w:val="00F76F63"/>
    <w:rsid w:val="00F771F4"/>
    <w:rsid w:val="00F77213"/>
    <w:rsid w:val="00F7799C"/>
    <w:rsid w:val="00F77B99"/>
    <w:rsid w:val="00F77E4A"/>
    <w:rsid w:val="00F77FE0"/>
    <w:rsid w:val="00F802AC"/>
    <w:rsid w:val="00F80385"/>
    <w:rsid w:val="00F8073C"/>
    <w:rsid w:val="00F80971"/>
    <w:rsid w:val="00F80DA3"/>
    <w:rsid w:val="00F80E06"/>
    <w:rsid w:val="00F812DC"/>
    <w:rsid w:val="00F813D5"/>
    <w:rsid w:val="00F814DA"/>
    <w:rsid w:val="00F817AA"/>
    <w:rsid w:val="00F819F1"/>
    <w:rsid w:val="00F81AFC"/>
    <w:rsid w:val="00F81B87"/>
    <w:rsid w:val="00F81F83"/>
    <w:rsid w:val="00F820DD"/>
    <w:rsid w:val="00F820FC"/>
    <w:rsid w:val="00F8256F"/>
    <w:rsid w:val="00F82790"/>
    <w:rsid w:val="00F8295D"/>
    <w:rsid w:val="00F82A1C"/>
    <w:rsid w:val="00F830B3"/>
    <w:rsid w:val="00F833DB"/>
    <w:rsid w:val="00F8350F"/>
    <w:rsid w:val="00F83524"/>
    <w:rsid w:val="00F835D4"/>
    <w:rsid w:val="00F836EC"/>
    <w:rsid w:val="00F83925"/>
    <w:rsid w:val="00F84273"/>
    <w:rsid w:val="00F84893"/>
    <w:rsid w:val="00F849AB"/>
    <w:rsid w:val="00F84C4F"/>
    <w:rsid w:val="00F84C53"/>
    <w:rsid w:val="00F84F8E"/>
    <w:rsid w:val="00F851B0"/>
    <w:rsid w:val="00F85245"/>
    <w:rsid w:val="00F859E0"/>
    <w:rsid w:val="00F85C70"/>
    <w:rsid w:val="00F85D2C"/>
    <w:rsid w:val="00F85EAC"/>
    <w:rsid w:val="00F85F8F"/>
    <w:rsid w:val="00F86061"/>
    <w:rsid w:val="00F8645B"/>
    <w:rsid w:val="00F86610"/>
    <w:rsid w:val="00F866FE"/>
    <w:rsid w:val="00F86888"/>
    <w:rsid w:val="00F87045"/>
    <w:rsid w:val="00F87366"/>
    <w:rsid w:val="00F873B5"/>
    <w:rsid w:val="00F873DD"/>
    <w:rsid w:val="00F875DF"/>
    <w:rsid w:val="00F875EB"/>
    <w:rsid w:val="00F87BA0"/>
    <w:rsid w:val="00F87CA3"/>
    <w:rsid w:val="00F87E23"/>
    <w:rsid w:val="00F9004D"/>
    <w:rsid w:val="00F902AC"/>
    <w:rsid w:val="00F90362"/>
    <w:rsid w:val="00F905BA"/>
    <w:rsid w:val="00F907A2"/>
    <w:rsid w:val="00F90910"/>
    <w:rsid w:val="00F90B15"/>
    <w:rsid w:val="00F916B1"/>
    <w:rsid w:val="00F91705"/>
    <w:rsid w:val="00F91731"/>
    <w:rsid w:val="00F91B48"/>
    <w:rsid w:val="00F91C21"/>
    <w:rsid w:val="00F92095"/>
    <w:rsid w:val="00F920B0"/>
    <w:rsid w:val="00F920FA"/>
    <w:rsid w:val="00F9227C"/>
    <w:rsid w:val="00F922F6"/>
    <w:rsid w:val="00F92811"/>
    <w:rsid w:val="00F92B83"/>
    <w:rsid w:val="00F92BE3"/>
    <w:rsid w:val="00F93686"/>
    <w:rsid w:val="00F937DD"/>
    <w:rsid w:val="00F939D4"/>
    <w:rsid w:val="00F93A70"/>
    <w:rsid w:val="00F93D3A"/>
    <w:rsid w:val="00F94123"/>
    <w:rsid w:val="00F94242"/>
    <w:rsid w:val="00F94360"/>
    <w:rsid w:val="00F9465A"/>
    <w:rsid w:val="00F94792"/>
    <w:rsid w:val="00F94827"/>
    <w:rsid w:val="00F9485D"/>
    <w:rsid w:val="00F94B57"/>
    <w:rsid w:val="00F94B82"/>
    <w:rsid w:val="00F94BBF"/>
    <w:rsid w:val="00F94D80"/>
    <w:rsid w:val="00F94FAA"/>
    <w:rsid w:val="00F9517D"/>
    <w:rsid w:val="00F952A0"/>
    <w:rsid w:val="00F95364"/>
    <w:rsid w:val="00F9550A"/>
    <w:rsid w:val="00F9561B"/>
    <w:rsid w:val="00F9574C"/>
    <w:rsid w:val="00F9595C"/>
    <w:rsid w:val="00F95AC0"/>
    <w:rsid w:val="00F95F34"/>
    <w:rsid w:val="00F95F57"/>
    <w:rsid w:val="00F95F6E"/>
    <w:rsid w:val="00F96048"/>
    <w:rsid w:val="00F9616F"/>
    <w:rsid w:val="00F9618C"/>
    <w:rsid w:val="00F96226"/>
    <w:rsid w:val="00F962E3"/>
    <w:rsid w:val="00F96308"/>
    <w:rsid w:val="00F963D8"/>
    <w:rsid w:val="00F96586"/>
    <w:rsid w:val="00F96938"/>
    <w:rsid w:val="00F9749B"/>
    <w:rsid w:val="00F974C1"/>
    <w:rsid w:val="00F9758F"/>
    <w:rsid w:val="00F975C9"/>
    <w:rsid w:val="00F979D0"/>
    <w:rsid w:val="00F97A41"/>
    <w:rsid w:val="00F97BCE"/>
    <w:rsid w:val="00F97BD1"/>
    <w:rsid w:val="00FA0248"/>
    <w:rsid w:val="00FA026F"/>
    <w:rsid w:val="00FA08A5"/>
    <w:rsid w:val="00FA0C8D"/>
    <w:rsid w:val="00FA0E7A"/>
    <w:rsid w:val="00FA1082"/>
    <w:rsid w:val="00FA1134"/>
    <w:rsid w:val="00FA13E5"/>
    <w:rsid w:val="00FA1439"/>
    <w:rsid w:val="00FA1441"/>
    <w:rsid w:val="00FA16CF"/>
    <w:rsid w:val="00FA1E87"/>
    <w:rsid w:val="00FA1F63"/>
    <w:rsid w:val="00FA1F99"/>
    <w:rsid w:val="00FA1FAD"/>
    <w:rsid w:val="00FA2079"/>
    <w:rsid w:val="00FA20BE"/>
    <w:rsid w:val="00FA2100"/>
    <w:rsid w:val="00FA21BB"/>
    <w:rsid w:val="00FA2297"/>
    <w:rsid w:val="00FA22AC"/>
    <w:rsid w:val="00FA22DE"/>
    <w:rsid w:val="00FA2419"/>
    <w:rsid w:val="00FA2446"/>
    <w:rsid w:val="00FA274E"/>
    <w:rsid w:val="00FA275A"/>
    <w:rsid w:val="00FA2B65"/>
    <w:rsid w:val="00FA2B8C"/>
    <w:rsid w:val="00FA2C5D"/>
    <w:rsid w:val="00FA2E8B"/>
    <w:rsid w:val="00FA2FD1"/>
    <w:rsid w:val="00FA30F7"/>
    <w:rsid w:val="00FA311B"/>
    <w:rsid w:val="00FA3616"/>
    <w:rsid w:val="00FA379C"/>
    <w:rsid w:val="00FA3800"/>
    <w:rsid w:val="00FA390B"/>
    <w:rsid w:val="00FA3948"/>
    <w:rsid w:val="00FA3BE9"/>
    <w:rsid w:val="00FA3BFB"/>
    <w:rsid w:val="00FA3C00"/>
    <w:rsid w:val="00FA3F2F"/>
    <w:rsid w:val="00FA3F36"/>
    <w:rsid w:val="00FA4025"/>
    <w:rsid w:val="00FA4081"/>
    <w:rsid w:val="00FA4273"/>
    <w:rsid w:val="00FA428E"/>
    <w:rsid w:val="00FA4548"/>
    <w:rsid w:val="00FA464B"/>
    <w:rsid w:val="00FA4651"/>
    <w:rsid w:val="00FA4A8F"/>
    <w:rsid w:val="00FA4AD2"/>
    <w:rsid w:val="00FA4AF8"/>
    <w:rsid w:val="00FA594C"/>
    <w:rsid w:val="00FA5954"/>
    <w:rsid w:val="00FA5BE4"/>
    <w:rsid w:val="00FA60C6"/>
    <w:rsid w:val="00FA6783"/>
    <w:rsid w:val="00FA6AF0"/>
    <w:rsid w:val="00FA6D3D"/>
    <w:rsid w:val="00FA7382"/>
    <w:rsid w:val="00FA74B6"/>
    <w:rsid w:val="00FA757F"/>
    <w:rsid w:val="00FA7586"/>
    <w:rsid w:val="00FA76F6"/>
    <w:rsid w:val="00FA79D3"/>
    <w:rsid w:val="00FB0200"/>
    <w:rsid w:val="00FB04F7"/>
    <w:rsid w:val="00FB0663"/>
    <w:rsid w:val="00FB07DF"/>
    <w:rsid w:val="00FB0A16"/>
    <w:rsid w:val="00FB0A36"/>
    <w:rsid w:val="00FB0B53"/>
    <w:rsid w:val="00FB0ECA"/>
    <w:rsid w:val="00FB11EB"/>
    <w:rsid w:val="00FB126F"/>
    <w:rsid w:val="00FB1327"/>
    <w:rsid w:val="00FB149C"/>
    <w:rsid w:val="00FB16DC"/>
    <w:rsid w:val="00FB17F1"/>
    <w:rsid w:val="00FB1AF7"/>
    <w:rsid w:val="00FB1C84"/>
    <w:rsid w:val="00FB1D02"/>
    <w:rsid w:val="00FB2164"/>
    <w:rsid w:val="00FB23CC"/>
    <w:rsid w:val="00FB2426"/>
    <w:rsid w:val="00FB2563"/>
    <w:rsid w:val="00FB26E5"/>
    <w:rsid w:val="00FB2832"/>
    <w:rsid w:val="00FB2E38"/>
    <w:rsid w:val="00FB2F62"/>
    <w:rsid w:val="00FB3466"/>
    <w:rsid w:val="00FB34A1"/>
    <w:rsid w:val="00FB3509"/>
    <w:rsid w:val="00FB3876"/>
    <w:rsid w:val="00FB3AB6"/>
    <w:rsid w:val="00FB3C49"/>
    <w:rsid w:val="00FB3C62"/>
    <w:rsid w:val="00FB3F53"/>
    <w:rsid w:val="00FB3F7B"/>
    <w:rsid w:val="00FB40A1"/>
    <w:rsid w:val="00FB41AD"/>
    <w:rsid w:val="00FB4508"/>
    <w:rsid w:val="00FB475E"/>
    <w:rsid w:val="00FB4997"/>
    <w:rsid w:val="00FB4C1D"/>
    <w:rsid w:val="00FB4E9F"/>
    <w:rsid w:val="00FB4FDE"/>
    <w:rsid w:val="00FB5357"/>
    <w:rsid w:val="00FB5519"/>
    <w:rsid w:val="00FB5530"/>
    <w:rsid w:val="00FB5650"/>
    <w:rsid w:val="00FB58DE"/>
    <w:rsid w:val="00FB58F0"/>
    <w:rsid w:val="00FB5933"/>
    <w:rsid w:val="00FB5E04"/>
    <w:rsid w:val="00FB5E71"/>
    <w:rsid w:val="00FB5EBB"/>
    <w:rsid w:val="00FB63B4"/>
    <w:rsid w:val="00FB645A"/>
    <w:rsid w:val="00FB653F"/>
    <w:rsid w:val="00FB6700"/>
    <w:rsid w:val="00FB67EA"/>
    <w:rsid w:val="00FB6811"/>
    <w:rsid w:val="00FB6A66"/>
    <w:rsid w:val="00FB6C16"/>
    <w:rsid w:val="00FB6D9D"/>
    <w:rsid w:val="00FB702E"/>
    <w:rsid w:val="00FB7096"/>
    <w:rsid w:val="00FB7226"/>
    <w:rsid w:val="00FB72A6"/>
    <w:rsid w:val="00FB75DC"/>
    <w:rsid w:val="00FB76BB"/>
    <w:rsid w:val="00FB780F"/>
    <w:rsid w:val="00FB7863"/>
    <w:rsid w:val="00FB78A2"/>
    <w:rsid w:val="00FB7909"/>
    <w:rsid w:val="00FB7C14"/>
    <w:rsid w:val="00FB7C65"/>
    <w:rsid w:val="00FB7CE5"/>
    <w:rsid w:val="00FB7FC8"/>
    <w:rsid w:val="00FC00A5"/>
    <w:rsid w:val="00FC0261"/>
    <w:rsid w:val="00FC02D1"/>
    <w:rsid w:val="00FC04AB"/>
    <w:rsid w:val="00FC060E"/>
    <w:rsid w:val="00FC085F"/>
    <w:rsid w:val="00FC0A56"/>
    <w:rsid w:val="00FC0B46"/>
    <w:rsid w:val="00FC0B6D"/>
    <w:rsid w:val="00FC0B7F"/>
    <w:rsid w:val="00FC11EA"/>
    <w:rsid w:val="00FC13A5"/>
    <w:rsid w:val="00FC19A1"/>
    <w:rsid w:val="00FC1BDA"/>
    <w:rsid w:val="00FC1C05"/>
    <w:rsid w:val="00FC1C96"/>
    <w:rsid w:val="00FC1E28"/>
    <w:rsid w:val="00FC20BC"/>
    <w:rsid w:val="00FC2483"/>
    <w:rsid w:val="00FC2515"/>
    <w:rsid w:val="00FC25CC"/>
    <w:rsid w:val="00FC28F4"/>
    <w:rsid w:val="00FC3235"/>
    <w:rsid w:val="00FC3368"/>
    <w:rsid w:val="00FC36C9"/>
    <w:rsid w:val="00FC3815"/>
    <w:rsid w:val="00FC3830"/>
    <w:rsid w:val="00FC3BAA"/>
    <w:rsid w:val="00FC3E35"/>
    <w:rsid w:val="00FC3F67"/>
    <w:rsid w:val="00FC40A7"/>
    <w:rsid w:val="00FC41EB"/>
    <w:rsid w:val="00FC4601"/>
    <w:rsid w:val="00FC463B"/>
    <w:rsid w:val="00FC4A84"/>
    <w:rsid w:val="00FC4E32"/>
    <w:rsid w:val="00FC558B"/>
    <w:rsid w:val="00FC5A3A"/>
    <w:rsid w:val="00FC5E08"/>
    <w:rsid w:val="00FC5E24"/>
    <w:rsid w:val="00FC5F2F"/>
    <w:rsid w:val="00FC5F72"/>
    <w:rsid w:val="00FC66DB"/>
    <w:rsid w:val="00FC6BAF"/>
    <w:rsid w:val="00FC6DB3"/>
    <w:rsid w:val="00FC6DFD"/>
    <w:rsid w:val="00FC6EB0"/>
    <w:rsid w:val="00FC705B"/>
    <w:rsid w:val="00FC710C"/>
    <w:rsid w:val="00FC775C"/>
    <w:rsid w:val="00FC77D8"/>
    <w:rsid w:val="00FC7866"/>
    <w:rsid w:val="00FC799A"/>
    <w:rsid w:val="00FC7C80"/>
    <w:rsid w:val="00FD0270"/>
    <w:rsid w:val="00FD09B8"/>
    <w:rsid w:val="00FD09FC"/>
    <w:rsid w:val="00FD0C1F"/>
    <w:rsid w:val="00FD0E8E"/>
    <w:rsid w:val="00FD0F36"/>
    <w:rsid w:val="00FD158C"/>
    <w:rsid w:val="00FD15BB"/>
    <w:rsid w:val="00FD17FE"/>
    <w:rsid w:val="00FD1828"/>
    <w:rsid w:val="00FD18BB"/>
    <w:rsid w:val="00FD1A1F"/>
    <w:rsid w:val="00FD1C2F"/>
    <w:rsid w:val="00FD1E8D"/>
    <w:rsid w:val="00FD1F40"/>
    <w:rsid w:val="00FD203F"/>
    <w:rsid w:val="00FD20B8"/>
    <w:rsid w:val="00FD20DD"/>
    <w:rsid w:val="00FD2415"/>
    <w:rsid w:val="00FD248D"/>
    <w:rsid w:val="00FD24FE"/>
    <w:rsid w:val="00FD28FA"/>
    <w:rsid w:val="00FD2F69"/>
    <w:rsid w:val="00FD370B"/>
    <w:rsid w:val="00FD3A72"/>
    <w:rsid w:val="00FD3A80"/>
    <w:rsid w:val="00FD3B2E"/>
    <w:rsid w:val="00FD3BB8"/>
    <w:rsid w:val="00FD3C9E"/>
    <w:rsid w:val="00FD3F0D"/>
    <w:rsid w:val="00FD4218"/>
    <w:rsid w:val="00FD4319"/>
    <w:rsid w:val="00FD45F3"/>
    <w:rsid w:val="00FD4674"/>
    <w:rsid w:val="00FD47CD"/>
    <w:rsid w:val="00FD4987"/>
    <w:rsid w:val="00FD4B85"/>
    <w:rsid w:val="00FD4B88"/>
    <w:rsid w:val="00FD4EA7"/>
    <w:rsid w:val="00FD5033"/>
    <w:rsid w:val="00FD50C1"/>
    <w:rsid w:val="00FD5249"/>
    <w:rsid w:val="00FD58E2"/>
    <w:rsid w:val="00FD5CBC"/>
    <w:rsid w:val="00FD5CD5"/>
    <w:rsid w:val="00FD6035"/>
    <w:rsid w:val="00FD6140"/>
    <w:rsid w:val="00FD64E5"/>
    <w:rsid w:val="00FD65F6"/>
    <w:rsid w:val="00FD67BF"/>
    <w:rsid w:val="00FD6F34"/>
    <w:rsid w:val="00FD6FA9"/>
    <w:rsid w:val="00FD7334"/>
    <w:rsid w:val="00FD7384"/>
    <w:rsid w:val="00FD7EA9"/>
    <w:rsid w:val="00FE0674"/>
    <w:rsid w:val="00FE0907"/>
    <w:rsid w:val="00FE0A04"/>
    <w:rsid w:val="00FE0D10"/>
    <w:rsid w:val="00FE11C7"/>
    <w:rsid w:val="00FE1438"/>
    <w:rsid w:val="00FE1661"/>
    <w:rsid w:val="00FE1B71"/>
    <w:rsid w:val="00FE1CDD"/>
    <w:rsid w:val="00FE1E70"/>
    <w:rsid w:val="00FE20A7"/>
    <w:rsid w:val="00FE215F"/>
    <w:rsid w:val="00FE2163"/>
    <w:rsid w:val="00FE2348"/>
    <w:rsid w:val="00FE241E"/>
    <w:rsid w:val="00FE2880"/>
    <w:rsid w:val="00FE3505"/>
    <w:rsid w:val="00FE3B9B"/>
    <w:rsid w:val="00FE3F79"/>
    <w:rsid w:val="00FE4362"/>
    <w:rsid w:val="00FE44FC"/>
    <w:rsid w:val="00FE451C"/>
    <w:rsid w:val="00FE4FCD"/>
    <w:rsid w:val="00FE500D"/>
    <w:rsid w:val="00FE5011"/>
    <w:rsid w:val="00FE5241"/>
    <w:rsid w:val="00FE5498"/>
    <w:rsid w:val="00FE584B"/>
    <w:rsid w:val="00FE58CD"/>
    <w:rsid w:val="00FE5A21"/>
    <w:rsid w:val="00FE5A6D"/>
    <w:rsid w:val="00FE5E8F"/>
    <w:rsid w:val="00FE60A6"/>
    <w:rsid w:val="00FE62D7"/>
    <w:rsid w:val="00FE6506"/>
    <w:rsid w:val="00FE655A"/>
    <w:rsid w:val="00FE675A"/>
    <w:rsid w:val="00FE6870"/>
    <w:rsid w:val="00FE69A2"/>
    <w:rsid w:val="00FE6FEC"/>
    <w:rsid w:val="00FE7312"/>
    <w:rsid w:val="00FE766B"/>
    <w:rsid w:val="00FE79FA"/>
    <w:rsid w:val="00FE7C2B"/>
    <w:rsid w:val="00FE7D92"/>
    <w:rsid w:val="00FF029B"/>
    <w:rsid w:val="00FF047D"/>
    <w:rsid w:val="00FF054F"/>
    <w:rsid w:val="00FF064F"/>
    <w:rsid w:val="00FF06E9"/>
    <w:rsid w:val="00FF078C"/>
    <w:rsid w:val="00FF0B39"/>
    <w:rsid w:val="00FF0B5E"/>
    <w:rsid w:val="00FF0C7C"/>
    <w:rsid w:val="00FF0C95"/>
    <w:rsid w:val="00FF0D35"/>
    <w:rsid w:val="00FF1082"/>
    <w:rsid w:val="00FF10BF"/>
    <w:rsid w:val="00FF1670"/>
    <w:rsid w:val="00FF1909"/>
    <w:rsid w:val="00FF1927"/>
    <w:rsid w:val="00FF21E8"/>
    <w:rsid w:val="00FF2654"/>
    <w:rsid w:val="00FF275D"/>
    <w:rsid w:val="00FF2931"/>
    <w:rsid w:val="00FF2AF8"/>
    <w:rsid w:val="00FF2B34"/>
    <w:rsid w:val="00FF2FC8"/>
    <w:rsid w:val="00FF30FA"/>
    <w:rsid w:val="00FF3527"/>
    <w:rsid w:val="00FF3767"/>
    <w:rsid w:val="00FF3B38"/>
    <w:rsid w:val="00FF400C"/>
    <w:rsid w:val="00FF401C"/>
    <w:rsid w:val="00FF40AC"/>
    <w:rsid w:val="00FF413D"/>
    <w:rsid w:val="00FF4237"/>
    <w:rsid w:val="00FF43A9"/>
    <w:rsid w:val="00FF43B9"/>
    <w:rsid w:val="00FF45AA"/>
    <w:rsid w:val="00FF479C"/>
    <w:rsid w:val="00FF4AF7"/>
    <w:rsid w:val="00FF4B5C"/>
    <w:rsid w:val="00FF4F92"/>
    <w:rsid w:val="00FF508D"/>
    <w:rsid w:val="00FF5331"/>
    <w:rsid w:val="00FF5363"/>
    <w:rsid w:val="00FF5643"/>
    <w:rsid w:val="00FF5868"/>
    <w:rsid w:val="00FF592E"/>
    <w:rsid w:val="00FF5E62"/>
    <w:rsid w:val="00FF6006"/>
    <w:rsid w:val="00FF6480"/>
    <w:rsid w:val="00FF64FF"/>
    <w:rsid w:val="00FF6683"/>
    <w:rsid w:val="00FF686E"/>
    <w:rsid w:val="00FF6940"/>
    <w:rsid w:val="00FF69BD"/>
    <w:rsid w:val="00FF69DB"/>
    <w:rsid w:val="00FF6D94"/>
    <w:rsid w:val="00FF704B"/>
    <w:rsid w:val="00FF7080"/>
    <w:rsid w:val="00FF7225"/>
    <w:rsid w:val="00FF72B2"/>
    <w:rsid w:val="00FF7955"/>
    <w:rsid w:val="00FF7D26"/>
    <w:rsid w:val="00FF7E38"/>
  </w:rsids>
  <m:mathPr>
    <m:mathFont m:val="Cambria Math"/>
    <m:brkBin m:val="before"/>
    <m:brkBinSub m:val="--"/>
    <m:smallFrac/>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6B5275F7"/>
  <w14:defaultImageDpi w14:val="32767"/>
  <w15:docId w15:val="{AF399DEF-10C4-43E2-8926-15DE88F86C9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MS Mincho" w:hAnsi="Calibri" w:cs="Times New Roman"/>
        <w:lang w:val="cs-CZ" w:eastAsia="cs-CZ"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iPriority="1" w:unhideWhenUsed="1" w:qFormat="1"/>
    <w:lsdException w:name="heading 5" w:semiHidden="1" w:unhideWhenUsed="1" w:qFormat="1"/>
    <w:lsdException w:name="heading 6" w:semiHidden="1" w:unhideWhenUsed="1" w:qFormat="1"/>
    <w:lsdException w:name="heading 7" w:semiHidden="1" w:uiPriority="99" w:unhideWhenUsed="1" w:qFormat="1"/>
    <w:lsdException w:name="heading 8" w:semiHidden="1" w:uiPriority="99" w:unhideWhenUsed="1" w:qFormat="1"/>
    <w:lsdException w:name="heading 9" w:semiHidden="1" w:uiPriority="9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lsdException w:name="toc 9" w:semiHidden="1" w:uiPriority="39" w:unhideWhenUsed="1"/>
    <w:lsdException w:name="Normal Indent" w:semiHidden="1" w:unhideWhenUsed="1"/>
    <w:lsdException w:name="footnote text" w:semiHidden="1" w:uiPriority="99" w:unhideWhenUsed="1"/>
    <w:lsdException w:name="annotation text" w:semiHidden="1" w:uiPriority="99" w:unhideWhenUsed="1"/>
    <w:lsdException w:name="header" w:semiHidden="1" w:uiPriority="99"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99" w:unhideWhenUsed="1"/>
    <w:lsdException w:name="List Bullet" w:semiHidden="1" w:uiPriority="99"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iPriority="99" w:unhideWhenUsed="1"/>
    <w:lsdException w:name="Title" w:uiPriority="10" w:qFormat="1"/>
    <w:lsdException w:name="Closing" w:semiHidden="1" w:unhideWhenUsed="1"/>
    <w:lsdException w:name="Signature" w:semiHidden="1" w:unhideWhenUsed="1"/>
    <w:lsdException w:name="Default Paragraph Font" w:semiHidden="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iPriority="99" w:unhideWhenUsed="1"/>
    <w:lsdException w:name="Body Text 3" w:semiHidden="1" w:unhideWhenUsed="1"/>
    <w:lsdException w:name="Body Text Indent 2" w:semiHidden="1" w:unhideWhenUsed="1"/>
    <w:lsdException w:name="Body Text Indent 3" w:semiHidden="1" w:uiPriority="99" w:unhideWhenUsed="1"/>
    <w:lsdException w:name="Block Text" w:semiHidden="1" w:unhideWhenUsed="1"/>
    <w:lsdException w:name="Hyperlink" w:semiHidden="1" w:uiPriority="99" w:unhideWhenUsed="1"/>
    <w:lsdException w:name="FollowedHyperlink" w:semiHidden="1" w:uiPriority="99"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iPriority="99"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ln">
    <w:name w:val="Normal"/>
    <w:qFormat/>
    <w:rsid w:val="00DC53F6"/>
    <w:pPr>
      <w:spacing w:before="80" w:after="80"/>
      <w:ind w:left="709"/>
      <w:jc w:val="both"/>
    </w:pPr>
    <w:rPr>
      <w:sz w:val="18"/>
      <w:szCs w:val="24"/>
    </w:rPr>
  </w:style>
  <w:style w:type="paragraph" w:styleId="Nadpis1">
    <w:name w:val="heading 1"/>
    <w:basedOn w:val="Normln"/>
    <w:next w:val="Normln"/>
    <w:link w:val="Nadpis1Char"/>
    <w:qFormat/>
    <w:rsid w:val="00D25B26"/>
    <w:pPr>
      <w:keepNext/>
      <w:numPr>
        <w:numId w:val="1"/>
      </w:numPr>
      <w:spacing w:before="160"/>
      <w:ind w:left="709" w:hanging="709"/>
      <w:outlineLvl w:val="0"/>
    </w:pPr>
    <w:rPr>
      <w:b/>
      <w:bCs/>
      <w:kern w:val="32"/>
      <w:sz w:val="28"/>
      <w:szCs w:val="32"/>
    </w:rPr>
  </w:style>
  <w:style w:type="paragraph" w:styleId="Nadpis2">
    <w:name w:val="heading 2"/>
    <w:basedOn w:val="Normln"/>
    <w:next w:val="Normln"/>
    <w:link w:val="Nadpis2Char"/>
    <w:unhideWhenUsed/>
    <w:qFormat/>
    <w:rsid w:val="0019155A"/>
    <w:pPr>
      <w:numPr>
        <w:ilvl w:val="1"/>
        <w:numId w:val="1"/>
      </w:numPr>
      <w:spacing w:before="240"/>
      <w:ind w:left="709" w:hanging="709"/>
      <w:outlineLvl w:val="1"/>
    </w:pPr>
    <w:rPr>
      <w:b/>
      <w:i/>
      <w:sz w:val="28"/>
      <w:szCs w:val="28"/>
    </w:rPr>
  </w:style>
  <w:style w:type="paragraph" w:styleId="Nadpis3">
    <w:name w:val="heading 3"/>
    <w:basedOn w:val="Normln"/>
    <w:next w:val="Normln"/>
    <w:link w:val="Nadpis3Char"/>
    <w:unhideWhenUsed/>
    <w:qFormat/>
    <w:rsid w:val="0019155A"/>
    <w:pPr>
      <w:keepNext/>
      <w:numPr>
        <w:ilvl w:val="2"/>
        <w:numId w:val="1"/>
      </w:numPr>
      <w:tabs>
        <w:tab w:val="left" w:pos="851"/>
      </w:tabs>
      <w:autoSpaceDE w:val="0"/>
      <w:autoSpaceDN w:val="0"/>
      <w:adjustRightInd w:val="0"/>
      <w:spacing w:before="240"/>
      <w:outlineLvl w:val="2"/>
    </w:pPr>
    <w:rPr>
      <w:b/>
      <w:bCs/>
      <w:i/>
      <w:sz w:val="22"/>
      <w:szCs w:val="26"/>
    </w:rPr>
  </w:style>
  <w:style w:type="paragraph" w:styleId="Nadpis4">
    <w:name w:val="heading 4"/>
    <w:basedOn w:val="Normln"/>
    <w:next w:val="Normln"/>
    <w:link w:val="Nadpis4Char"/>
    <w:autoRedefine/>
    <w:uiPriority w:val="1"/>
    <w:unhideWhenUsed/>
    <w:qFormat/>
    <w:rsid w:val="008A41F9"/>
    <w:pPr>
      <w:keepNext/>
      <w:numPr>
        <w:ilvl w:val="3"/>
        <w:numId w:val="1"/>
      </w:numPr>
      <w:autoSpaceDE w:val="0"/>
      <w:autoSpaceDN w:val="0"/>
      <w:adjustRightInd w:val="0"/>
      <w:spacing w:before="240"/>
      <w:ind w:left="709" w:hanging="851"/>
      <w:outlineLvl w:val="3"/>
    </w:pPr>
    <w:rPr>
      <w:b/>
      <w:bCs/>
      <w:szCs w:val="28"/>
      <w:u w:color="000000"/>
    </w:rPr>
  </w:style>
  <w:style w:type="paragraph" w:styleId="Nadpis5">
    <w:name w:val="heading 5"/>
    <w:basedOn w:val="Nadpis4"/>
    <w:next w:val="Normln"/>
    <w:link w:val="Nadpis5Char"/>
    <w:unhideWhenUsed/>
    <w:qFormat/>
    <w:rsid w:val="009068D9"/>
    <w:pPr>
      <w:numPr>
        <w:ilvl w:val="4"/>
      </w:numPr>
      <w:spacing w:after="60"/>
      <w:outlineLvl w:val="4"/>
    </w:pPr>
    <w:rPr>
      <w:b w:val="0"/>
      <w:bCs w:val="0"/>
      <w:iCs/>
      <w:szCs w:val="26"/>
      <w:u w:val="single"/>
    </w:rPr>
  </w:style>
  <w:style w:type="paragraph" w:styleId="Nadpis6">
    <w:name w:val="heading 6"/>
    <w:basedOn w:val="Normln"/>
    <w:next w:val="Normln"/>
    <w:link w:val="Nadpis6Char"/>
    <w:unhideWhenUsed/>
    <w:qFormat/>
    <w:rsid w:val="00094FC2"/>
    <w:pPr>
      <w:numPr>
        <w:ilvl w:val="5"/>
        <w:numId w:val="1"/>
      </w:numPr>
      <w:spacing w:before="240" w:after="60"/>
      <w:outlineLvl w:val="5"/>
    </w:pPr>
    <w:rPr>
      <w:bCs/>
      <w:i/>
      <w:szCs w:val="22"/>
      <w:u w:val="single"/>
    </w:rPr>
  </w:style>
  <w:style w:type="paragraph" w:styleId="Nadpis7">
    <w:name w:val="heading 7"/>
    <w:basedOn w:val="Normln"/>
    <w:next w:val="Normln"/>
    <w:link w:val="Nadpis7Char"/>
    <w:uiPriority w:val="99"/>
    <w:unhideWhenUsed/>
    <w:qFormat/>
    <w:rsid w:val="006360A8"/>
    <w:pPr>
      <w:numPr>
        <w:ilvl w:val="6"/>
        <w:numId w:val="1"/>
      </w:numPr>
      <w:spacing w:before="240" w:after="60"/>
      <w:outlineLvl w:val="6"/>
    </w:pPr>
    <w:rPr>
      <w:sz w:val="24"/>
    </w:rPr>
  </w:style>
  <w:style w:type="paragraph" w:styleId="Nadpis8">
    <w:name w:val="heading 8"/>
    <w:basedOn w:val="Normln"/>
    <w:next w:val="Normln"/>
    <w:link w:val="Nadpis8Char"/>
    <w:uiPriority w:val="99"/>
    <w:unhideWhenUsed/>
    <w:qFormat/>
    <w:rsid w:val="006360A8"/>
    <w:pPr>
      <w:numPr>
        <w:ilvl w:val="7"/>
        <w:numId w:val="1"/>
      </w:numPr>
      <w:spacing w:before="240" w:after="60"/>
      <w:outlineLvl w:val="7"/>
    </w:pPr>
    <w:rPr>
      <w:i/>
      <w:iCs/>
      <w:sz w:val="24"/>
    </w:rPr>
  </w:style>
  <w:style w:type="paragraph" w:styleId="Nadpis9">
    <w:name w:val="heading 9"/>
    <w:basedOn w:val="Normln"/>
    <w:next w:val="Normln"/>
    <w:link w:val="Nadpis9Char"/>
    <w:uiPriority w:val="99"/>
    <w:unhideWhenUsed/>
    <w:qFormat/>
    <w:rsid w:val="006360A8"/>
    <w:pPr>
      <w:numPr>
        <w:ilvl w:val="8"/>
        <w:numId w:val="1"/>
      </w:numPr>
      <w:spacing w:before="240" w:after="60"/>
      <w:outlineLvl w:val="8"/>
    </w:pPr>
    <w:rPr>
      <w:rFonts w:ascii="Cambria" w:hAnsi="Cambria"/>
      <w:sz w:val="22"/>
      <w:szCs w:val="22"/>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paragraph" w:styleId="Zpat">
    <w:name w:val="footer"/>
    <w:basedOn w:val="Normln"/>
    <w:link w:val="ZpatChar"/>
    <w:rsid w:val="006F2CFF"/>
    <w:pPr>
      <w:tabs>
        <w:tab w:val="center" w:pos="4536"/>
        <w:tab w:val="right" w:pos="9072"/>
      </w:tabs>
    </w:pPr>
  </w:style>
  <w:style w:type="character" w:styleId="slostrnky">
    <w:name w:val="page number"/>
    <w:basedOn w:val="Standardnpsmoodstavce"/>
    <w:rsid w:val="006F2CFF"/>
  </w:style>
  <w:style w:type="paragraph" w:styleId="Zhlav">
    <w:name w:val="header"/>
    <w:basedOn w:val="Normln"/>
    <w:link w:val="ZhlavChar"/>
    <w:uiPriority w:val="99"/>
    <w:rsid w:val="006F2CFF"/>
    <w:pPr>
      <w:tabs>
        <w:tab w:val="center" w:pos="4536"/>
        <w:tab w:val="right" w:pos="9072"/>
      </w:tabs>
    </w:pPr>
    <w:rPr>
      <w:sz w:val="20"/>
    </w:rPr>
  </w:style>
  <w:style w:type="character" w:customStyle="1" w:styleId="Nadpis1Char">
    <w:name w:val="Nadpis 1 Char"/>
    <w:link w:val="Nadpis1"/>
    <w:rsid w:val="00D25B26"/>
    <w:rPr>
      <w:b/>
      <w:bCs/>
      <w:kern w:val="32"/>
      <w:sz w:val="28"/>
      <w:szCs w:val="32"/>
    </w:rPr>
  </w:style>
  <w:style w:type="table" w:styleId="Mkatabulky">
    <w:name w:val="Table Grid"/>
    <w:basedOn w:val="Normlntabulka"/>
    <w:rsid w:val="005139D1"/>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Siln">
    <w:name w:val="Strong"/>
    <w:uiPriority w:val="22"/>
    <w:qFormat/>
    <w:rsid w:val="00647B87"/>
    <w:rPr>
      <w:b/>
      <w:bCs/>
    </w:rPr>
  </w:style>
  <w:style w:type="character" w:customStyle="1" w:styleId="apple-converted-space">
    <w:name w:val="apple-converted-space"/>
    <w:basedOn w:val="Standardnpsmoodstavce"/>
    <w:rsid w:val="00736681"/>
  </w:style>
  <w:style w:type="paragraph" w:styleId="Podnadpis">
    <w:name w:val="Subtitle"/>
    <w:basedOn w:val="Normln"/>
    <w:next w:val="Normln"/>
    <w:link w:val="PodnadpisChar2"/>
    <w:qFormat/>
    <w:rsid w:val="00647B87"/>
    <w:pPr>
      <w:spacing w:after="60"/>
      <w:jc w:val="center"/>
      <w:outlineLvl w:val="1"/>
    </w:pPr>
    <w:rPr>
      <w:rFonts w:ascii="Cambria" w:hAnsi="Cambria"/>
      <w:sz w:val="24"/>
    </w:rPr>
  </w:style>
  <w:style w:type="character" w:customStyle="1" w:styleId="PodnadpisChar2">
    <w:name w:val="Podnadpis Char2"/>
    <w:link w:val="Podnadpis"/>
    <w:uiPriority w:val="99"/>
    <w:rsid w:val="00647B87"/>
    <w:rPr>
      <w:rFonts w:ascii="Cambria" w:eastAsia="Times New Roman" w:hAnsi="Cambria" w:cs="Times New Roman"/>
      <w:sz w:val="24"/>
      <w:szCs w:val="24"/>
    </w:rPr>
  </w:style>
  <w:style w:type="character" w:customStyle="1" w:styleId="Nadpis4Char">
    <w:name w:val="Nadpis 4 Char"/>
    <w:link w:val="Nadpis4"/>
    <w:uiPriority w:val="1"/>
    <w:rsid w:val="008A41F9"/>
    <w:rPr>
      <w:b/>
      <w:bCs/>
      <w:sz w:val="18"/>
      <w:szCs w:val="28"/>
      <w:u w:color="000000"/>
    </w:rPr>
  </w:style>
  <w:style w:type="character" w:customStyle="1" w:styleId="Nadpis2Char">
    <w:name w:val="Nadpis 2 Char"/>
    <w:link w:val="Nadpis2"/>
    <w:rsid w:val="0019155A"/>
    <w:rPr>
      <w:b/>
      <w:i/>
      <w:sz w:val="28"/>
      <w:szCs w:val="28"/>
    </w:rPr>
  </w:style>
  <w:style w:type="character" w:customStyle="1" w:styleId="Nadpis3Char">
    <w:name w:val="Nadpis 3 Char"/>
    <w:link w:val="Nadpis3"/>
    <w:rsid w:val="0019155A"/>
    <w:rPr>
      <w:b/>
      <w:bCs/>
      <w:i/>
      <w:sz w:val="22"/>
      <w:szCs w:val="26"/>
    </w:rPr>
  </w:style>
  <w:style w:type="character" w:customStyle="1" w:styleId="Nadpis5Char">
    <w:name w:val="Nadpis 5 Char"/>
    <w:link w:val="Nadpis5"/>
    <w:rsid w:val="009068D9"/>
    <w:rPr>
      <w:iCs/>
      <w:sz w:val="18"/>
      <w:szCs w:val="26"/>
      <w:u w:val="single" w:color="000000"/>
    </w:rPr>
  </w:style>
  <w:style w:type="character" w:customStyle="1" w:styleId="Nadpis6Char">
    <w:name w:val="Nadpis 6 Char"/>
    <w:link w:val="Nadpis6"/>
    <w:rsid w:val="00094FC2"/>
    <w:rPr>
      <w:bCs/>
      <w:i/>
      <w:sz w:val="18"/>
      <w:szCs w:val="22"/>
      <w:u w:val="single"/>
    </w:rPr>
  </w:style>
  <w:style w:type="character" w:customStyle="1" w:styleId="Nadpis7Char">
    <w:name w:val="Nadpis 7 Char"/>
    <w:link w:val="Nadpis7"/>
    <w:uiPriority w:val="99"/>
    <w:rsid w:val="006360A8"/>
    <w:rPr>
      <w:sz w:val="24"/>
      <w:szCs w:val="24"/>
    </w:rPr>
  </w:style>
  <w:style w:type="character" w:customStyle="1" w:styleId="Nadpis8Char">
    <w:name w:val="Nadpis 8 Char"/>
    <w:link w:val="Nadpis8"/>
    <w:uiPriority w:val="99"/>
    <w:rsid w:val="006360A8"/>
    <w:rPr>
      <w:i/>
      <w:iCs/>
      <w:sz w:val="24"/>
      <w:szCs w:val="24"/>
    </w:rPr>
  </w:style>
  <w:style w:type="character" w:customStyle="1" w:styleId="Nadpis9Char">
    <w:name w:val="Nadpis 9 Char"/>
    <w:link w:val="Nadpis9"/>
    <w:uiPriority w:val="99"/>
    <w:rsid w:val="006360A8"/>
    <w:rPr>
      <w:rFonts w:ascii="Cambria" w:hAnsi="Cambria"/>
      <w:sz w:val="22"/>
      <w:szCs w:val="22"/>
    </w:rPr>
  </w:style>
  <w:style w:type="paragraph" w:customStyle="1" w:styleId="Koment">
    <w:name w:val="Komentář"/>
    <w:basedOn w:val="Normln"/>
    <w:uiPriority w:val="99"/>
    <w:qFormat/>
    <w:rsid w:val="00CC1F22"/>
    <w:rPr>
      <w:i/>
      <w:color w:val="7F7F7F" w:themeColor="text1" w:themeTint="80"/>
      <w:szCs w:val="20"/>
    </w:rPr>
  </w:style>
  <w:style w:type="paragraph" w:styleId="Citt">
    <w:name w:val="Quote"/>
    <w:aliases w:val="zdroj"/>
    <w:basedOn w:val="Normln"/>
    <w:next w:val="Normln"/>
    <w:link w:val="CittChar"/>
    <w:uiPriority w:val="29"/>
    <w:qFormat/>
    <w:rsid w:val="00FC6BAF"/>
    <w:pPr>
      <w:jc w:val="right"/>
    </w:pPr>
    <w:rPr>
      <w:iCs/>
      <w:color w:val="000000"/>
      <w:sz w:val="14"/>
    </w:rPr>
  </w:style>
  <w:style w:type="character" w:customStyle="1" w:styleId="CittChar">
    <w:name w:val="Citát Char"/>
    <w:aliases w:val="zdroj Char"/>
    <w:link w:val="Citt"/>
    <w:uiPriority w:val="29"/>
    <w:rsid w:val="00FC6BAF"/>
    <w:rPr>
      <w:iCs/>
      <w:color w:val="000000"/>
      <w:sz w:val="14"/>
      <w:szCs w:val="24"/>
    </w:rPr>
  </w:style>
  <w:style w:type="character" w:customStyle="1" w:styleId="ZhlavChar">
    <w:name w:val="Záhlaví Char"/>
    <w:link w:val="Zhlav"/>
    <w:uiPriority w:val="99"/>
    <w:rsid w:val="00E14E61"/>
    <w:rPr>
      <w:szCs w:val="24"/>
    </w:rPr>
  </w:style>
  <w:style w:type="paragraph" w:styleId="Obsah2">
    <w:name w:val="toc 2"/>
    <w:basedOn w:val="Normln"/>
    <w:next w:val="Normln"/>
    <w:autoRedefine/>
    <w:uiPriority w:val="39"/>
    <w:qFormat/>
    <w:rsid w:val="00837D46"/>
    <w:pPr>
      <w:tabs>
        <w:tab w:val="left" w:pos="567"/>
        <w:tab w:val="right" w:pos="9356"/>
      </w:tabs>
      <w:ind w:left="142" w:right="-1"/>
      <w:contextualSpacing/>
    </w:pPr>
    <w:rPr>
      <w:rFonts w:asciiTheme="minorHAnsi" w:hAnsiTheme="minorHAnsi"/>
      <w:i/>
      <w:iCs/>
      <w:sz w:val="20"/>
      <w:szCs w:val="20"/>
    </w:rPr>
  </w:style>
  <w:style w:type="paragraph" w:styleId="Obsah1">
    <w:name w:val="toc 1"/>
    <w:basedOn w:val="Normln"/>
    <w:next w:val="Normln"/>
    <w:autoRedefine/>
    <w:uiPriority w:val="39"/>
    <w:qFormat/>
    <w:rsid w:val="00033969"/>
    <w:pPr>
      <w:tabs>
        <w:tab w:val="left" w:pos="284"/>
        <w:tab w:val="right" w:pos="9356"/>
      </w:tabs>
      <w:ind w:left="0"/>
      <w:contextualSpacing/>
    </w:pPr>
    <w:rPr>
      <w:rFonts w:asciiTheme="minorHAnsi" w:hAnsiTheme="minorHAnsi"/>
      <w:b/>
      <w:bCs/>
      <w:sz w:val="24"/>
      <w:szCs w:val="20"/>
    </w:rPr>
  </w:style>
  <w:style w:type="character" w:styleId="Hypertextovodkaz">
    <w:name w:val="Hyperlink"/>
    <w:uiPriority w:val="99"/>
    <w:unhideWhenUsed/>
    <w:rsid w:val="00CE4151"/>
    <w:rPr>
      <w:color w:val="0000FF"/>
      <w:u w:val="single"/>
    </w:rPr>
  </w:style>
  <w:style w:type="paragraph" w:customStyle="1" w:styleId="Komentbezmezer">
    <w:name w:val="Komentář bez mezer"/>
    <w:basedOn w:val="Koment"/>
    <w:qFormat/>
    <w:rsid w:val="00CC1F22"/>
  </w:style>
  <w:style w:type="paragraph" w:customStyle="1" w:styleId="Normlnbezmezer">
    <w:name w:val="Normální bez mezer"/>
    <w:basedOn w:val="Normln"/>
    <w:qFormat/>
    <w:rsid w:val="004C4569"/>
    <w:pPr>
      <w:spacing w:before="40" w:after="40"/>
    </w:pPr>
  </w:style>
  <w:style w:type="character" w:styleId="Sledovanodkaz">
    <w:name w:val="FollowedHyperlink"/>
    <w:uiPriority w:val="99"/>
    <w:unhideWhenUsed/>
    <w:rsid w:val="0067451B"/>
    <w:rPr>
      <w:color w:val="800080"/>
      <w:u w:val="single"/>
    </w:rPr>
  </w:style>
  <w:style w:type="table" w:styleId="Moderntabulka">
    <w:name w:val="Table Contemporary"/>
    <w:basedOn w:val="Normlntabulka"/>
    <w:rsid w:val="003479A5"/>
    <w:pPr>
      <w:spacing w:before="120" w:after="120"/>
      <w:ind w:left="851"/>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Klasicktabulka4">
    <w:name w:val="Table Classic 4"/>
    <w:basedOn w:val="Normlntabulka"/>
    <w:rsid w:val="003479A5"/>
    <w:pPr>
      <w:spacing w:before="120" w:after="120"/>
      <w:ind w:left="851"/>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Klasicktabulka3">
    <w:name w:val="Table Classic 3"/>
    <w:basedOn w:val="Normlntabulka"/>
    <w:rsid w:val="003479A5"/>
    <w:pPr>
      <w:spacing w:before="120" w:after="120"/>
      <w:ind w:left="851"/>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Jednoduchtabulka3">
    <w:name w:val="Table Simple 3"/>
    <w:basedOn w:val="Normlntabulka"/>
    <w:rsid w:val="003479A5"/>
    <w:pPr>
      <w:spacing w:before="120" w:after="120"/>
      <w:ind w:left="851"/>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Klasicktabulka1">
    <w:name w:val="Table Classic 1"/>
    <w:basedOn w:val="Normlntabulka"/>
    <w:rsid w:val="003479A5"/>
    <w:pPr>
      <w:spacing w:before="120" w:after="120"/>
      <w:ind w:left="851"/>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Stednseznam11">
    <w:name w:val="Střední seznam 11"/>
    <w:basedOn w:val="Normlntabulka"/>
    <w:uiPriority w:val="65"/>
    <w:rsid w:val="003479A5"/>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Stednstnovn1zvraznn11">
    <w:name w:val="Střední stínování 1 – zvýraznění 11"/>
    <w:basedOn w:val="Normlntabulka"/>
    <w:uiPriority w:val="63"/>
    <w:rsid w:val="003479A5"/>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Barevnmka1">
    <w:name w:val="Barevná mřížka1"/>
    <w:basedOn w:val="Normlntabulka"/>
    <w:uiPriority w:val="73"/>
    <w:rsid w:val="003479A5"/>
    <w:rPr>
      <w:color w:val="000000"/>
    </w:rPr>
    <w:tblPr>
      <w:tblStyleRowBandSize w:val="1"/>
      <w:tblStyleColBandSize w:val="1"/>
      <w:tblBorders>
        <w:insideH w:val="single" w:sz="4" w:space="0" w:color="FFFFFF"/>
      </w:tblBorders>
    </w:tblPr>
    <w:tcPr>
      <w:shd w:val="clear" w:color="auto" w:fill="CCCCCC"/>
    </w:tcPr>
    <w:tblStylePr w:type="firstRow">
      <w:rPr>
        <w:b/>
        <w:bCs/>
      </w:rPr>
      <w:tblPr/>
      <w:tcPr>
        <w:shd w:val="clear" w:color="auto" w:fill="999999"/>
      </w:tcPr>
    </w:tblStylePr>
    <w:tblStylePr w:type="lastRow">
      <w:rPr>
        <w:b/>
        <w:bCs/>
        <w:color w:val="000000"/>
      </w:rPr>
      <w:tblPr/>
      <w:tcPr>
        <w:shd w:val="clear" w:color="auto" w:fill="999999"/>
      </w:tcPr>
    </w:tblStylePr>
    <w:tblStylePr w:type="firstCol">
      <w:rPr>
        <w:color w:val="FFFFFF"/>
      </w:rPr>
      <w:tblPr/>
      <w:tcPr>
        <w:shd w:val="clear" w:color="auto" w:fill="000000"/>
      </w:tcPr>
    </w:tblStylePr>
    <w:tblStylePr w:type="lastCol">
      <w:rPr>
        <w:color w:val="FFFFFF"/>
      </w:rPr>
      <w:tblPr/>
      <w:tcPr>
        <w:shd w:val="clear" w:color="auto" w:fill="000000"/>
      </w:tcPr>
    </w:tblStylePr>
    <w:tblStylePr w:type="band1Vert">
      <w:tblPr/>
      <w:tcPr>
        <w:shd w:val="clear" w:color="auto" w:fill="808080"/>
      </w:tcPr>
    </w:tblStylePr>
    <w:tblStylePr w:type="band1Horz">
      <w:tblPr/>
      <w:tcPr>
        <w:shd w:val="clear" w:color="auto" w:fill="808080"/>
      </w:tcPr>
    </w:tblStylePr>
  </w:style>
  <w:style w:type="table" w:styleId="Motivtabulky">
    <w:name w:val="Table Theme"/>
    <w:basedOn w:val="Normlntabulka"/>
    <w:rsid w:val="00E52F29"/>
    <w:pPr>
      <w:spacing w:before="120" w:after="120"/>
      <w:ind w:left="851"/>
    </w:pPr>
    <w:tblPr>
      <w:tblBorders>
        <w:top w:val="single" w:sz="4" w:space="0" w:color="auto"/>
        <w:bottom w:val="single" w:sz="4" w:space="0" w:color="auto"/>
        <w:insideH w:val="single" w:sz="4" w:space="0" w:color="auto"/>
      </w:tblBorders>
    </w:tblPr>
  </w:style>
  <w:style w:type="paragraph" w:customStyle="1" w:styleId="podpsmeno">
    <w:name w:val="podpísmeno"/>
    <w:basedOn w:val="Normln"/>
    <w:link w:val="podpsmenoChar"/>
    <w:qFormat/>
    <w:rsid w:val="00B80182"/>
    <w:pPr>
      <w:tabs>
        <w:tab w:val="left" w:pos="851"/>
      </w:tabs>
      <w:autoSpaceDE w:val="0"/>
      <w:autoSpaceDN w:val="0"/>
      <w:adjustRightInd w:val="0"/>
      <w:spacing w:line="276" w:lineRule="auto"/>
      <w:ind w:left="0"/>
    </w:pPr>
    <w:rPr>
      <w:rFonts w:ascii="Arial" w:eastAsia="Arial" w:hAnsi="Arial"/>
      <w:sz w:val="22"/>
      <w:szCs w:val="22"/>
      <w:lang w:eastAsia="en-US"/>
    </w:rPr>
  </w:style>
  <w:style w:type="character" w:customStyle="1" w:styleId="podpsmenoChar">
    <w:name w:val="podpísmeno Char"/>
    <w:link w:val="podpsmeno"/>
    <w:rsid w:val="00B80182"/>
    <w:rPr>
      <w:rFonts w:ascii="Arial" w:eastAsia="Arial" w:hAnsi="Arial"/>
      <w:sz w:val="22"/>
      <w:szCs w:val="22"/>
      <w:lang w:eastAsia="en-US"/>
    </w:rPr>
  </w:style>
  <w:style w:type="paragraph" w:customStyle="1" w:styleId="Default">
    <w:name w:val="Default"/>
    <w:rsid w:val="00B80182"/>
    <w:pPr>
      <w:autoSpaceDE w:val="0"/>
      <w:autoSpaceDN w:val="0"/>
      <w:adjustRightInd w:val="0"/>
    </w:pPr>
    <w:rPr>
      <w:rFonts w:ascii="Times New Roman" w:eastAsia="Calibri" w:hAnsi="Times New Roman"/>
      <w:color w:val="000000"/>
      <w:sz w:val="24"/>
      <w:szCs w:val="24"/>
      <w:lang w:eastAsia="en-US"/>
    </w:rPr>
  </w:style>
  <w:style w:type="paragraph" w:customStyle="1" w:styleId="Nadpiscislovany">
    <w:name w:val="Nadpis_cislovany"/>
    <w:basedOn w:val="Normln"/>
    <w:rsid w:val="00657A2F"/>
    <w:pPr>
      <w:numPr>
        <w:numId w:val="2"/>
      </w:numPr>
      <w:tabs>
        <w:tab w:val="left" w:pos="851"/>
      </w:tabs>
      <w:ind w:left="851" w:hanging="851"/>
    </w:pPr>
    <w:rPr>
      <w:b/>
      <w:sz w:val="20"/>
      <w:szCs w:val="20"/>
    </w:rPr>
  </w:style>
  <w:style w:type="paragraph" w:customStyle="1" w:styleId="Prvky">
    <w:name w:val="Prvky"/>
    <w:basedOn w:val="Normln"/>
    <w:next w:val="Normln"/>
    <w:qFormat/>
    <w:rsid w:val="005D1B2E"/>
    <w:pPr>
      <w:tabs>
        <w:tab w:val="left" w:pos="851"/>
      </w:tabs>
      <w:ind w:left="0"/>
    </w:pPr>
    <w:rPr>
      <w:b/>
      <w:sz w:val="20"/>
    </w:rPr>
  </w:style>
  <w:style w:type="paragraph" w:customStyle="1" w:styleId="Normln0">
    <w:name w:val="Norm‡ln’"/>
    <w:uiPriority w:val="99"/>
    <w:rsid w:val="00BE3A14"/>
    <w:pPr>
      <w:suppressAutoHyphens/>
    </w:pPr>
    <w:rPr>
      <w:rFonts w:ascii="Times New Roman" w:eastAsia="Arial" w:hAnsi="Times New Roman" w:cs="MS Serif"/>
      <w:lang w:eastAsia="ar-SA"/>
    </w:rPr>
  </w:style>
  <w:style w:type="paragraph" w:styleId="Normlnweb">
    <w:name w:val="Normal (Web)"/>
    <w:basedOn w:val="Normln"/>
    <w:uiPriority w:val="99"/>
    <w:unhideWhenUsed/>
    <w:rsid w:val="000F7E39"/>
    <w:pPr>
      <w:spacing w:before="100" w:beforeAutospacing="1" w:after="100" w:afterAutospacing="1"/>
      <w:ind w:left="0"/>
    </w:pPr>
    <w:rPr>
      <w:rFonts w:ascii="Times New Roman" w:hAnsi="Times New Roman"/>
      <w:sz w:val="24"/>
    </w:rPr>
  </w:style>
  <w:style w:type="character" w:customStyle="1" w:styleId="easyimgcaption">
    <w:name w:val="easy_img_caption"/>
    <w:basedOn w:val="Standardnpsmoodstavce"/>
    <w:rsid w:val="00C7028E"/>
  </w:style>
  <w:style w:type="character" w:customStyle="1" w:styleId="easyimgcaptioninner">
    <w:name w:val="easy_img_caption_inner"/>
    <w:basedOn w:val="Standardnpsmoodstavce"/>
    <w:rsid w:val="00C7028E"/>
  </w:style>
  <w:style w:type="paragraph" w:customStyle="1" w:styleId="Textdokumentu">
    <w:name w:val="Text dokumentu"/>
    <w:basedOn w:val="Normln"/>
    <w:rsid w:val="005B5441"/>
    <w:pPr>
      <w:ind w:left="0"/>
    </w:pPr>
    <w:rPr>
      <w:rFonts w:ascii="Times New Roman" w:hAnsi="Times New Roman"/>
      <w:sz w:val="24"/>
      <w:szCs w:val="20"/>
    </w:rPr>
  </w:style>
  <w:style w:type="paragraph" w:styleId="Prosttext">
    <w:name w:val="Plain Text"/>
    <w:basedOn w:val="Normln"/>
    <w:link w:val="ProsttextChar"/>
    <w:rsid w:val="00AC030A"/>
    <w:pPr>
      <w:ind w:left="0"/>
    </w:pPr>
    <w:rPr>
      <w:rFonts w:ascii="Courier New" w:hAnsi="Courier New"/>
      <w:sz w:val="20"/>
      <w:szCs w:val="20"/>
    </w:rPr>
  </w:style>
  <w:style w:type="character" w:customStyle="1" w:styleId="ProsttextChar">
    <w:name w:val="Prostý text Char"/>
    <w:link w:val="Prosttext"/>
    <w:rsid w:val="00AC030A"/>
    <w:rPr>
      <w:rFonts w:ascii="Courier New" w:hAnsi="Courier New"/>
    </w:rPr>
  </w:style>
  <w:style w:type="paragraph" w:styleId="Zkladntext">
    <w:name w:val="Body Text"/>
    <w:basedOn w:val="Normln"/>
    <w:link w:val="ZkladntextChar"/>
    <w:uiPriority w:val="1"/>
    <w:qFormat/>
    <w:rsid w:val="00AC030A"/>
    <w:pPr>
      <w:numPr>
        <w:ilvl w:val="12"/>
      </w:numPr>
      <w:ind w:left="851"/>
    </w:pPr>
    <w:rPr>
      <w:rFonts w:ascii="Times New Roman" w:hAnsi="Times New Roman"/>
      <w:sz w:val="24"/>
      <w:szCs w:val="20"/>
    </w:rPr>
  </w:style>
  <w:style w:type="character" w:customStyle="1" w:styleId="ZkladntextChar">
    <w:name w:val="Základní text Char"/>
    <w:link w:val="Zkladntext"/>
    <w:rsid w:val="00AC030A"/>
    <w:rPr>
      <w:rFonts w:ascii="Times New Roman" w:hAnsi="Times New Roman"/>
      <w:sz w:val="24"/>
    </w:rPr>
  </w:style>
  <w:style w:type="paragraph" w:customStyle="1" w:styleId="address">
    <w:name w:val="address"/>
    <w:basedOn w:val="Normln"/>
    <w:rsid w:val="00002854"/>
    <w:pPr>
      <w:spacing w:before="100" w:beforeAutospacing="1" w:after="100" w:afterAutospacing="1"/>
      <w:ind w:left="0"/>
    </w:pPr>
    <w:rPr>
      <w:rFonts w:ascii="Times New Roman" w:hAnsi="Times New Roman"/>
      <w:sz w:val="24"/>
    </w:rPr>
  </w:style>
  <w:style w:type="paragraph" w:customStyle="1" w:styleId="Nadpis02">
    <w:name w:val="Nadpis 02"/>
    <w:basedOn w:val="Normln"/>
    <w:next w:val="Normln"/>
    <w:autoRedefine/>
    <w:rsid w:val="008127FF"/>
    <w:pPr>
      <w:keepNext/>
      <w:spacing w:before="160"/>
      <w:ind w:left="0"/>
    </w:pPr>
    <w:rPr>
      <w:rFonts w:ascii="Arial" w:hAnsi="Arial"/>
      <w:caps/>
      <w:sz w:val="32"/>
      <w:szCs w:val="32"/>
    </w:rPr>
  </w:style>
  <w:style w:type="paragraph" w:customStyle="1" w:styleId="Nadpis01">
    <w:name w:val="Nadpis 01"/>
    <w:next w:val="Normln"/>
    <w:autoRedefine/>
    <w:rsid w:val="00EE1E92"/>
    <w:pPr>
      <w:keepNext/>
      <w:spacing w:after="120"/>
    </w:pPr>
    <w:rPr>
      <w:rFonts w:ascii="Arial" w:hAnsi="Arial"/>
      <w:b/>
      <w:caps/>
      <w:sz w:val="32"/>
      <w:szCs w:val="32"/>
    </w:rPr>
  </w:style>
  <w:style w:type="paragraph" w:customStyle="1" w:styleId="Nadpis03">
    <w:name w:val="Nadpis 03"/>
    <w:basedOn w:val="Nadpis01"/>
    <w:next w:val="Normal01"/>
    <w:autoRedefine/>
    <w:rsid w:val="00EE1E92"/>
    <w:pPr>
      <w:spacing w:before="160" w:after="80"/>
    </w:pPr>
    <w:rPr>
      <w:b w:val="0"/>
      <w:spacing w:val="-18"/>
      <w:sz w:val="24"/>
    </w:rPr>
  </w:style>
  <w:style w:type="paragraph" w:customStyle="1" w:styleId="Normal01">
    <w:name w:val="Normal 01"/>
    <w:basedOn w:val="Normln"/>
    <w:rsid w:val="00EE1E92"/>
    <w:pPr>
      <w:suppressAutoHyphens/>
      <w:ind w:left="0"/>
    </w:pPr>
    <w:rPr>
      <w:rFonts w:ascii="Arial" w:hAnsi="Arial" w:cs="Arial"/>
      <w:color w:val="000000"/>
      <w:spacing w:val="-2"/>
      <w:sz w:val="22"/>
      <w:szCs w:val="20"/>
    </w:rPr>
  </w:style>
  <w:style w:type="paragraph" w:customStyle="1" w:styleId="H1">
    <w:name w:val="H1"/>
    <w:basedOn w:val="Normln"/>
    <w:next w:val="Normln"/>
    <w:rsid w:val="00EE1E92"/>
    <w:pPr>
      <w:keepNext/>
      <w:widowControl w:val="0"/>
      <w:spacing w:before="60" w:after="60"/>
      <w:ind w:left="0"/>
      <w:outlineLvl w:val="1"/>
    </w:pPr>
    <w:rPr>
      <w:rFonts w:ascii="Times New Roman" w:hAnsi="Times New Roman" w:cs="Arial"/>
      <w:b/>
      <w:snapToGrid w:val="0"/>
      <w:color w:val="000000"/>
      <w:spacing w:val="-2"/>
      <w:kern w:val="36"/>
      <w:sz w:val="24"/>
      <w:szCs w:val="22"/>
    </w:rPr>
  </w:style>
  <w:style w:type="paragraph" w:customStyle="1" w:styleId="DefinitionTerm">
    <w:name w:val="Definition Term"/>
    <w:basedOn w:val="Normln"/>
    <w:next w:val="Normln"/>
    <w:rsid w:val="00EE1E92"/>
    <w:pPr>
      <w:widowControl w:val="0"/>
      <w:ind w:left="0"/>
    </w:pPr>
    <w:rPr>
      <w:rFonts w:ascii="Times New Roman" w:hAnsi="Times New Roman" w:cs="Arial"/>
      <w:snapToGrid w:val="0"/>
      <w:color w:val="000000"/>
      <w:spacing w:val="-2"/>
      <w:sz w:val="24"/>
      <w:szCs w:val="22"/>
    </w:rPr>
  </w:style>
  <w:style w:type="character" w:styleId="Odkaznakoment">
    <w:name w:val="annotation reference"/>
    <w:basedOn w:val="Standardnpsmoodstavce"/>
    <w:uiPriority w:val="99"/>
    <w:rsid w:val="00F27E77"/>
    <w:rPr>
      <w:sz w:val="16"/>
      <w:szCs w:val="16"/>
    </w:rPr>
  </w:style>
  <w:style w:type="paragraph" w:styleId="Textkomente">
    <w:name w:val="annotation text"/>
    <w:basedOn w:val="Normln"/>
    <w:link w:val="TextkomenteChar"/>
    <w:uiPriority w:val="99"/>
    <w:rsid w:val="00F27E77"/>
    <w:rPr>
      <w:sz w:val="20"/>
      <w:szCs w:val="20"/>
    </w:rPr>
  </w:style>
  <w:style w:type="character" w:customStyle="1" w:styleId="TextkomenteChar">
    <w:name w:val="Text komentáře Char"/>
    <w:basedOn w:val="Standardnpsmoodstavce"/>
    <w:link w:val="Textkomente"/>
    <w:uiPriority w:val="99"/>
    <w:rsid w:val="00F27E77"/>
  </w:style>
  <w:style w:type="paragraph" w:styleId="Pedmtkomente">
    <w:name w:val="annotation subject"/>
    <w:basedOn w:val="Textkomente"/>
    <w:next w:val="Textkomente"/>
    <w:link w:val="PedmtkomenteChar"/>
    <w:rsid w:val="00F27E77"/>
    <w:rPr>
      <w:b/>
      <w:bCs/>
    </w:rPr>
  </w:style>
  <w:style w:type="character" w:customStyle="1" w:styleId="PedmtkomenteChar">
    <w:name w:val="Předmět komentáře Char"/>
    <w:basedOn w:val="TextkomenteChar"/>
    <w:link w:val="Pedmtkomente"/>
    <w:rsid w:val="00F27E77"/>
    <w:rPr>
      <w:b/>
      <w:bCs/>
    </w:rPr>
  </w:style>
  <w:style w:type="paragraph" w:styleId="Textbubliny">
    <w:name w:val="Balloon Text"/>
    <w:basedOn w:val="Normln"/>
    <w:link w:val="TextbublinyChar"/>
    <w:rsid w:val="00F27E77"/>
    <w:rPr>
      <w:rFonts w:ascii="Tahoma" w:hAnsi="Tahoma" w:cs="Tahoma"/>
      <w:sz w:val="16"/>
      <w:szCs w:val="16"/>
    </w:rPr>
  </w:style>
  <w:style w:type="character" w:customStyle="1" w:styleId="TextbublinyChar">
    <w:name w:val="Text bubliny Char"/>
    <w:basedOn w:val="Standardnpsmoodstavce"/>
    <w:link w:val="Textbubliny"/>
    <w:rsid w:val="00F27E77"/>
    <w:rPr>
      <w:rFonts w:ascii="Tahoma" w:hAnsi="Tahoma" w:cs="Tahoma"/>
      <w:sz w:val="16"/>
      <w:szCs w:val="16"/>
    </w:rPr>
  </w:style>
  <w:style w:type="paragraph" w:styleId="Odstavecseseznamem">
    <w:name w:val="List Paragraph"/>
    <w:basedOn w:val="Normln"/>
    <w:link w:val="OdstavecseseznamemChar"/>
    <w:uiPriority w:val="1"/>
    <w:qFormat/>
    <w:rsid w:val="004619D1"/>
    <w:pPr>
      <w:ind w:left="720"/>
      <w:contextualSpacing/>
    </w:pPr>
  </w:style>
  <w:style w:type="character" w:styleId="Zstupntext">
    <w:name w:val="Placeholder Text"/>
    <w:basedOn w:val="Standardnpsmoodstavce"/>
    <w:uiPriority w:val="99"/>
    <w:semiHidden/>
    <w:rsid w:val="00743777"/>
    <w:rPr>
      <w:color w:val="808080"/>
    </w:rPr>
  </w:style>
  <w:style w:type="character" w:customStyle="1" w:styleId="Zkladntext2">
    <w:name w:val="Základní text2"/>
    <w:basedOn w:val="Standardnpsmoodstavce"/>
    <w:rsid w:val="0096042D"/>
    <w:rPr>
      <w:rFonts w:ascii="Arial" w:eastAsia="Arial" w:hAnsi="Arial" w:cs="Arial"/>
      <w:b w:val="0"/>
      <w:bCs w:val="0"/>
      <w:i w:val="0"/>
      <w:iCs w:val="0"/>
      <w:smallCaps w:val="0"/>
      <w:strike w:val="0"/>
      <w:spacing w:val="0"/>
      <w:sz w:val="22"/>
      <w:szCs w:val="22"/>
    </w:rPr>
  </w:style>
  <w:style w:type="paragraph" w:customStyle="1" w:styleId="Podnadpis1">
    <w:name w:val="Podnadpis1"/>
    <w:basedOn w:val="Citt"/>
    <w:next w:val="Normln"/>
    <w:link w:val="PodnadpisChar"/>
    <w:qFormat/>
    <w:rsid w:val="00754BA3"/>
    <w:pPr>
      <w:spacing w:after="240"/>
      <w:jc w:val="left"/>
    </w:pPr>
  </w:style>
  <w:style w:type="character" w:customStyle="1" w:styleId="PodnadpisChar">
    <w:name w:val="Podnadpis Char"/>
    <w:basedOn w:val="CittChar"/>
    <w:link w:val="Podnadpis1"/>
    <w:rsid w:val="00754BA3"/>
    <w:rPr>
      <w:iCs/>
      <w:color w:val="000000"/>
      <w:sz w:val="14"/>
      <w:szCs w:val="24"/>
    </w:rPr>
  </w:style>
  <w:style w:type="character" w:customStyle="1" w:styleId="ZpatChar">
    <w:name w:val="Zápatí Char"/>
    <w:basedOn w:val="Standardnpsmoodstavce"/>
    <w:link w:val="Zpat"/>
    <w:rsid w:val="000D185A"/>
    <w:rPr>
      <w:sz w:val="18"/>
      <w:szCs w:val="24"/>
    </w:rPr>
  </w:style>
  <w:style w:type="paragraph" w:customStyle="1" w:styleId="Statement1">
    <w:name w:val="Statement 1"/>
    <w:basedOn w:val="Normln"/>
    <w:next w:val="Normln"/>
    <w:link w:val="Statement1Char"/>
    <w:qFormat/>
    <w:rsid w:val="000D185A"/>
    <w:rPr>
      <w:sz w:val="28"/>
    </w:rPr>
  </w:style>
  <w:style w:type="paragraph" w:customStyle="1" w:styleId="Statement2">
    <w:name w:val="Statement 2"/>
    <w:basedOn w:val="Normln"/>
    <w:next w:val="Normln"/>
    <w:link w:val="Statement2Char"/>
    <w:qFormat/>
    <w:rsid w:val="000D185A"/>
    <w:rPr>
      <w:sz w:val="24"/>
    </w:rPr>
  </w:style>
  <w:style w:type="character" w:customStyle="1" w:styleId="Statement1Char">
    <w:name w:val="Statement 1 Char"/>
    <w:basedOn w:val="Standardnpsmoodstavce"/>
    <w:link w:val="Statement1"/>
    <w:rsid w:val="000D185A"/>
    <w:rPr>
      <w:sz w:val="28"/>
      <w:szCs w:val="24"/>
    </w:rPr>
  </w:style>
  <w:style w:type="character" w:customStyle="1" w:styleId="Statement2Char">
    <w:name w:val="Statement 2 Char"/>
    <w:basedOn w:val="Standardnpsmoodstavce"/>
    <w:link w:val="Statement2"/>
    <w:rsid w:val="000D185A"/>
    <w:rPr>
      <w:sz w:val="24"/>
      <w:szCs w:val="24"/>
    </w:rPr>
  </w:style>
  <w:style w:type="paragraph" w:customStyle="1" w:styleId="Nadpis04">
    <w:name w:val="Nadpis 04"/>
    <w:basedOn w:val="Normal01"/>
    <w:next w:val="Normal01"/>
    <w:autoRedefine/>
    <w:rsid w:val="009C1A7F"/>
    <w:pPr>
      <w:spacing w:before="240"/>
    </w:pPr>
    <w:rPr>
      <w:b/>
      <w:sz w:val="26"/>
    </w:rPr>
  </w:style>
  <w:style w:type="paragraph" w:styleId="Nadpisobsahu">
    <w:name w:val="TOC Heading"/>
    <w:basedOn w:val="Nadpis1"/>
    <w:next w:val="Normln"/>
    <w:uiPriority w:val="39"/>
    <w:unhideWhenUsed/>
    <w:qFormat/>
    <w:rsid w:val="00DE604E"/>
    <w:pPr>
      <w:keepLines/>
      <w:numPr>
        <w:numId w:val="0"/>
      </w:numPr>
      <w:spacing w:before="240" w:line="259" w:lineRule="auto"/>
      <w:outlineLvl w:val="9"/>
    </w:pPr>
    <w:rPr>
      <w:rFonts w:asciiTheme="majorHAnsi" w:eastAsiaTheme="majorEastAsia" w:hAnsiTheme="majorHAnsi" w:cstheme="majorBidi"/>
      <w:bCs w:val="0"/>
      <w:color w:val="365F91" w:themeColor="accent1" w:themeShade="BF"/>
      <w:kern w:val="0"/>
    </w:rPr>
  </w:style>
  <w:style w:type="paragraph" w:styleId="Obsah3">
    <w:name w:val="toc 3"/>
    <w:basedOn w:val="Normln"/>
    <w:next w:val="Normln"/>
    <w:autoRedefine/>
    <w:uiPriority w:val="39"/>
    <w:unhideWhenUsed/>
    <w:qFormat/>
    <w:rsid w:val="00033969"/>
    <w:pPr>
      <w:tabs>
        <w:tab w:val="left" w:pos="993"/>
        <w:tab w:val="right" w:pos="8504"/>
      </w:tabs>
      <w:ind w:left="357"/>
      <w:contextualSpacing/>
    </w:pPr>
    <w:rPr>
      <w:rFonts w:asciiTheme="minorHAnsi" w:hAnsiTheme="minorHAnsi"/>
      <w:sz w:val="20"/>
      <w:szCs w:val="20"/>
    </w:rPr>
  </w:style>
  <w:style w:type="paragraph" w:customStyle="1" w:styleId="Normlnslovan">
    <w:name w:val="Normální číslovaný"/>
    <w:basedOn w:val="Normlnbezmezer"/>
    <w:link w:val="NormlnslovanChar"/>
    <w:qFormat/>
    <w:rsid w:val="00FC3235"/>
    <w:pPr>
      <w:ind w:hanging="425"/>
    </w:pPr>
  </w:style>
  <w:style w:type="character" w:customStyle="1" w:styleId="NormlnslovanChar">
    <w:name w:val="Normální číslovaný Char"/>
    <w:basedOn w:val="Standardnpsmoodstavce"/>
    <w:link w:val="Normlnslovan"/>
    <w:rsid w:val="00FC3235"/>
    <w:rPr>
      <w:sz w:val="18"/>
      <w:szCs w:val="24"/>
    </w:rPr>
  </w:style>
  <w:style w:type="table" w:customStyle="1" w:styleId="Svtltabulkasmkou11">
    <w:name w:val="Světlá tabulka s mřížkou 11"/>
    <w:basedOn w:val="Normlntabulka"/>
    <w:uiPriority w:val="46"/>
    <w:rsid w:val="00A10F56"/>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customStyle="1" w:styleId="Prosttabulka21">
    <w:name w:val="Prostá tabulka 21"/>
    <w:aliases w:val="Prostá tabulka 01"/>
    <w:basedOn w:val="Normlntabulka"/>
    <w:uiPriority w:val="42"/>
    <w:rsid w:val="00345F14"/>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paragraph" w:styleId="Obsah4">
    <w:name w:val="toc 4"/>
    <w:basedOn w:val="Normln"/>
    <w:next w:val="Normln"/>
    <w:autoRedefine/>
    <w:uiPriority w:val="39"/>
    <w:unhideWhenUsed/>
    <w:qFormat/>
    <w:rsid w:val="00403984"/>
    <w:pPr>
      <w:ind w:left="540"/>
    </w:pPr>
    <w:rPr>
      <w:rFonts w:asciiTheme="minorHAnsi" w:hAnsiTheme="minorHAnsi"/>
      <w:sz w:val="20"/>
      <w:szCs w:val="20"/>
    </w:rPr>
  </w:style>
  <w:style w:type="paragraph" w:styleId="Obsah5">
    <w:name w:val="toc 5"/>
    <w:basedOn w:val="Normln"/>
    <w:next w:val="Normln"/>
    <w:autoRedefine/>
    <w:uiPriority w:val="39"/>
    <w:unhideWhenUsed/>
    <w:qFormat/>
    <w:rsid w:val="00403984"/>
    <w:pPr>
      <w:ind w:left="720"/>
    </w:pPr>
    <w:rPr>
      <w:rFonts w:asciiTheme="minorHAnsi" w:hAnsiTheme="minorHAnsi"/>
      <w:sz w:val="20"/>
      <w:szCs w:val="20"/>
    </w:rPr>
  </w:style>
  <w:style w:type="paragraph" w:styleId="Obsah6">
    <w:name w:val="toc 6"/>
    <w:basedOn w:val="Normln"/>
    <w:next w:val="Normln"/>
    <w:autoRedefine/>
    <w:uiPriority w:val="39"/>
    <w:unhideWhenUsed/>
    <w:qFormat/>
    <w:rsid w:val="00403984"/>
    <w:pPr>
      <w:ind w:left="900"/>
    </w:pPr>
    <w:rPr>
      <w:rFonts w:asciiTheme="minorHAnsi" w:hAnsiTheme="minorHAnsi"/>
      <w:sz w:val="20"/>
      <w:szCs w:val="20"/>
    </w:rPr>
  </w:style>
  <w:style w:type="paragraph" w:styleId="Obsah7">
    <w:name w:val="toc 7"/>
    <w:basedOn w:val="Normln"/>
    <w:next w:val="Normln"/>
    <w:autoRedefine/>
    <w:uiPriority w:val="39"/>
    <w:unhideWhenUsed/>
    <w:qFormat/>
    <w:rsid w:val="00403984"/>
    <w:pPr>
      <w:ind w:left="1080"/>
    </w:pPr>
    <w:rPr>
      <w:rFonts w:asciiTheme="minorHAnsi" w:hAnsiTheme="minorHAnsi"/>
      <w:sz w:val="20"/>
      <w:szCs w:val="20"/>
    </w:rPr>
  </w:style>
  <w:style w:type="paragraph" w:styleId="Obsah8">
    <w:name w:val="toc 8"/>
    <w:basedOn w:val="Normln"/>
    <w:next w:val="Normln"/>
    <w:autoRedefine/>
    <w:uiPriority w:val="39"/>
    <w:unhideWhenUsed/>
    <w:rsid w:val="00403984"/>
    <w:pPr>
      <w:ind w:left="1260"/>
    </w:pPr>
    <w:rPr>
      <w:rFonts w:asciiTheme="minorHAnsi" w:hAnsiTheme="minorHAnsi"/>
      <w:sz w:val="20"/>
      <w:szCs w:val="20"/>
    </w:rPr>
  </w:style>
  <w:style w:type="paragraph" w:styleId="Obsah9">
    <w:name w:val="toc 9"/>
    <w:basedOn w:val="Normln"/>
    <w:next w:val="Normln"/>
    <w:autoRedefine/>
    <w:uiPriority w:val="39"/>
    <w:unhideWhenUsed/>
    <w:rsid w:val="00403984"/>
    <w:pPr>
      <w:ind w:left="1440"/>
    </w:pPr>
    <w:rPr>
      <w:rFonts w:asciiTheme="minorHAnsi" w:hAnsiTheme="minorHAnsi"/>
      <w:sz w:val="20"/>
      <w:szCs w:val="20"/>
    </w:rPr>
  </w:style>
  <w:style w:type="table" w:styleId="Svtltabulkasmkou1">
    <w:name w:val="Grid Table 1 Light"/>
    <w:basedOn w:val="Normlntabulka"/>
    <w:uiPriority w:val="46"/>
    <w:rsid w:val="00C61BAB"/>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Prosttabulka2">
    <w:name w:val="Plain Table 2"/>
    <w:basedOn w:val="Normlntabulka"/>
    <w:uiPriority w:val="42"/>
    <w:rsid w:val="00C61BAB"/>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paragraph" w:styleId="Zkladntextodsazen">
    <w:name w:val="Body Text Indent"/>
    <w:basedOn w:val="Normln"/>
    <w:link w:val="ZkladntextodsazenChar"/>
    <w:unhideWhenUsed/>
    <w:rsid w:val="00DC002D"/>
    <w:pPr>
      <w:spacing w:after="120"/>
      <w:ind w:left="283"/>
    </w:pPr>
  </w:style>
  <w:style w:type="character" w:customStyle="1" w:styleId="ZkladntextodsazenChar">
    <w:name w:val="Základní text odsazený Char"/>
    <w:basedOn w:val="Standardnpsmoodstavce"/>
    <w:link w:val="Zkladntextodsazen"/>
    <w:rsid w:val="00DC002D"/>
    <w:rPr>
      <w:sz w:val="18"/>
      <w:szCs w:val="24"/>
    </w:rPr>
  </w:style>
  <w:style w:type="paragraph" w:styleId="Bezmezer">
    <w:name w:val="No Spacing"/>
    <w:link w:val="BezmezerChar"/>
    <w:uiPriority w:val="1"/>
    <w:qFormat/>
    <w:rsid w:val="00DA3777"/>
    <w:rPr>
      <w:rFonts w:eastAsia="Calibri" w:cs="Calibri"/>
      <w:sz w:val="22"/>
      <w:szCs w:val="22"/>
      <w:lang w:eastAsia="en-US"/>
    </w:rPr>
  </w:style>
  <w:style w:type="paragraph" w:styleId="Zkladntext3">
    <w:name w:val="Body Text 3"/>
    <w:basedOn w:val="Normln"/>
    <w:link w:val="Zkladntext3Char"/>
    <w:semiHidden/>
    <w:unhideWhenUsed/>
    <w:rsid w:val="00C40D63"/>
    <w:pPr>
      <w:spacing w:after="120"/>
    </w:pPr>
    <w:rPr>
      <w:sz w:val="16"/>
      <w:szCs w:val="16"/>
    </w:rPr>
  </w:style>
  <w:style w:type="character" w:customStyle="1" w:styleId="Zkladntext3Char">
    <w:name w:val="Základní text 3 Char"/>
    <w:basedOn w:val="Standardnpsmoodstavce"/>
    <w:link w:val="Zkladntext3"/>
    <w:semiHidden/>
    <w:rsid w:val="00C40D63"/>
    <w:rPr>
      <w:sz w:val="16"/>
      <w:szCs w:val="16"/>
    </w:rPr>
  </w:style>
  <w:style w:type="character" w:customStyle="1" w:styleId="Zkladntext20">
    <w:name w:val="Základní text (2)_"/>
    <w:link w:val="Zkladntext21"/>
    <w:rsid w:val="00C40D63"/>
    <w:rPr>
      <w:rFonts w:cs="Calibri"/>
      <w:sz w:val="21"/>
      <w:szCs w:val="21"/>
      <w:shd w:val="clear" w:color="auto" w:fill="FFFFFF"/>
    </w:rPr>
  </w:style>
  <w:style w:type="paragraph" w:customStyle="1" w:styleId="Zkladntext21">
    <w:name w:val="Základní text (2)"/>
    <w:basedOn w:val="Normln"/>
    <w:link w:val="Zkladntext20"/>
    <w:rsid w:val="00C40D63"/>
    <w:pPr>
      <w:widowControl w:val="0"/>
      <w:shd w:val="clear" w:color="auto" w:fill="FFFFFF"/>
      <w:spacing w:line="0" w:lineRule="atLeast"/>
      <w:ind w:left="0"/>
    </w:pPr>
    <w:rPr>
      <w:rFonts w:cs="Calibri"/>
      <w:sz w:val="21"/>
      <w:szCs w:val="21"/>
    </w:rPr>
  </w:style>
  <w:style w:type="paragraph" w:customStyle="1" w:styleId="pipomnky">
    <w:name w:val="připomínky"/>
    <w:basedOn w:val="Odstavecseseznamem"/>
    <w:link w:val="pipomnkyChar"/>
    <w:qFormat/>
    <w:rsid w:val="00C40D63"/>
    <w:pPr>
      <w:spacing w:after="160" w:line="259" w:lineRule="auto"/>
      <w:ind w:left="709"/>
    </w:pPr>
    <w:rPr>
      <w:rFonts w:cs="Calibri"/>
      <w:i/>
      <w:sz w:val="20"/>
      <w:szCs w:val="20"/>
      <w:lang w:eastAsia="en-US"/>
    </w:rPr>
  </w:style>
  <w:style w:type="paragraph" w:customStyle="1" w:styleId="DOorganizace">
    <w:name w:val="DO + organizace"/>
    <w:basedOn w:val="Odstavecseseznamem"/>
    <w:link w:val="DOorganizaceChar"/>
    <w:qFormat/>
    <w:rsid w:val="00C40D63"/>
    <w:pPr>
      <w:numPr>
        <w:numId w:val="3"/>
      </w:numPr>
      <w:spacing w:after="160" w:line="259" w:lineRule="auto"/>
    </w:pPr>
    <w:rPr>
      <w:rFonts w:eastAsia="Calibri"/>
      <w:sz w:val="22"/>
      <w:szCs w:val="22"/>
      <w:u w:val="single"/>
      <w:lang w:eastAsia="en-US"/>
    </w:rPr>
  </w:style>
  <w:style w:type="character" w:customStyle="1" w:styleId="OdstavecseseznamemChar">
    <w:name w:val="Odstavec se seznamem Char"/>
    <w:link w:val="Odstavecseseznamem"/>
    <w:uiPriority w:val="1"/>
    <w:rsid w:val="004619D1"/>
    <w:rPr>
      <w:sz w:val="18"/>
      <w:szCs w:val="24"/>
    </w:rPr>
  </w:style>
  <w:style w:type="character" w:customStyle="1" w:styleId="pipomnkyChar">
    <w:name w:val="připomínky Char"/>
    <w:link w:val="pipomnky"/>
    <w:rsid w:val="00C40D63"/>
    <w:rPr>
      <w:rFonts w:cs="Calibri"/>
      <w:i/>
      <w:lang w:eastAsia="en-US"/>
    </w:rPr>
  </w:style>
  <w:style w:type="character" w:customStyle="1" w:styleId="DOorganizaceChar">
    <w:name w:val="DO + organizace Char"/>
    <w:link w:val="DOorganizace"/>
    <w:rsid w:val="00C40D63"/>
    <w:rPr>
      <w:rFonts w:eastAsia="Calibri"/>
      <w:sz w:val="22"/>
      <w:szCs w:val="22"/>
      <w:u w:val="single"/>
      <w:lang w:eastAsia="en-US"/>
    </w:rPr>
  </w:style>
  <w:style w:type="table" w:customStyle="1" w:styleId="TableNormal">
    <w:name w:val="Table Normal"/>
    <w:uiPriority w:val="2"/>
    <w:semiHidden/>
    <w:unhideWhenUsed/>
    <w:qFormat/>
    <w:rsid w:val="00A15BCE"/>
    <w:pPr>
      <w:widowControl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Normln"/>
    <w:uiPriority w:val="1"/>
    <w:qFormat/>
    <w:rsid w:val="00A15BCE"/>
    <w:pPr>
      <w:widowControl w:val="0"/>
      <w:ind w:left="0"/>
    </w:pPr>
    <w:rPr>
      <w:rFonts w:asciiTheme="minorHAnsi" w:eastAsiaTheme="minorHAnsi" w:hAnsiTheme="minorHAnsi" w:cstheme="minorBidi"/>
      <w:sz w:val="22"/>
      <w:szCs w:val="22"/>
      <w:lang w:val="en-US" w:eastAsia="en-US"/>
    </w:rPr>
  </w:style>
  <w:style w:type="table" w:customStyle="1" w:styleId="Mkatabulky1">
    <w:name w:val="Mřížka tabulky1"/>
    <w:basedOn w:val="Normlntabulka"/>
    <w:next w:val="Mkatabulky"/>
    <w:rsid w:val="00EF7848"/>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Mkatabulky2">
    <w:name w:val="Mřížka tabulky2"/>
    <w:basedOn w:val="Normlntabulka"/>
    <w:next w:val="Mkatabulky"/>
    <w:rsid w:val="00EF7848"/>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st">
    <w:name w:val="st"/>
    <w:basedOn w:val="Standardnpsmoodstavce"/>
    <w:rsid w:val="003E1719"/>
  </w:style>
  <w:style w:type="character" w:customStyle="1" w:styleId="gi">
    <w:name w:val="gi"/>
    <w:basedOn w:val="Standardnpsmoodstavce"/>
    <w:rsid w:val="005752B5"/>
  </w:style>
  <w:style w:type="character" w:customStyle="1" w:styleId="WW8Num4z7">
    <w:name w:val="WW8Num4z7"/>
    <w:rsid w:val="009C7051"/>
  </w:style>
  <w:style w:type="paragraph" w:customStyle="1" w:styleId="Import1">
    <w:name w:val="Import 1"/>
    <w:basedOn w:val="Normln"/>
    <w:rsid w:val="009C7051"/>
    <w:pPr>
      <w:widowControl w:val="0"/>
      <w:tabs>
        <w:tab w:val="left" w:pos="720"/>
        <w:tab w:val="left" w:pos="1584"/>
        <w:tab w:val="left" w:pos="2448"/>
        <w:tab w:val="left" w:pos="3312"/>
        <w:tab w:val="left" w:pos="4176"/>
        <w:tab w:val="left" w:pos="5040"/>
        <w:tab w:val="left" w:pos="5904"/>
        <w:tab w:val="left" w:pos="6768"/>
        <w:tab w:val="left" w:pos="7632"/>
        <w:tab w:val="left" w:pos="8496"/>
        <w:tab w:val="left" w:pos="9360"/>
        <w:tab w:val="left" w:pos="10224"/>
        <w:tab w:val="left" w:pos="11088"/>
        <w:tab w:val="left" w:pos="11952"/>
        <w:tab w:val="left" w:pos="12816"/>
        <w:tab w:val="left" w:pos="13680"/>
        <w:tab w:val="left" w:pos="14544"/>
        <w:tab w:val="left" w:pos="15408"/>
        <w:tab w:val="left" w:pos="16272"/>
        <w:tab w:val="left" w:pos="17136"/>
        <w:tab w:val="left" w:pos="18000"/>
        <w:tab w:val="left" w:pos="18864"/>
      </w:tabs>
      <w:suppressAutoHyphens/>
      <w:spacing w:line="288" w:lineRule="auto"/>
      <w:ind w:left="720"/>
    </w:pPr>
    <w:rPr>
      <w:rFonts w:ascii="Arial" w:eastAsia="Arial" w:hAnsi="Arial" w:cs="Arial"/>
      <w:sz w:val="24"/>
      <w:szCs w:val="20"/>
      <w:lang w:eastAsia="ar-SA"/>
    </w:rPr>
  </w:style>
  <w:style w:type="paragraph" w:customStyle="1" w:styleId="Odstavec">
    <w:name w:val="Odstavec"/>
    <w:basedOn w:val="Zkladntext"/>
    <w:uiPriority w:val="99"/>
    <w:rsid w:val="008C5917"/>
    <w:pPr>
      <w:numPr>
        <w:ilvl w:val="0"/>
      </w:numPr>
      <w:spacing w:after="115" w:line="288" w:lineRule="auto"/>
      <w:ind w:left="851" w:firstLine="480"/>
    </w:pPr>
    <w:rPr>
      <w:noProof/>
      <w:lang w:val="x-none"/>
    </w:rPr>
  </w:style>
  <w:style w:type="paragraph" w:customStyle="1" w:styleId="TXT-viceurovcis">
    <w:name w:val="TXT-viceurovcis"/>
    <w:basedOn w:val="Normln"/>
    <w:link w:val="TXT-viceurovcisChar"/>
    <w:qFormat/>
    <w:rsid w:val="008C5917"/>
    <w:pPr>
      <w:keepNext/>
      <w:tabs>
        <w:tab w:val="num" w:pos="397"/>
      </w:tabs>
      <w:spacing w:after="200" w:line="276" w:lineRule="auto"/>
      <w:ind w:left="397" w:hanging="397"/>
    </w:pPr>
    <w:rPr>
      <w:rFonts w:ascii="Arial" w:hAnsi="Arial"/>
      <w:sz w:val="24"/>
      <w:szCs w:val="20"/>
      <w:lang w:val="x-none" w:eastAsia="x-none"/>
    </w:rPr>
  </w:style>
  <w:style w:type="character" w:customStyle="1" w:styleId="TXT-viceurovcisChar">
    <w:name w:val="TXT-viceurovcis Char"/>
    <w:link w:val="TXT-viceurovcis"/>
    <w:locked/>
    <w:rsid w:val="008C5917"/>
    <w:rPr>
      <w:rFonts w:ascii="Arial" w:hAnsi="Arial"/>
      <w:sz w:val="24"/>
      <w:lang w:val="x-none" w:eastAsia="x-none"/>
    </w:rPr>
  </w:style>
  <w:style w:type="paragraph" w:customStyle="1" w:styleId="Odstavecseseznamem1">
    <w:name w:val="Odstavec se seznamem1"/>
    <w:basedOn w:val="Normln"/>
    <w:rsid w:val="008C5917"/>
    <w:pPr>
      <w:spacing w:after="200" w:line="276" w:lineRule="auto"/>
      <w:ind w:left="720"/>
      <w:contextualSpacing/>
    </w:pPr>
    <w:rPr>
      <w:rFonts w:ascii="Arial" w:hAnsi="Arial"/>
      <w:sz w:val="22"/>
      <w:szCs w:val="22"/>
      <w:lang w:val="en-US" w:eastAsia="en-US"/>
    </w:rPr>
  </w:style>
  <w:style w:type="paragraph" w:customStyle="1" w:styleId="Export4">
    <w:name w:val="Export 4"/>
    <w:basedOn w:val="Normln"/>
    <w:uiPriority w:val="99"/>
    <w:rsid w:val="008C5917"/>
    <w:pPr>
      <w:spacing w:after="200" w:line="276" w:lineRule="auto"/>
      <w:ind w:left="0" w:hanging="1"/>
    </w:pPr>
    <w:rPr>
      <w:rFonts w:ascii="Arial" w:hAnsi="Arial"/>
      <w:sz w:val="24"/>
      <w:szCs w:val="22"/>
      <w:lang w:val="en-US" w:eastAsia="en-US"/>
    </w:rPr>
  </w:style>
  <w:style w:type="paragraph" w:styleId="Nzev">
    <w:name w:val="Title"/>
    <w:basedOn w:val="Normln"/>
    <w:next w:val="Normln"/>
    <w:link w:val="NzevChar"/>
    <w:uiPriority w:val="10"/>
    <w:qFormat/>
    <w:rsid w:val="008C5917"/>
    <w:pPr>
      <w:spacing w:after="300"/>
      <w:ind w:left="0"/>
      <w:contextualSpacing/>
    </w:pPr>
    <w:rPr>
      <w:rFonts w:ascii="Arial" w:hAnsi="Arial"/>
      <w:smallCaps/>
      <w:sz w:val="52"/>
      <w:szCs w:val="52"/>
      <w:lang w:val="x-none" w:eastAsia="x-none"/>
    </w:rPr>
  </w:style>
  <w:style w:type="character" w:customStyle="1" w:styleId="NzevChar">
    <w:name w:val="Název Char"/>
    <w:basedOn w:val="Standardnpsmoodstavce"/>
    <w:link w:val="Nzev"/>
    <w:uiPriority w:val="10"/>
    <w:rsid w:val="008C5917"/>
    <w:rPr>
      <w:rFonts w:ascii="Arial" w:hAnsi="Arial"/>
      <w:smallCaps/>
      <w:sz w:val="52"/>
      <w:szCs w:val="52"/>
      <w:lang w:val="x-none" w:eastAsia="x-none"/>
    </w:rPr>
  </w:style>
  <w:style w:type="paragraph" w:customStyle="1" w:styleId="Bezmezer1">
    <w:name w:val="Bez mezer1"/>
    <w:basedOn w:val="Normln"/>
    <w:link w:val="NoSpacingChar"/>
    <w:rsid w:val="008C5917"/>
    <w:pPr>
      <w:ind w:left="0"/>
    </w:pPr>
    <w:rPr>
      <w:rFonts w:ascii="Arial" w:hAnsi="Arial"/>
      <w:sz w:val="22"/>
      <w:szCs w:val="22"/>
      <w:lang w:val="en-US" w:eastAsia="en-US"/>
    </w:rPr>
  </w:style>
  <w:style w:type="paragraph" w:customStyle="1" w:styleId="Citt1">
    <w:name w:val="Citát1"/>
    <w:basedOn w:val="Normln"/>
    <w:next w:val="Normln"/>
    <w:link w:val="QuoteChar"/>
    <w:rsid w:val="008C5917"/>
    <w:pPr>
      <w:spacing w:after="200" w:line="276" w:lineRule="auto"/>
      <w:ind w:left="0"/>
    </w:pPr>
    <w:rPr>
      <w:rFonts w:ascii="Arial" w:hAnsi="Arial"/>
      <w:i/>
      <w:iCs/>
      <w:sz w:val="20"/>
      <w:szCs w:val="20"/>
      <w:lang w:val="x-none" w:eastAsia="x-none"/>
    </w:rPr>
  </w:style>
  <w:style w:type="character" w:customStyle="1" w:styleId="QuoteChar">
    <w:name w:val="Quote Char"/>
    <w:link w:val="Citt1"/>
    <w:locked/>
    <w:rsid w:val="008C5917"/>
    <w:rPr>
      <w:rFonts w:ascii="Arial" w:hAnsi="Arial"/>
      <w:i/>
      <w:iCs/>
      <w:lang w:val="x-none" w:eastAsia="x-none"/>
    </w:rPr>
  </w:style>
  <w:style w:type="paragraph" w:customStyle="1" w:styleId="Vrazncitt1">
    <w:name w:val="Výrazný citát1"/>
    <w:basedOn w:val="Normln"/>
    <w:next w:val="Normln"/>
    <w:link w:val="IntenseQuoteChar"/>
    <w:rsid w:val="008C5917"/>
    <w:pPr>
      <w:pBdr>
        <w:top w:val="single" w:sz="4" w:space="10" w:color="auto"/>
        <w:bottom w:val="single" w:sz="4" w:space="10" w:color="auto"/>
      </w:pBdr>
      <w:spacing w:before="240" w:after="240" w:line="300" w:lineRule="auto"/>
      <w:ind w:left="1152" w:right="1152"/>
    </w:pPr>
    <w:rPr>
      <w:rFonts w:ascii="Arial" w:hAnsi="Arial"/>
      <w:i/>
      <w:iCs/>
      <w:sz w:val="20"/>
      <w:szCs w:val="20"/>
      <w:lang w:val="x-none" w:eastAsia="x-none"/>
    </w:rPr>
  </w:style>
  <w:style w:type="character" w:customStyle="1" w:styleId="IntenseQuoteChar">
    <w:name w:val="Intense Quote Char"/>
    <w:link w:val="Vrazncitt1"/>
    <w:locked/>
    <w:rsid w:val="008C5917"/>
    <w:rPr>
      <w:rFonts w:ascii="Arial" w:hAnsi="Arial"/>
      <w:i/>
      <w:iCs/>
      <w:lang w:val="x-none" w:eastAsia="x-none"/>
    </w:rPr>
  </w:style>
  <w:style w:type="character" w:customStyle="1" w:styleId="Zdraznnjemn1">
    <w:name w:val="Zdůraznění – jemné1"/>
    <w:rsid w:val="008C5917"/>
    <w:rPr>
      <w:rFonts w:cs="Times New Roman"/>
      <w:i/>
    </w:rPr>
  </w:style>
  <w:style w:type="character" w:customStyle="1" w:styleId="Zdraznnintenzivn1">
    <w:name w:val="Zdůraznění – intenzivní1"/>
    <w:rsid w:val="008C5917"/>
    <w:rPr>
      <w:rFonts w:cs="Times New Roman"/>
      <w:b/>
      <w:i/>
    </w:rPr>
  </w:style>
  <w:style w:type="character" w:customStyle="1" w:styleId="Odkazjemn1">
    <w:name w:val="Odkaz – jemný1"/>
    <w:rsid w:val="008C5917"/>
    <w:rPr>
      <w:rFonts w:cs="Times New Roman"/>
      <w:smallCaps/>
    </w:rPr>
  </w:style>
  <w:style w:type="character" w:customStyle="1" w:styleId="Odkazintenzivn1">
    <w:name w:val="Odkaz – intenzivní1"/>
    <w:rsid w:val="008C5917"/>
    <w:rPr>
      <w:rFonts w:cs="Times New Roman"/>
      <w:b/>
      <w:smallCaps/>
    </w:rPr>
  </w:style>
  <w:style w:type="character" w:customStyle="1" w:styleId="Nzevknihy1">
    <w:name w:val="Název knihy1"/>
    <w:rsid w:val="008C5917"/>
    <w:rPr>
      <w:rFonts w:cs="Times New Roman"/>
      <w:i/>
      <w:iCs/>
      <w:smallCaps/>
      <w:spacing w:val="5"/>
    </w:rPr>
  </w:style>
  <w:style w:type="paragraph" w:customStyle="1" w:styleId="Nadpisobsahu1">
    <w:name w:val="Nadpis obsahu1"/>
    <w:basedOn w:val="Nadpis1"/>
    <w:next w:val="Normln"/>
    <w:uiPriority w:val="99"/>
    <w:rsid w:val="008C5917"/>
    <w:pPr>
      <w:keepNext w:val="0"/>
      <w:spacing w:before="480" w:line="276" w:lineRule="auto"/>
      <w:ind w:left="0" w:firstLine="0"/>
      <w:contextualSpacing/>
      <w:outlineLvl w:val="9"/>
    </w:pPr>
    <w:rPr>
      <w:rFonts w:ascii="Arial" w:hAnsi="Arial"/>
      <w:b w:val="0"/>
      <w:bCs w:val="0"/>
      <w:smallCaps/>
      <w:spacing w:val="5"/>
      <w:kern w:val="0"/>
      <w:sz w:val="36"/>
      <w:szCs w:val="36"/>
      <w:lang w:val="x-none" w:eastAsia="x-none"/>
    </w:rPr>
  </w:style>
  <w:style w:type="paragraph" w:customStyle="1" w:styleId="Import2">
    <w:name w:val="Import 2"/>
    <w:basedOn w:val="Normln"/>
    <w:uiPriority w:val="99"/>
    <w:rsid w:val="008C5917"/>
    <w:pPr>
      <w:widowControl w:val="0"/>
      <w:tabs>
        <w:tab w:val="left" w:pos="720"/>
        <w:tab w:val="left" w:pos="1584"/>
        <w:tab w:val="left" w:pos="2448"/>
        <w:tab w:val="left" w:pos="3312"/>
        <w:tab w:val="left" w:pos="4176"/>
        <w:tab w:val="left" w:pos="5040"/>
        <w:tab w:val="left" w:pos="5904"/>
        <w:tab w:val="left" w:pos="6768"/>
        <w:tab w:val="left" w:pos="7632"/>
        <w:tab w:val="left" w:pos="8496"/>
        <w:tab w:val="left" w:pos="9360"/>
        <w:tab w:val="left" w:pos="10224"/>
        <w:tab w:val="left" w:pos="11088"/>
        <w:tab w:val="left" w:pos="11952"/>
        <w:tab w:val="left" w:pos="12816"/>
        <w:tab w:val="left" w:pos="13680"/>
        <w:tab w:val="left" w:pos="14544"/>
        <w:tab w:val="left" w:pos="15408"/>
        <w:tab w:val="left" w:pos="16272"/>
        <w:tab w:val="left" w:pos="17136"/>
        <w:tab w:val="left" w:pos="18000"/>
        <w:tab w:val="left" w:pos="18864"/>
      </w:tabs>
      <w:spacing w:line="432" w:lineRule="auto"/>
      <w:ind w:left="288"/>
    </w:pPr>
    <w:rPr>
      <w:rFonts w:ascii="Arial" w:hAnsi="Arial"/>
      <w:noProof/>
      <w:sz w:val="24"/>
      <w:szCs w:val="20"/>
    </w:rPr>
  </w:style>
  <w:style w:type="paragraph" w:customStyle="1" w:styleId="Import0">
    <w:name w:val="Import 0"/>
    <w:basedOn w:val="Normln"/>
    <w:rsid w:val="008C5917"/>
    <w:pPr>
      <w:widowControl w:val="0"/>
      <w:spacing w:line="288" w:lineRule="auto"/>
      <w:ind w:left="0"/>
    </w:pPr>
    <w:rPr>
      <w:rFonts w:ascii="Arial" w:hAnsi="Arial"/>
      <w:noProof/>
      <w:sz w:val="24"/>
      <w:szCs w:val="20"/>
    </w:rPr>
  </w:style>
  <w:style w:type="paragraph" w:customStyle="1" w:styleId="txt-viceurovcis0">
    <w:name w:val="txt-viceurovcis"/>
    <w:basedOn w:val="Normln"/>
    <w:uiPriority w:val="99"/>
    <w:rsid w:val="008C5917"/>
    <w:pPr>
      <w:tabs>
        <w:tab w:val="num" w:pos="397"/>
      </w:tabs>
      <w:ind w:left="397" w:hanging="397"/>
    </w:pPr>
    <w:rPr>
      <w:rFonts w:ascii="Arial" w:hAnsi="Arial" w:cs="Arial"/>
      <w:sz w:val="22"/>
      <w:szCs w:val="22"/>
    </w:rPr>
  </w:style>
  <w:style w:type="paragraph" w:styleId="slovanseznam5">
    <w:name w:val="List Number 5"/>
    <w:basedOn w:val="Normln"/>
    <w:uiPriority w:val="99"/>
    <w:rsid w:val="008C5917"/>
    <w:pPr>
      <w:tabs>
        <w:tab w:val="num" w:pos="1492"/>
      </w:tabs>
      <w:ind w:left="1492" w:hanging="360"/>
      <w:contextualSpacing/>
    </w:pPr>
    <w:rPr>
      <w:rFonts w:ascii="Times New Roman" w:hAnsi="Times New Roman"/>
      <w:sz w:val="24"/>
    </w:rPr>
  </w:style>
  <w:style w:type="paragraph" w:styleId="Zkladntext22">
    <w:name w:val="Body Text 2"/>
    <w:basedOn w:val="Normln"/>
    <w:link w:val="Zkladntext2Char"/>
    <w:uiPriority w:val="99"/>
    <w:rsid w:val="008C5917"/>
    <w:pPr>
      <w:spacing w:after="120" w:line="480" w:lineRule="auto"/>
      <w:ind w:left="0"/>
    </w:pPr>
    <w:rPr>
      <w:rFonts w:ascii="Arial" w:hAnsi="Arial"/>
      <w:sz w:val="20"/>
      <w:szCs w:val="20"/>
      <w:lang w:val="x-none" w:eastAsia="x-none"/>
    </w:rPr>
  </w:style>
  <w:style w:type="character" w:customStyle="1" w:styleId="Zkladntext2Char">
    <w:name w:val="Základní text 2 Char"/>
    <w:basedOn w:val="Standardnpsmoodstavce"/>
    <w:link w:val="Zkladntext22"/>
    <w:uiPriority w:val="99"/>
    <w:rsid w:val="008C5917"/>
    <w:rPr>
      <w:rFonts w:ascii="Arial" w:hAnsi="Arial"/>
      <w:lang w:val="x-none" w:eastAsia="x-none"/>
    </w:rPr>
  </w:style>
  <w:style w:type="paragraph" w:customStyle="1" w:styleId="Import14">
    <w:name w:val="Import 14"/>
    <w:basedOn w:val="Normln"/>
    <w:uiPriority w:val="99"/>
    <w:rsid w:val="008C5917"/>
    <w:pPr>
      <w:widowControl w:val="0"/>
      <w:tabs>
        <w:tab w:val="left" w:pos="720"/>
        <w:tab w:val="left" w:pos="1584"/>
        <w:tab w:val="left" w:pos="2448"/>
        <w:tab w:val="left" w:pos="3312"/>
        <w:tab w:val="left" w:pos="4176"/>
        <w:tab w:val="left" w:pos="5040"/>
        <w:tab w:val="left" w:pos="5904"/>
        <w:tab w:val="left" w:pos="6768"/>
        <w:tab w:val="left" w:pos="7632"/>
        <w:tab w:val="left" w:pos="8496"/>
        <w:tab w:val="left" w:pos="9360"/>
        <w:tab w:val="left" w:pos="10224"/>
        <w:tab w:val="left" w:pos="11088"/>
        <w:tab w:val="left" w:pos="11952"/>
        <w:tab w:val="left" w:pos="12816"/>
        <w:tab w:val="left" w:pos="13680"/>
        <w:tab w:val="left" w:pos="14544"/>
        <w:tab w:val="left" w:pos="15408"/>
        <w:tab w:val="left" w:pos="16272"/>
        <w:tab w:val="left" w:pos="17136"/>
        <w:tab w:val="left" w:pos="18000"/>
        <w:tab w:val="left" w:pos="18864"/>
      </w:tabs>
      <w:spacing w:line="288" w:lineRule="auto"/>
      <w:ind w:left="1440" w:hanging="432"/>
    </w:pPr>
    <w:rPr>
      <w:rFonts w:ascii="Arial" w:hAnsi="Arial"/>
      <w:noProof/>
      <w:sz w:val="24"/>
      <w:szCs w:val="20"/>
    </w:rPr>
  </w:style>
  <w:style w:type="paragraph" w:customStyle="1" w:styleId="Import17">
    <w:name w:val="Import 17"/>
    <w:basedOn w:val="Normln"/>
    <w:uiPriority w:val="99"/>
    <w:rsid w:val="008C5917"/>
    <w:pPr>
      <w:widowControl w:val="0"/>
      <w:tabs>
        <w:tab w:val="left" w:pos="720"/>
        <w:tab w:val="left" w:pos="1584"/>
        <w:tab w:val="left" w:pos="2448"/>
        <w:tab w:val="left" w:pos="3312"/>
        <w:tab w:val="left" w:pos="4176"/>
        <w:tab w:val="left" w:pos="5040"/>
        <w:tab w:val="left" w:pos="5904"/>
        <w:tab w:val="left" w:pos="6768"/>
        <w:tab w:val="left" w:pos="7632"/>
        <w:tab w:val="left" w:pos="8496"/>
        <w:tab w:val="left" w:pos="9360"/>
        <w:tab w:val="left" w:pos="10224"/>
        <w:tab w:val="left" w:pos="11088"/>
        <w:tab w:val="left" w:pos="11952"/>
        <w:tab w:val="left" w:pos="12816"/>
        <w:tab w:val="left" w:pos="13680"/>
        <w:tab w:val="left" w:pos="14544"/>
        <w:tab w:val="left" w:pos="15408"/>
        <w:tab w:val="left" w:pos="16272"/>
        <w:tab w:val="left" w:pos="17136"/>
        <w:tab w:val="left" w:pos="18000"/>
        <w:tab w:val="left" w:pos="18864"/>
      </w:tabs>
      <w:spacing w:line="432" w:lineRule="auto"/>
      <w:ind w:left="576"/>
    </w:pPr>
    <w:rPr>
      <w:rFonts w:ascii="Arial" w:hAnsi="Arial"/>
      <w:noProof/>
      <w:sz w:val="24"/>
      <w:szCs w:val="20"/>
    </w:rPr>
  </w:style>
  <w:style w:type="character" w:customStyle="1" w:styleId="NoSpacingChar">
    <w:name w:val="No Spacing Char"/>
    <w:link w:val="Bezmezer1"/>
    <w:locked/>
    <w:rsid w:val="008C5917"/>
    <w:rPr>
      <w:rFonts w:ascii="Arial" w:hAnsi="Arial"/>
      <w:sz w:val="22"/>
      <w:szCs w:val="22"/>
      <w:lang w:val="en-US" w:eastAsia="en-US"/>
    </w:rPr>
  </w:style>
  <w:style w:type="paragraph" w:customStyle="1" w:styleId="Import37">
    <w:name w:val="Import 37"/>
    <w:basedOn w:val="Normln"/>
    <w:uiPriority w:val="99"/>
    <w:rsid w:val="008C5917"/>
    <w:pPr>
      <w:widowControl w:val="0"/>
      <w:tabs>
        <w:tab w:val="left" w:pos="3744"/>
        <w:tab w:val="left" w:pos="4896"/>
        <w:tab w:val="left" w:pos="6048"/>
        <w:tab w:val="left" w:pos="7200"/>
      </w:tabs>
      <w:spacing w:line="432" w:lineRule="auto"/>
      <w:ind w:left="2592"/>
    </w:pPr>
    <w:rPr>
      <w:rFonts w:ascii="Arial" w:hAnsi="Arial"/>
      <w:noProof/>
      <w:sz w:val="24"/>
      <w:szCs w:val="20"/>
    </w:rPr>
  </w:style>
  <w:style w:type="paragraph" w:customStyle="1" w:styleId="Import9">
    <w:name w:val="Import 9"/>
    <w:basedOn w:val="Normln"/>
    <w:uiPriority w:val="99"/>
    <w:rsid w:val="008C5917"/>
    <w:pPr>
      <w:widowControl w:val="0"/>
      <w:tabs>
        <w:tab w:val="left" w:pos="720"/>
        <w:tab w:val="left" w:pos="1584"/>
        <w:tab w:val="left" w:pos="2448"/>
        <w:tab w:val="left" w:pos="3312"/>
        <w:tab w:val="left" w:pos="4176"/>
        <w:tab w:val="left" w:pos="5040"/>
        <w:tab w:val="left" w:pos="5904"/>
        <w:tab w:val="left" w:pos="6768"/>
        <w:tab w:val="left" w:pos="7632"/>
        <w:tab w:val="left" w:pos="8496"/>
        <w:tab w:val="left" w:pos="9360"/>
        <w:tab w:val="left" w:pos="10224"/>
        <w:tab w:val="left" w:pos="11088"/>
        <w:tab w:val="left" w:pos="11952"/>
        <w:tab w:val="left" w:pos="12816"/>
        <w:tab w:val="left" w:pos="13680"/>
        <w:tab w:val="left" w:pos="14544"/>
        <w:tab w:val="left" w:pos="15408"/>
        <w:tab w:val="left" w:pos="16272"/>
        <w:tab w:val="left" w:pos="17136"/>
        <w:tab w:val="left" w:pos="18000"/>
        <w:tab w:val="left" w:pos="18864"/>
      </w:tabs>
      <w:spacing w:line="288" w:lineRule="auto"/>
      <w:ind w:left="0"/>
    </w:pPr>
    <w:rPr>
      <w:rFonts w:ascii="Arial" w:hAnsi="Arial"/>
      <w:noProof/>
      <w:sz w:val="24"/>
      <w:szCs w:val="20"/>
    </w:rPr>
  </w:style>
  <w:style w:type="paragraph" w:customStyle="1" w:styleId="Zln-txt">
    <w:name w:val="Zlín-txt"/>
    <w:basedOn w:val="Normln"/>
    <w:uiPriority w:val="99"/>
    <w:semiHidden/>
    <w:rsid w:val="008C5917"/>
    <w:pPr>
      <w:spacing w:after="60"/>
      <w:ind w:left="0" w:firstLine="360"/>
    </w:pPr>
    <w:rPr>
      <w:rFonts w:ascii="Arial" w:hAnsi="Arial"/>
      <w:sz w:val="24"/>
      <w:lang w:eastAsia="en-US"/>
    </w:rPr>
  </w:style>
  <w:style w:type="paragraph" w:customStyle="1" w:styleId="Import20">
    <w:name w:val="Import 20"/>
    <w:basedOn w:val="Normln"/>
    <w:uiPriority w:val="99"/>
    <w:rsid w:val="008C5917"/>
    <w:pPr>
      <w:widowControl w:val="0"/>
      <w:tabs>
        <w:tab w:val="left" w:pos="720"/>
        <w:tab w:val="left" w:pos="1584"/>
        <w:tab w:val="left" w:pos="2448"/>
        <w:tab w:val="left" w:pos="3312"/>
        <w:tab w:val="left" w:pos="4176"/>
        <w:tab w:val="left" w:pos="5040"/>
        <w:tab w:val="left" w:pos="5904"/>
        <w:tab w:val="left" w:pos="6768"/>
        <w:tab w:val="left" w:pos="7632"/>
        <w:tab w:val="left" w:pos="8496"/>
        <w:tab w:val="left" w:pos="9360"/>
        <w:tab w:val="left" w:pos="10224"/>
        <w:tab w:val="left" w:pos="11088"/>
        <w:tab w:val="left" w:pos="11952"/>
        <w:tab w:val="left" w:pos="12816"/>
        <w:tab w:val="left" w:pos="13680"/>
        <w:tab w:val="left" w:pos="14544"/>
        <w:tab w:val="left" w:pos="15408"/>
        <w:tab w:val="left" w:pos="16272"/>
        <w:tab w:val="left" w:pos="17136"/>
        <w:tab w:val="left" w:pos="18000"/>
        <w:tab w:val="left" w:pos="18864"/>
      </w:tabs>
      <w:spacing w:line="432" w:lineRule="auto"/>
      <w:ind w:left="2016"/>
    </w:pPr>
    <w:rPr>
      <w:rFonts w:ascii="Arial" w:hAnsi="Arial"/>
      <w:noProof/>
      <w:sz w:val="24"/>
      <w:szCs w:val="20"/>
    </w:rPr>
  </w:style>
  <w:style w:type="paragraph" w:customStyle="1" w:styleId="Import3">
    <w:name w:val="Import 3"/>
    <w:basedOn w:val="Normln"/>
    <w:uiPriority w:val="99"/>
    <w:rsid w:val="008C5917"/>
    <w:pPr>
      <w:widowControl w:val="0"/>
      <w:tabs>
        <w:tab w:val="left" w:pos="720"/>
        <w:tab w:val="left" w:pos="1584"/>
        <w:tab w:val="left" w:pos="2448"/>
        <w:tab w:val="left" w:pos="3312"/>
        <w:tab w:val="left" w:pos="4176"/>
        <w:tab w:val="left" w:pos="5040"/>
        <w:tab w:val="left" w:pos="5904"/>
        <w:tab w:val="left" w:pos="6768"/>
        <w:tab w:val="left" w:pos="7632"/>
        <w:tab w:val="left" w:pos="8496"/>
        <w:tab w:val="left" w:pos="9360"/>
        <w:tab w:val="left" w:pos="10224"/>
        <w:tab w:val="left" w:pos="11088"/>
        <w:tab w:val="left" w:pos="11952"/>
        <w:tab w:val="left" w:pos="12816"/>
        <w:tab w:val="left" w:pos="13680"/>
        <w:tab w:val="left" w:pos="14544"/>
        <w:tab w:val="left" w:pos="15408"/>
        <w:tab w:val="left" w:pos="16272"/>
        <w:tab w:val="left" w:pos="17136"/>
        <w:tab w:val="left" w:pos="18000"/>
        <w:tab w:val="left" w:pos="18864"/>
      </w:tabs>
      <w:spacing w:line="432" w:lineRule="auto"/>
      <w:ind w:left="0"/>
    </w:pPr>
    <w:rPr>
      <w:rFonts w:ascii="Arial" w:hAnsi="Arial"/>
      <w:noProof/>
      <w:sz w:val="24"/>
      <w:szCs w:val="20"/>
    </w:rPr>
  </w:style>
  <w:style w:type="paragraph" w:customStyle="1" w:styleId="Import4">
    <w:name w:val="Import 4"/>
    <w:basedOn w:val="Normln"/>
    <w:uiPriority w:val="99"/>
    <w:rsid w:val="008C5917"/>
    <w:pPr>
      <w:widowControl w:val="0"/>
      <w:tabs>
        <w:tab w:val="left" w:pos="864"/>
      </w:tabs>
      <w:spacing w:line="432" w:lineRule="auto"/>
      <w:ind w:left="0"/>
    </w:pPr>
    <w:rPr>
      <w:rFonts w:ascii="Arial" w:hAnsi="Arial"/>
      <w:noProof/>
      <w:sz w:val="24"/>
      <w:szCs w:val="20"/>
    </w:rPr>
  </w:style>
  <w:style w:type="paragraph" w:customStyle="1" w:styleId="Kapitola2">
    <w:name w:val="Kapitola 2"/>
    <w:uiPriority w:val="99"/>
    <w:rsid w:val="008C5917"/>
    <w:pPr>
      <w:widowControl w:val="0"/>
      <w:autoSpaceDE w:val="0"/>
      <w:autoSpaceDN w:val="0"/>
      <w:adjustRightInd w:val="0"/>
      <w:ind w:left="567" w:right="567" w:firstLine="1134"/>
    </w:pPr>
    <w:rPr>
      <w:rFonts w:ascii="Vogue" w:hAnsi="Vogue" w:cs="Vogue"/>
      <w:b/>
      <w:bCs/>
      <w:color w:val="000000"/>
      <w:sz w:val="22"/>
      <w:szCs w:val="22"/>
    </w:rPr>
  </w:style>
  <w:style w:type="paragraph" w:customStyle="1" w:styleId="ZkladntextIMP">
    <w:name w:val="Základní text_IMP"/>
    <w:basedOn w:val="Normln"/>
    <w:uiPriority w:val="99"/>
    <w:rsid w:val="008C5917"/>
    <w:pPr>
      <w:suppressAutoHyphens/>
      <w:overflowPunct w:val="0"/>
      <w:autoSpaceDE w:val="0"/>
      <w:autoSpaceDN w:val="0"/>
      <w:adjustRightInd w:val="0"/>
      <w:spacing w:line="276" w:lineRule="auto"/>
      <w:ind w:left="0"/>
      <w:textAlignment w:val="baseline"/>
    </w:pPr>
    <w:rPr>
      <w:rFonts w:ascii="Arial" w:hAnsi="Arial"/>
      <w:sz w:val="24"/>
      <w:szCs w:val="20"/>
    </w:rPr>
  </w:style>
  <w:style w:type="paragraph" w:customStyle="1" w:styleId="Bntext">
    <w:name w:val="Běžný text"/>
    <w:basedOn w:val="Normln"/>
    <w:uiPriority w:val="99"/>
    <w:rsid w:val="008C5917"/>
    <w:pPr>
      <w:spacing w:before="60" w:line="360" w:lineRule="auto"/>
      <w:ind w:left="0" w:firstLine="709"/>
    </w:pPr>
    <w:rPr>
      <w:rFonts w:ascii="Arial" w:hAnsi="Arial"/>
      <w:sz w:val="22"/>
    </w:rPr>
  </w:style>
  <w:style w:type="paragraph" w:customStyle="1" w:styleId="Standard">
    <w:name w:val="Standard"/>
    <w:uiPriority w:val="99"/>
    <w:rsid w:val="008C5917"/>
    <w:pPr>
      <w:widowControl w:val="0"/>
      <w:jc w:val="both"/>
    </w:pPr>
    <w:rPr>
      <w:rFonts w:ascii="Times New Roman" w:hAnsi="Times New Roman"/>
      <w:snapToGrid w:val="0"/>
      <w:sz w:val="24"/>
    </w:rPr>
  </w:style>
  <w:style w:type="character" w:customStyle="1" w:styleId="WW8Num16z2">
    <w:name w:val="WW8Num16z2"/>
    <w:rsid w:val="008C5917"/>
    <w:rPr>
      <w:rFonts w:ascii="Wingdings" w:hAnsi="Wingdings" w:cs="Wingdings"/>
    </w:rPr>
  </w:style>
  <w:style w:type="character" w:customStyle="1" w:styleId="WW8Num39z2">
    <w:name w:val="WW8Num39z2"/>
    <w:rsid w:val="008C5917"/>
    <w:rPr>
      <w:rFonts w:ascii="Wingdings" w:hAnsi="Wingdings" w:cs="Wingdings"/>
    </w:rPr>
  </w:style>
  <w:style w:type="paragraph" w:customStyle="1" w:styleId="Styl1">
    <w:name w:val="Styl1"/>
    <w:basedOn w:val="Normln"/>
    <w:uiPriority w:val="99"/>
    <w:rsid w:val="008C5917"/>
    <w:pPr>
      <w:suppressAutoHyphens/>
      <w:ind w:left="0" w:firstLine="720"/>
    </w:pPr>
    <w:rPr>
      <w:rFonts w:ascii="Arial" w:hAnsi="Arial" w:cs="Arial"/>
      <w:sz w:val="22"/>
      <w:szCs w:val="20"/>
      <w:lang w:eastAsia="ar-SA"/>
    </w:rPr>
  </w:style>
  <w:style w:type="paragraph" w:customStyle="1" w:styleId="Import10">
    <w:name w:val="Import 1~"/>
    <w:basedOn w:val="Normln"/>
    <w:uiPriority w:val="99"/>
    <w:rsid w:val="008C5917"/>
    <w:pPr>
      <w:tabs>
        <w:tab w:val="left" w:pos="720"/>
        <w:tab w:val="left" w:pos="1584"/>
        <w:tab w:val="left" w:pos="2448"/>
        <w:tab w:val="left" w:pos="3312"/>
        <w:tab w:val="left" w:pos="4176"/>
        <w:tab w:val="left" w:pos="5040"/>
        <w:tab w:val="left" w:pos="5904"/>
        <w:tab w:val="left" w:pos="6768"/>
        <w:tab w:val="left" w:pos="7632"/>
        <w:tab w:val="left" w:pos="8496"/>
        <w:tab w:val="left" w:pos="9360"/>
        <w:tab w:val="left" w:pos="10224"/>
        <w:tab w:val="left" w:pos="11088"/>
        <w:tab w:val="left" w:pos="11952"/>
        <w:tab w:val="left" w:pos="12816"/>
        <w:tab w:val="left" w:pos="13680"/>
        <w:tab w:val="left" w:pos="14544"/>
        <w:tab w:val="left" w:pos="15408"/>
        <w:tab w:val="left" w:pos="16272"/>
        <w:tab w:val="left" w:pos="17136"/>
        <w:tab w:val="left" w:pos="18000"/>
        <w:tab w:val="left" w:pos="18864"/>
      </w:tabs>
      <w:suppressAutoHyphens/>
      <w:overflowPunct w:val="0"/>
      <w:autoSpaceDE w:val="0"/>
      <w:autoSpaceDN w:val="0"/>
      <w:adjustRightInd w:val="0"/>
      <w:spacing w:line="415" w:lineRule="auto"/>
      <w:ind w:left="576"/>
      <w:textAlignment w:val="baseline"/>
    </w:pPr>
    <w:rPr>
      <w:rFonts w:ascii="Arial" w:hAnsi="Arial"/>
      <w:sz w:val="24"/>
      <w:szCs w:val="20"/>
      <w:lang w:eastAsia="en-US"/>
    </w:rPr>
  </w:style>
  <w:style w:type="paragraph" w:customStyle="1" w:styleId="Zkladntext210">
    <w:name w:val="Základní text 21"/>
    <w:basedOn w:val="Normln"/>
    <w:uiPriority w:val="99"/>
    <w:rsid w:val="008C5917"/>
    <w:pPr>
      <w:widowControl w:val="0"/>
      <w:suppressAutoHyphens/>
      <w:spacing w:line="247" w:lineRule="auto"/>
      <w:ind w:left="0"/>
    </w:pPr>
    <w:rPr>
      <w:rFonts w:ascii="Times New Roman" w:eastAsia="Arial" w:hAnsi="Times New Roman"/>
      <w:b/>
      <w:sz w:val="28"/>
      <w:szCs w:val="20"/>
      <w:lang w:eastAsia="ar-SA"/>
    </w:rPr>
  </w:style>
  <w:style w:type="paragraph" w:customStyle="1" w:styleId="NormlnIMP">
    <w:name w:val="Normální_IMP"/>
    <w:basedOn w:val="Normln"/>
    <w:uiPriority w:val="99"/>
    <w:rsid w:val="008C5917"/>
    <w:pPr>
      <w:suppressAutoHyphens/>
      <w:overflowPunct w:val="0"/>
      <w:autoSpaceDE w:val="0"/>
      <w:autoSpaceDN w:val="0"/>
      <w:adjustRightInd w:val="0"/>
      <w:spacing w:line="276" w:lineRule="auto"/>
      <w:ind w:left="0"/>
      <w:textAlignment w:val="baseline"/>
    </w:pPr>
    <w:rPr>
      <w:rFonts w:ascii="Times New Roman" w:hAnsi="Times New Roman"/>
      <w:sz w:val="24"/>
      <w:szCs w:val="20"/>
      <w:lang w:eastAsia="en-US"/>
    </w:rPr>
  </w:style>
  <w:style w:type="paragraph" w:customStyle="1" w:styleId="Import6">
    <w:name w:val="Import 6"/>
    <w:basedOn w:val="Normln"/>
    <w:uiPriority w:val="99"/>
    <w:rsid w:val="008C5917"/>
    <w:pPr>
      <w:widowControl w:val="0"/>
      <w:tabs>
        <w:tab w:val="left" w:pos="720"/>
        <w:tab w:val="left" w:pos="1584"/>
        <w:tab w:val="left" w:pos="2448"/>
        <w:tab w:val="left" w:pos="3312"/>
        <w:tab w:val="left" w:pos="4176"/>
        <w:tab w:val="left" w:pos="5040"/>
        <w:tab w:val="left" w:pos="5904"/>
        <w:tab w:val="left" w:pos="6768"/>
        <w:tab w:val="left" w:pos="7632"/>
        <w:tab w:val="left" w:pos="8496"/>
        <w:tab w:val="left" w:pos="9360"/>
        <w:tab w:val="left" w:pos="10224"/>
        <w:tab w:val="left" w:pos="11088"/>
        <w:tab w:val="left" w:pos="11952"/>
        <w:tab w:val="left" w:pos="12816"/>
        <w:tab w:val="left" w:pos="13680"/>
        <w:tab w:val="left" w:pos="14544"/>
        <w:tab w:val="left" w:pos="15408"/>
        <w:tab w:val="left" w:pos="16272"/>
        <w:tab w:val="left" w:pos="17136"/>
        <w:tab w:val="left" w:pos="18000"/>
        <w:tab w:val="left" w:pos="18864"/>
      </w:tabs>
      <w:suppressAutoHyphens/>
      <w:spacing w:line="432" w:lineRule="auto"/>
      <w:ind w:left="144"/>
    </w:pPr>
    <w:rPr>
      <w:rFonts w:ascii="Arial" w:eastAsia="Arial" w:hAnsi="Arial" w:cs="Arial"/>
      <w:sz w:val="24"/>
      <w:szCs w:val="20"/>
      <w:lang w:eastAsia="ar-SA"/>
    </w:rPr>
  </w:style>
  <w:style w:type="character" w:customStyle="1" w:styleId="WW8Num28z1">
    <w:name w:val="WW8Num28z1"/>
    <w:rsid w:val="008C5917"/>
    <w:rPr>
      <w:rFonts w:ascii="Courier New" w:hAnsi="Courier New" w:cs="Courier New"/>
    </w:rPr>
  </w:style>
  <w:style w:type="paragraph" w:customStyle="1" w:styleId="Import8">
    <w:name w:val="Import 8"/>
    <w:basedOn w:val="Import0"/>
    <w:uiPriority w:val="99"/>
    <w:rsid w:val="008C5917"/>
    <w:pPr>
      <w:widowControl/>
      <w:tabs>
        <w:tab w:val="left" w:pos="720"/>
        <w:tab w:val="left" w:pos="1584"/>
        <w:tab w:val="left" w:pos="2448"/>
        <w:tab w:val="left" w:pos="3312"/>
        <w:tab w:val="left" w:pos="4176"/>
        <w:tab w:val="left" w:pos="5040"/>
        <w:tab w:val="left" w:pos="5904"/>
        <w:tab w:val="left" w:pos="6768"/>
        <w:tab w:val="left" w:pos="7632"/>
        <w:tab w:val="left" w:pos="8496"/>
        <w:tab w:val="left" w:pos="9360"/>
        <w:tab w:val="left" w:pos="10224"/>
        <w:tab w:val="left" w:pos="11088"/>
        <w:tab w:val="left" w:pos="11952"/>
        <w:tab w:val="left" w:pos="12816"/>
        <w:tab w:val="left" w:pos="13680"/>
        <w:tab w:val="left" w:pos="14544"/>
        <w:tab w:val="left" w:pos="15408"/>
        <w:tab w:val="left" w:pos="16272"/>
        <w:tab w:val="left" w:pos="17136"/>
        <w:tab w:val="left" w:pos="18000"/>
        <w:tab w:val="left" w:pos="18864"/>
      </w:tabs>
      <w:suppressAutoHyphens/>
      <w:overflowPunct w:val="0"/>
      <w:autoSpaceDE w:val="0"/>
      <w:autoSpaceDN w:val="0"/>
      <w:adjustRightInd w:val="0"/>
      <w:spacing w:line="230" w:lineRule="auto"/>
      <w:textAlignment w:val="baseline"/>
    </w:pPr>
    <w:rPr>
      <w:rFonts w:ascii="Courier New" w:hAnsi="Courier New"/>
      <w:noProof w:val="0"/>
      <w:lang w:eastAsia="en-US"/>
    </w:rPr>
  </w:style>
  <w:style w:type="paragraph" w:customStyle="1" w:styleId="Import13">
    <w:name w:val="Import 13"/>
    <w:basedOn w:val="Import0"/>
    <w:uiPriority w:val="99"/>
    <w:rsid w:val="008C5917"/>
    <w:pPr>
      <w:widowControl/>
      <w:tabs>
        <w:tab w:val="left" w:pos="2016"/>
      </w:tabs>
      <w:suppressAutoHyphens/>
      <w:overflowPunct w:val="0"/>
      <w:autoSpaceDE w:val="0"/>
      <w:autoSpaceDN w:val="0"/>
      <w:adjustRightInd w:val="0"/>
      <w:spacing w:line="230" w:lineRule="auto"/>
      <w:textAlignment w:val="baseline"/>
    </w:pPr>
    <w:rPr>
      <w:rFonts w:ascii="Courier New" w:hAnsi="Courier New"/>
      <w:noProof w:val="0"/>
      <w:lang w:eastAsia="en-US"/>
    </w:rPr>
  </w:style>
  <w:style w:type="character" w:customStyle="1" w:styleId="WW8Num10z3">
    <w:name w:val="WW8Num10z3"/>
    <w:rsid w:val="008C5917"/>
    <w:rPr>
      <w:rFonts w:ascii="Arial Narrow" w:hAnsi="Arial Narrow" w:cs="Arial Narrow"/>
      <w:color w:val="auto"/>
      <w:sz w:val="20"/>
    </w:rPr>
  </w:style>
  <w:style w:type="paragraph" w:customStyle="1" w:styleId="textsodrkou">
    <w:name w:val="text s odrážkou"/>
    <w:basedOn w:val="Normln"/>
    <w:link w:val="textsodrkouChar"/>
    <w:uiPriority w:val="99"/>
    <w:rsid w:val="008C5917"/>
    <w:pPr>
      <w:numPr>
        <w:numId w:val="4"/>
      </w:numPr>
      <w:spacing w:before="60"/>
    </w:pPr>
    <w:rPr>
      <w:rFonts w:ascii="Arial" w:hAnsi="Arial"/>
      <w:snapToGrid w:val="0"/>
      <w:sz w:val="22"/>
      <w:lang w:val="x-none" w:eastAsia="x-none"/>
    </w:rPr>
  </w:style>
  <w:style w:type="character" w:customStyle="1" w:styleId="textsodrkouChar">
    <w:name w:val="text s odrážkou Char"/>
    <w:link w:val="textsodrkou"/>
    <w:uiPriority w:val="99"/>
    <w:rsid w:val="008C5917"/>
    <w:rPr>
      <w:rFonts w:ascii="Arial" w:hAnsi="Arial"/>
      <w:snapToGrid w:val="0"/>
      <w:sz w:val="22"/>
      <w:szCs w:val="24"/>
      <w:lang w:val="x-none" w:eastAsia="x-none"/>
    </w:rPr>
  </w:style>
  <w:style w:type="paragraph" w:styleId="Zkladntextodsazen3">
    <w:name w:val="Body Text Indent 3"/>
    <w:basedOn w:val="Normln"/>
    <w:link w:val="Zkladntextodsazen3Char"/>
    <w:uiPriority w:val="99"/>
    <w:rsid w:val="008C5917"/>
    <w:pPr>
      <w:spacing w:after="120" w:line="276" w:lineRule="auto"/>
      <w:ind w:left="283"/>
    </w:pPr>
    <w:rPr>
      <w:rFonts w:ascii="Arial" w:hAnsi="Arial"/>
      <w:sz w:val="16"/>
      <w:szCs w:val="16"/>
      <w:lang w:val="en-US" w:eastAsia="en-US"/>
    </w:rPr>
  </w:style>
  <w:style w:type="character" w:customStyle="1" w:styleId="Zkladntextodsazen3Char">
    <w:name w:val="Základní text odsazený 3 Char"/>
    <w:basedOn w:val="Standardnpsmoodstavce"/>
    <w:link w:val="Zkladntextodsazen3"/>
    <w:uiPriority w:val="99"/>
    <w:rsid w:val="008C5917"/>
    <w:rPr>
      <w:rFonts w:ascii="Arial" w:hAnsi="Arial"/>
      <w:sz w:val="16"/>
      <w:szCs w:val="16"/>
      <w:lang w:val="en-US" w:eastAsia="en-US"/>
    </w:rPr>
  </w:style>
  <w:style w:type="paragraph" w:customStyle="1" w:styleId="Textk">
    <w:name w:val="Textík"/>
    <w:uiPriority w:val="99"/>
    <w:qFormat/>
    <w:rsid w:val="008C5917"/>
    <w:pPr>
      <w:spacing w:after="200"/>
      <w:jc w:val="both"/>
    </w:pPr>
    <w:rPr>
      <w:rFonts w:ascii="Arial" w:hAnsi="Arial"/>
      <w:sz w:val="22"/>
      <w:szCs w:val="22"/>
      <w:lang w:eastAsia="en-US" w:bidi="en-US"/>
    </w:rPr>
  </w:style>
  <w:style w:type="paragraph" w:customStyle="1" w:styleId="bodk">
    <w:name w:val="bodík"/>
    <w:basedOn w:val="Textk"/>
    <w:link w:val="bodkChar"/>
    <w:uiPriority w:val="99"/>
    <w:qFormat/>
    <w:rsid w:val="008C5917"/>
    <w:pPr>
      <w:numPr>
        <w:numId w:val="5"/>
      </w:numPr>
    </w:pPr>
    <w:rPr>
      <w:lang w:val="x-none" w:bidi="cs-CZ"/>
    </w:rPr>
  </w:style>
  <w:style w:type="character" w:customStyle="1" w:styleId="bodkChar">
    <w:name w:val="bodík Char"/>
    <w:link w:val="bodk"/>
    <w:uiPriority w:val="99"/>
    <w:rsid w:val="008C5917"/>
    <w:rPr>
      <w:rFonts w:ascii="Arial" w:hAnsi="Arial"/>
      <w:sz w:val="22"/>
      <w:szCs w:val="22"/>
      <w:lang w:val="x-none" w:eastAsia="en-US" w:bidi="cs-CZ"/>
    </w:rPr>
  </w:style>
  <w:style w:type="paragraph" w:customStyle="1" w:styleId="a-Styl1">
    <w:name w:val="a-Styl1"/>
    <w:basedOn w:val="Zkladntext"/>
    <w:uiPriority w:val="99"/>
    <w:rsid w:val="008C5917"/>
    <w:pPr>
      <w:widowControl w:val="0"/>
      <w:numPr>
        <w:ilvl w:val="0"/>
      </w:numPr>
      <w:spacing w:after="120"/>
      <w:ind w:left="851" w:firstLine="227"/>
    </w:pPr>
    <w:rPr>
      <w:snapToGrid w:val="0"/>
      <w:sz w:val="22"/>
    </w:rPr>
  </w:style>
  <w:style w:type="paragraph" w:customStyle="1" w:styleId="Import5">
    <w:name w:val="Import 5"/>
    <w:basedOn w:val="Normln"/>
    <w:uiPriority w:val="99"/>
    <w:rsid w:val="008C5917"/>
    <w:pPr>
      <w:widowControl w:val="0"/>
      <w:tabs>
        <w:tab w:val="left" w:pos="2592"/>
        <w:tab w:val="left" w:pos="5760"/>
      </w:tabs>
      <w:suppressAutoHyphens/>
      <w:spacing w:line="432" w:lineRule="auto"/>
      <w:ind w:left="0"/>
    </w:pPr>
    <w:rPr>
      <w:rFonts w:ascii="Arial" w:eastAsia="Arial" w:hAnsi="Arial" w:cs="Arial"/>
      <w:sz w:val="24"/>
      <w:szCs w:val="20"/>
      <w:lang w:eastAsia="ar-SA"/>
    </w:rPr>
  </w:style>
  <w:style w:type="paragraph" w:styleId="Revize">
    <w:name w:val="Revision"/>
    <w:hidden/>
    <w:uiPriority w:val="99"/>
    <w:semiHidden/>
    <w:rsid w:val="008C5917"/>
    <w:rPr>
      <w:rFonts w:ascii="Arial" w:hAnsi="Arial"/>
      <w:sz w:val="22"/>
      <w:szCs w:val="22"/>
      <w:lang w:val="en-US" w:eastAsia="en-US"/>
    </w:rPr>
  </w:style>
  <w:style w:type="character" w:customStyle="1" w:styleId="WW8Num4z0">
    <w:name w:val="WW8Num4z0"/>
    <w:rsid w:val="008C5917"/>
    <w:rPr>
      <w:rFonts w:ascii="Symbol" w:hAnsi="Symbol"/>
    </w:rPr>
  </w:style>
  <w:style w:type="character" w:customStyle="1" w:styleId="WW8Num6z0">
    <w:name w:val="WW8Num6z0"/>
    <w:rsid w:val="008C5917"/>
    <w:rPr>
      <w:rFonts w:ascii="Arial" w:eastAsia="Times New Roman" w:hAnsi="Arial" w:cs="Arial"/>
    </w:rPr>
  </w:style>
  <w:style w:type="character" w:customStyle="1" w:styleId="WW8Num7z0">
    <w:name w:val="WW8Num7z0"/>
    <w:rsid w:val="008C5917"/>
    <w:rPr>
      <w:rFonts w:ascii="Symbol" w:hAnsi="Symbol"/>
    </w:rPr>
  </w:style>
  <w:style w:type="character" w:customStyle="1" w:styleId="WW8Num8z0">
    <w:name w:val="WW8Num8z0"/>
    <w:rsid w:val="008C5917"/>
    <w:rPr>
      <w:rFonts w:ascii="Symbol" w:hAnsi="Symbol"/>
    </w:rPr>
  </w:style>
  <w:style w:type="character" w:customStyle="1" w:styleId="WW8Num9z0">
    <w:name w:val="WW8Num9z0"/>
    <w:rsid w:val="008C5917"/>
    <w:rPr>
      <w:rFonts w:ascii="Symbol" w:hAnsi="Symbol"/>
    </w:rPr>
  </w:style>
  <w:style w:type="character" w:customStyle="1" w:styleId="WW8Num10z0">
    <w:name w:val="WW8Num10z0"/>
    <w:rsid w:val="008C5917"/>
    <w:rPr>
      <w:rFonts w:ascii="Symbol" w:hAnsi="Symbol"/>
    </w:rPr>
  </w:style>
  <w:style w:type="character" w:customStyle="1" w:styleId="WW8Num11z0">
    <w:name w:val="WW8Num11z0"/>
    <w:rsid w:val="008C5917"/>
    <w:rPr>
      <w:rFonts w:ascii="Symbol" w:hAnsi="Symbol"/>
      <w:sz w:val="22"/>
      <w:szCs w:val="22"/>
    </w:rPr>
  </w:style>
  <w:style w:type="character" w:customStyle="1" w:styleId="WW8Num12z0">
    <w:name w:val="WW8Num12z0"/>
    <w:rsid w:val="008C5917"/>
    <w:rPr>
      <w:rFonts w:ascii="Symbol" w:hAnsi="Symbol"/>
    </w:rPr>
  </w:style>
  <w:style w:type="character" w:customStyle="1" w:styleId="WW8Num13z0">
    <w:name w:val="WW8Num13z0"/>
    <w:rsid w:val="008C5917"/>
    <w:rPr>
      <w:rFonts w:ascii="Symbol" w:hAnsi="Symbol"/>
      <w:sz w:val="22"/>
      <w:szCs w:val="22"/>
    </w:rPr>
  </w:style>
  <w:style w:type="character" w:customStyle="1" w:styleId="WW8Num14z0">
    <w:name w:val="WW8Num14z0"/>
    <w:rsid w:val="008C5917"/>
    <w:rPr>
      <w:rFonts w:ascii="Symbol" w:hAnsi="Symbol"/>
    </w:rPr>
  </w:style>
  <w:style w:type="character" w:customStyle="1" w:styleId="WW8Num14z1">
    <w:name w:val="WW8Num14z1"/>
    <w:rsid w:val="008C5917"/>
    <w:rPr>
      <w:rFonts w:ascii="Arial" w:hAnsi="Arial" w:cs="Times New Roman"/>
      <w:sz w:val="22"/>
      <w:szCs w:val="22"/>
    </w:rPr>
  </w:style>
  <w:style w:type="character" w:customStyle="1" w:styleId="WW8Num14z4">
    <w:name w:val="WW8Num14z4"/>
    <w:rsid w:val="008C5917"/>
    <w:rPr>
      <w:rFonts w:ascii="Arial" w:hAnsi="Arial" w:cs="Times New Roman"/>
      <w:b w:val="0"/>
      <w:i w:val="0"/>
      <w:caps w:val="0"/>
      <w:smallCaps w:val="0"/>
      <w:strike w:val="0"/>
      <w:dstrike w:val="0"/>
      <w:outline w:val="0"/>
      <w:shadow w:val="0"/>
      <w:vanish w:val="0"/>
      <w:position w:val="0"/>
      <w:sz w:val="22"/>
      <w:szCs w:val="24"/>
      <w:u w:val="none"/>
      <w:vertAlign w:val="baseline"/>
    </w:rPr>
  </w:style>
  <w:style w:type="character" w:customStyle="1" w:styleId="WW8Num14z5">
    <w:name w:val="WW8Num14z5"/>
    <w:rsid w:val="008C5917"/>
    <w:rPr>
      <w:rFonts w:ascii="Arial" w:hAnsi="Arial" w:cs="Times New Roman"/>
      <w:color w:val="000000"/>
    </w:rPr>
  </w:style>
  <w:style w:type="character" w:customStyle="1" w:styleId="WW8Num15z0">
    <w:name w:val="WW8Num15z0"/>
    <w:rsid w:val="008C5917"/>
    <w:rPr>
      <w:rFonts w:ascii="Times New Roman" w:eastAsia="Times New Roman" w:hAnsi="Times New Roman" w:cs="Times New Roman"/>
    </w:rPr>
  </w:style>
  <w:style w:type="character" w:customStyle="1" w:styleId="WW8Num16z0">
    <w:name w:val="WW8Num16z0"/>
    <w:rsid w:val="008C5917"/>
    <w:rPr>
      <w:rFonts w:ascii="Arial" w:hAnsi="Arial" w:cs="Times New Roman"/>
      <w:b w:val="0"/>
      <w:i w:val="0"/>
      <w:sz w:val="22"/>
      <w:szCs w:val="24"/>
    </w:rPr>
  </w:style>
  <w:style w:type="character" w:customStyle="1" w:styleId="WW8Num17z0">
    <w:name w:val="WW8Num17z0"/>
    <w:rsid w:val="008C5917"/>
    <w:rPr>
      <w:rFonts w:ascii="Symbol" w:hAnsi="Symbol"/>
    </w:rPr>
  </w:style>
  <w:style w:type="character" w:customStyle="1" w:styleId="WW8Num18z0">
    <w:name w:val="WW8Num18z0"/>
    <w:rsid w:val="008C5917"/>
    <w:rPr>
      <w:rFonts w:ascii="Symbol" w:hAnsi="Symbol"/>
    </w:rPr>
  </w:style>
  <w:style w:type="character" w:customStyle="1" w:styleId="WW8Num19z0">
    <w:name w:val="WW8Num19z0"/>
    <w:rsid w:val="008C5917"/>
    <w:rPr>
      <w:rFonts w:ascii="Symbol" w:hAnsi="Symbol" w:cs="OpenSymbol"/>
    </w:rPr>
  </w:style>
  <w:style w:type="character" w:customStyle="1" w:styleId="WW8Num19z1">
    <w:name w:val="WW8Num19z1"/>
    <w:rsid w:val="008C5917"/>
    <w:rPr>
      <w:rFonts w:ascii="OpenSymbol" w:hAnsi="OpenSymbol" w:cs="OpenSymbol"/>
    </w:rPr>
  </w:style>
  <w:style w:type="character" w:customStyle="1" w:styleId="WW8Num20z0">
    <w:name w:val="WW8Num20z0"/>
    <w:rsid w:val="008C5917"/>
    <w:rPr>
      <w:rFonts w:ascii="Courier New" w:hAnsi="Courier New"/>
    </w:rPr>
  </w:style>
  <w:style w:type="character" w:customStyle="1" w:styleId="WW8Num20z1">
    <w:name w:val="WW8Num20z1"/>
    <w:rsid w:val="008C5917"/>
    <w:rPr>
      <w:rFonts w:ascii="Courier New" w:hAnsi="Courier New" w:cs="Courier New"/>
    </w:rPr>
  </w:style>
  <w:style w:type="character" w:customStyle="1" w:styleId="WW8Num20z2">
    <w:name w:val="WW8Num20z2"/>
    <w:rsid w:val="008C5917"/>
    <w:rPr>
      <w:rFonts w:ascii="Wingdings" w:hAnsi="Wingdings"/>
    </w:rPr>
  </w:style>
  <w:style w:type="character" w:customStyle="1" w:styleId="WW8Num21z0">
    <w:name w:val="WW8Num21z0"/>
    <w:rsid w:val="008C5917"/>
    <w:rPr>
      <w:rFonts w:ascii="Symbol" w:hAnsi="Symbol"/>
    </w:rPr>
  </w:style>
  <w:style w:type="character" w:customStyle="1" w:styleId="WW8Num21z1">
    <w:name w:val="WW8Num21z1"/>
    <w:rsid w:val="008C5917"/>
    <w:rPr>
      <w:rFonts w:ascii="Courier New" w:hAnsi="Courier New" w:cs="Courier New"/>
    </w:rPr>
  </w:style>
  <w:style w:type="character" w:customStyle="1" w:styleId="WW8Num21z2">
    <w:name w:val="WW8Num21z2"/>
    <w:rsid w:val="008C5917"/>
    <w:rPr>
      <w:rFonts w:ascii="Wingdings" w:hAnsi="Wingdings"/>
    </w:rPr>
  </w:style>
  <w:style w:type="character" w:customStyle="1" w:styleId="WW8Num22z0">
    <w:name w:val="WW8Num22z0"/>
    <w:rsid w:val="008C5917"/>
    <w:rPr>
      <w:rFonts w:ascii="Times New Roman" w:eastAsia="Lucida Sans Unicode" w:hAnsi="Times New Roman" w:cs="Times New Roman"/>
    </w:rPr>
  </w:style>
  <w:style w:type="character" w:customStyle="1" w:styleId="WW8Num22z1">
    <w:name w:val="WW8Num22z1"/>
    <w:rsid w:val="008C5917"/>
    <w:rPr>
      <w:rFonts w:ascii="Courier New" w:hAnsi="Courier New" w:cs="Courier New"/>
    </w:rPr>
  </w:style>
  <w:style w:type="character" w:customStyle="1" w:styleId="WW8Num22z2">
    <w:name w:val="WW8Num22z2"/>
    <w:rsid w:val="008C5917"/>
    <w:rPr>
      <w:rFonts w:ascii="Wingdings" w:hAnsi="Wingdings"/>
    </w:rPr>
  </w:style>
  <w:style w:type="character" w:customStyle="1" w:styleId="WW8Num22z3">
    <w:name w:val="WW8Num22z3"/>
    <w:rsid w:val="008C5917"/>
    <w:rPr>
      <w:rFonts w:ascii="Symbol" w:hAnsi="Symbol"/>
    </w:rPr>
  </w:style>
  <w:style w:type="character" w:customStyle="1" w:styleId="WW8Num23z0">
    <w:name w:val="WW8Num23z0"/>
    <w:rsid w:val="008C5917"/>
    <w:rPr>
      <w:rFonts w:ascii="Symbol" w:hAnsi="Symbol"/>
    </w:rPr>
  </w:style>
  <w:style w:type="character" w:customStyle="1" w:styleId="WW8Num23z1">
    <w:name w:val="WW8Num23z1"/>
    <w:rsid w:val="008C5917"/>
    <w:rPr>
      <w:rFonts w:ascii="Courier New" w:hAnsi="Courier New" w:cs="Courier New"/>
    </w:rPr>
  </w:style>
  <w:style w:type="character" w:customStyle="1" w:styleId="WW8Num23z2">
    <w:name w:val="WW8Num23z2"/>
    <w:rsid w:val="008C5917"/>
    <w:rPr>
      <w:rFonts w:ascii="Wingdings" w:hAnsi="Wingdings"/>
    </w:rPr>
  </w:style>
  <w:style w:type="character" w:customStyle="1" w:styleId="WW8Num24z0">
    <w:name w:val="WW8Num24z0"/>
    <w:rsid w:val="008C5917"/>
    <w:rPr>
      <w:rFonts w:ascii="Symbol" w:hAnsi="Symbol"/>
    </w:rPr>
  </w:style>
  <w:style w:type="character" w:customStyle="1" w:styleId="WW8Num24z1">
    <w:name w:val="WW8Num24z1"/>
    <w:rsid w:val="008C5917"/>
    <w:rPr>
      <w:rFonts w:ascii="Courier New" w:hAnsi="Courier New" w:cs="Courier New"/>
    </w:rPr>
  </w:style>
  <w:style w:type="character" w:customStyle="1" w:styleId="WW8Num24z2">
    <w:name w:val="WW8Num24z2"/>
    <w:rsid w:val="008C5917"/>
    <w:rPr>
      <w:rFonts w:ascii="Wingdings" w:hAnsi="Wingdings"/>
    </w:rPr>
  </w:style>
  <w:style w:type="character" w:customStyle="1" w:styleId="WW8Num25z0">
    <w:name w:val="WW8Num25z0"/>
    <w:rsid w:val="008C5917"/>
    <w:rPr>
      <w:rFonts w:ascii="Times New Roman" w:eastAsia="Lucida Sans Unicode" w:hAnsi="Times New Roman" w:cs="Times New Roman"/>
    </w:rPr>
  </w:style>
  <w:style w:type="character" w:customStyle="1" w:styleId="WW8Num25z1">
    <w:name w:val="WW8Num25z1"/>
    <w:rsid w:val="008C5917"/>
    <w:rPr>
      <w:rFonts w:ascii="Courier New" w:hAnsi="Courier New" w:cs="Courier New"/>
    </w:rPr>
  </w:style>
  <w:style w:type="character" w:customStyle="1" w:styleId="WW8Num25z2">
    <w:name w:val="WW8Num25z2"/>
    <w:rsid w:val="008C5917"/>
    <w:rPr>
      <w:rFonts w:ascii="Wingdings" w:hAnsi="Wingdings"/>
    </w:rPr>
  </w:style>
  <w:style w:type="character" w:customStyle="1" w:styleId="WW8Num25z3">
    <w:name w:val="WW8Num25z3"/>
    <w:rsid w:val="008C5917"/>
    <w:rPr>
      <w:rFonts w:ascii="Symbol" w:hAnsi="Symbol"/>
    </w:rPr>
  </w:style>
  <w:style w:type="character" w:customStyle="1" w:styleId="WW8Num26z0">
    <w:name w:val="WW8Num26z0"/>
    <w:rsid w:val="008C5917"/>
    <w:rPr>
      <w:rFonts w:ascii="Courier New" w:hAnsi="Courier New" w:cs="Courier New"/>
    </w:rPr>
  </w:style>
  <w:style w:type="character" w:customStyle="1" w:styleId="WW8Num26z2">
    <w:name w:val="WW8Num26z2"/>
    <w:rsid w:val="008C5917"/>
    <w:rPr>
      <w:rFonts w:ascii="Wingdings" w:hAnsi="Wingdings"/>
    </w:rPr>
  </w:style>
  <w:style w:type="character" w:customStyle="1" w:styleId="WW8Num26z3">
    <w:name w:val="WW8Num26z3"/>
    <w:rsid w:val="008C5917"/>
    <w:rPr>
      <w:rFonts w:ascii="Symbol" w:hAnsi="Symbol"/>
    </w:rPr>
  </w:style>
  <w:style w:type="character" w:customStyle="1" w:styleId="WW8Num27z0">
    <w:name w:val="WW8Num27z0"/>
    <w:rsid w:val="008C5917"/>
    <w:rPr>
      <w:rFonts w:ascii="Times New Roman" w:hAnsi="Times New Roman"/>
      <w:sz w:val="28"/>
    </w:rPr>
  </w:style>
  <w:style w:type="character" w:customStyle="1" w:styleId="WW8Num28z0">
    <w:name w:val="WW8Num28z0"/>
    <w:rsid w:val="008C5917"/>
    <w:rPr>
      <w:rFonts w:ascii="Symbol" w:hAnsi="Symbol"/>
    </w:rPr>
  </w:style>
  <w:style w:type="character" w:customStyle="1" w:styleId="WW8Num28z2">
    <w:name w:val="WW8Num28z2"/>
    <w:rsid w:val="008C5917"/>
    <w:rPr>
      <w:rFonts w:ascii="Wingdings" w:hAnsi="Wingdings"/>
    </w:rPr>
  </w:style>
  <w:style w:type="character" w:customStyle="1" w:styleId="Standardnpsmoodstavce2">
    <w:name w:val="Standardní písmo odstavce2"/>
    <w:rsid w:val="008C5917"/>
  </w:style>
  <w:style w:type="character" w:customStyle="1" w:styleId="Absatz-Standardschriftart">
    <w:name w:val="Absatz-Standardschriftart"/>
    <w:rsid w:val="008C5917"/>
  </w:style>
  <w:style w:type="character" w:customStyle="1" w:styleId="WW-Absatz-Standardschriftart">
    <w:name w:val="WW-Absatz-Standardschriftart"/>
    <w:rsid w:val="008C5917"/>
  </w:style>
  <w:style w:type="character" w:customStyle="1" w:styleId="WW-Absatz-Standardschriftart1">
    <w:name w:val="WW-Absatz-Standardschriftart1"/>
    <w:rsid w:val="008C5917"/>
  </w:style>
  <w:style w:type="character" w:customStyle="1" w:styleId="WW-Absatz-Standardschriftart11">
    <w:name w:val="WW-Absatz-Standardschriftart11"/>
    <w:rsid w:val="008C5917"/>
  </w:style>
  <w:style w:type="character" w:customStyle="1" w:styleId="WW-Absatz-Standardschriftart111">
    <w:name w:val="WW-Absatz-Standardschriftart111"/>
    <w:rsid w:val="008C5917"/>
  </w:style>
  <w:style w:type="character" w:customStyle="1" w:styleId="WW8Num1z0">
    <w:name w:val="WW8Num1z0"/>
    <w:rsid w:val="008C5917"/>
    <w:rPr>
      <w:rFonts w:ascii="Times New Roman" w:eastAsia="Times New Roman" w:hAnsi="Times New Roman" w:cs="Times New Roman"/>
    </w:rPr>
  </w:style>
  <w:style w:type="character" w:customStyle="1" w:styleId="WW8Num1z1">
    <w:name w:val="WW8Num1z1"/>
    <w:rsid w:val="008C5917"/>
    <w:rPr>
      <w:rFonts w:ascii="Courier New" w:hAnsi="Courier New"/>
    </w:rPr>
  </w:style>
  <w:style w:type="character" w:customStyle="1" w:styleId="WW8Num1z2">
    <w:name w:val="WW8Num1z2"/>
    <w:rsid w:val="008C5917"/>
    <w:rPr>
      <w:rFonts w:ascii="Wingdings" w:hAnsi="Wingdings"/>
    </w:rPr>
  </w:style>
  <w:style w:type="character" w:customStyle="1" w:styleId="WW8Num1z3">
    <w:name w:val="WW8Num1z3"/>
    <w:rsid w:val="008C5917"/>
    <w:rPr>
      <w:rFonts w:ascii="Symbol" w:hAnsi="Symbol"/>
    </w:rPr>
  </w:style>
  <w:style w:type="character" w:customStyle="1" w:styleId="WW8Num6z1">
    <w:name w:val="WW8Num6z1"/>
    <w:rsid w:val="008C5917"/>
    <w:rPr>
      <w:rFonts w:ascii="Courier New" w:hAnsi="Courier New" w:cs="Courier New"/>
    </w:rPr>
  </w:style>
  <w:style w:type="character" w:customStyle="1" w:styleId="WW8Num6z2">
    <w:name w:val="WW8Num6z2"/>
    <w:rsid w:val="008C5917"/>
    <w:rPr>
      <w:rFonts w:ascii="Wingdings" w:hAnsi="Wingdings"/>
    </w:rPr>
  </w:style>
  <w:style w:type="character" w:customStyle="1" w:styleId="WW8Num6z3">
    <w:name w:val="WW8Num6z3"/>
    <w:rsid w:val="008C5917"/>
    <w:rPr>
      <w:rFonts w:ascii="Symbol" w:hAnsi="Symbol"/>
    </w:rPr>
  </w:style>
  <w:style w:type="character" w:customStyle="1" w:styleId="WW8Num7z1">
    <w:name w:val="WW8Num7z1"/>
    <w:rsid w:val="008C5917"/>
    <w:rPr>
      <w:rFonts w:ascii="Courier New" w:hAnsi="Courier New" w:cs="Courier New"/>
    </w:rPr>
  </w:style>
  <w:style w:type="character" w:customStyle="1" w:styleId="WW8Num7z2">
    <w:name w:val="WW8Num7z2"/>
    <w:rsid w:val="008C5917"/>
    <w:rPr>
      <w:rFonts w:ascii="Wingdings" w:hAnsi="Wingdings"/>
    </w:rPr>
  </w:style>
  <w:style w:type="character" w:customStyle="1" w:styleId="WW8Num11z1">
    <w:name w:val="WW8Num11z1"/>
    <w:rsid w:val="008C5917"/>
    <w:rPr>
      <w:rFonts w:ascii="Courier New" w:hAnsi="Courier New" w:cs="Courier New"/>
    </w:rPr>
  </w:style>
  <w:style w:type="character" w:customStyle="1" w:styleId="WW8Num11z2">
    <w:name w:val="WW8Num11z2"/>
    <w:rsid w:val="008C5917"/>
    <w:rPr>
      <w:rFonts w:ascii="Wingdings" w:hAnsi="Wingdings"/>
    </w:rPr>
  </w:style>
  <w:style w:type="character" w:customStyle="1" w:styleId="WW8Num11z3">
    <w:name w:val="WW8Num11z3"/>
    <w:rsid w:val="008C5917"/>
    <w:rPr>
      <w:rFonts w:ascii="Symbol" w:hAnsi="Symbol"/>
    </w:rPr>
  </w:style>
  <w:style w:type="character" w:customStyle="1" w:styleId="WW8Num13z1">
    <w:name w:val="WW8Num13z1"/>
    <w:rsid w:val="008C5917"/>
    <w:rPr>
      <w:rFonts w:ascii="Courier New" w:hAnsi="Courier New" w:cs="Courier New"/>
    </w:rPr>
  </w:style>
  <w:style w:type="character" w:customStyle="1" w:styleId="WW8Num13z2">
    <w:name w:val="WW8Num13z2"/>
    <w:rsid w:val="008C5917"/>
    <w:rPr>
      <w:rFonts w:ascii="Wingdings" w:hAnsi="Wingdings"/>
    </w:rPr>
  </w:style>
  <w:style w:type="character" w:customStyle="1" w:styleId="WW8Num13z3">
    <w:name w:val="WW8Num13z3"/>
    <w:rsid w:val="008C5917"/>
    <w:rPr>
      <w:rFonts w:ascii="Symbol" w:hAnsi="Symbol"/>
    </w:rPr>
  </w:style>
  <w:style w:type="character" w:customStyle="1" w:styleId="WW8Num15z1">
    <w:name w:val="WW8Num15z1"/>
    <w:rsid w:val="008C5917"/>
    <w:rPr>
      <w:rFonts w:ascii="Courier New" w:hAnsi="Courier New"/>
    </w:rPr>
  </w:style>
  <w:style w:type="character" w:customStyle="1" w:styleId="WW8Num15z2">
    <w:name w:val="WW8Num15z2"/>
    <w:rsid w:val="008C5917"/>
    <w:rPr>
      <w:rFonts w:ascii="Wingdings" w:hAnsi="Wingdings"/>
    </w:rPr>
  </w:style>
  <w:style w:type="character" w:customStyle="1" w:styleId="WW8Num15z3">
    <w:name w:val="WW8Num15z3"/>
    <w:rsid w:val="008C5917"/>
    <w:rPr>
      <w:rFonts w:ascii="Symbol" w:hAnsi="Symbol"/>
    </w:rPr>
  </w:style>
  <w:style w:type="character" w:customStyle="1" w:styleId="WW8Num16z1">
    <w:name w:val="WW8Num16z1"/>
    <w:rsid w:val="008C5917"/>
    <w:rPr>
      <w:rFonts w:ascii="Arial" w:hAnsi="Arial" w:cs="Times New Roman"/>
      <w:sz w:val="22"/>
      <w:szCs w:val="22"/>
    </w:rPr>
  </w:style>
  <w:style w:type="character" w:customStyle="1" w:styleId="WW8Num16z4">
    <w:name w:val="WW8Num16z4"/>
    <w:rsid w:val="008C5917"/>
    <w:rPr>
      <w:rFonts w:ascii="Arial" w:hAnsi="Arial" w:cs="Times New Roman"/>
      <w:b w:val="0"/>
      <w:i w:val="0"/>
      <w:caps w:val="0"/>
      <w:smallCaps w:val="0"/>
      <w:strike w:val="0"/>
      <w:dstrike w:val="0"/>
      <w:outline w:val="0"/>
      <w:shadow w:val="0"/>
      <w:vanish w:val="0"/>
      <w:position w:val="0"/>
      <w:sz w:val="22"/>
      <w:szCs w:val="24"/>
      <w:u w:val="none"/>
      <w:vertAlign w:val="baseline"/>
    </w:rPr>
  </w:style>
  <w:style w:type="character" w:customStyle="1" w:styleId="WW8Num16z5">
    <w:name w:val="WW8Num16z5"/>
    <w:rsid w:val="008C5917"/>
    <w:rPr>
      <w:rFonts w:ascii="Arial" w:hAnsi="Arial" w:cs="Times New Roman"/>
      <w:color w:val="000000"/>
    </w:rPr>
  </w:style>
  <w:style w:type="character" w:customStyle="1" w:styleId="Standardnpsmoodstavce1">
    <w:name w:val="Standardní písmo odstavce1"/>
    <w:rsid w:val="008C5917"/>
  </w:style>
  <w:style w:type="character" w:customStyle="1" w:styleId="WW8Num17z1">
    <w:name w:val="WW8Num17z1"/>
    <w:rsid w:val="008C5917"/>
    <w:rPr>
      <w:rFonts w:ascii="Courier New" w:hAnsi="Courier New" w:cs="Courier New"/>
    </w:rPr>
  </w:style>
  <w:style w:type="character" w:customStyle="1" w:styleId="WW8Num17z2">
    <w:name w:val="WW8Num17z2"/>
    <w:rsid w:val="008C5917"/>
    <w:rPr>
      <w:rFonts w:ascii="Wingdings" w:hAnsi="Wingdings"/>
    </w:rPr>
  </w:style>
  <w:style w:type="character" w:customStyle="1" w:styleId="Odrky">
    <w:name w:val="Odrážky"/>
    <w:rsid w:val="008C5917"/>
    <w:rPr>
      <w:rFonts w:ascii="OpenSymbol" w:eastAsia="OpenSymbol" w:hAnsi="OpenSymbol" w:cs="OpenSymbol"/>
    </w:rPr>
  </w:style>
  <w:style w:type="character" w:customStyle="1" w:styleId="WW8Num38z0">
    <w:name w:val="WW8Num38z0"/>
    <w:rsid w:val="008C5917"/>
    <w:rPr>
      <w:color w:val="000000"/>
    </w:rPr>
  </w:style>
  <w:style w:type="character" w:customStyle="1" w:styleId="TitulekChar">
    <w:name w:val="Titulek Char"/>
    <w:link w:val="Titulek"/>
    <w:rsid w:val="008C5917"/>
    <w:rPr>
      <w:lang w:eastAsia="ar-SA"/>
    </w:rPr>
  </w:style>
  <w:style w:type="paragraph" w:styleId="Titulek">
    <w:name w:val="caption"/>
    <w:basedOn w:val="Normln"/>
    <w:next w:val="Normln"/>
    <w:link w:val="TitulekChar"/>
    <w:qFormat/>
    <w:rsid w:val="008C5917"/>
    <w:pPr>
      <w:ind w:left="0"/>
    </w:pPr>
    <w:rPr>
      <w:sz w:val="20"/>
      <w:szCs w:val="20"/>
      <w:lang w:eastAsia="ar-SA"/>
    </w:rPr>
  </w:style>
  <w:style w:type="paragraph" w:customStyle="1" w:styleId="Nadpis">
    <w:name w:val="Nadpis"/>
    <w:basedOn w:val="Normln"/>
    <w:next w:val="Zkladntext"/>
    <w:uiPriority w:val="99"/>
    <w:rsid w:val="008C5917"/>
    <w:pPr>
      <w:widowControl w:val="0"/>
      <w:suppressAutoHyphens/>
      <w:spacing w:before="360" w:after="180" w:line="288" w:lineRule="auto"/>
      <w:ind w:left="0"/>
    </w:pPr>
    <w:rPr>
      <w:rFonts w:ascii="Arial" w:eastAsia="Arial" w:hAnsi="Arial" w:cs="Arial"/>
      <w:sz w:val="40"/>
      <w:szCs w:val="20"/>
      <w:lang w:eastAsia="ar-SA"/>
    </w:rPr>
  </w:style>
  <w:style w:type="paragraph" w:styleId="Seznam">
    <w:name w:val="List"/>
    <w:basedOn w:val="Zkladntext"/>
    <w:uiPriority w:val="99"/>
    <w:rsid w:val="008C5917"/>
    <w:pPr>
      <w:widowControl w:val="0"/>
      <w:numPr>
        <w:ilvl w:val="0"/>
      </w:numPr>
      <w:suppressAutoHyphens/>
      <w:spacing w:line="288" w:lineRule="auto"/>
      <w:ind w:left="851"/>
    </w:pPr>
    <w:rPr>
      <w:rFonts w:ascii="Arial" w:eastAsia="Arial" w:hAnsi="Arial" w:cs="Mangal"/>
      <w:lang w:eastAsia="ar-SA"/>
    </w:rPr>
  </w:style>
  <w:style w:type="paragraph" w:customStyle="1" w:styleId="Popisek">
    <w:name w:val="Popisek"/>
    <w:basedOn w:val="Normln"/>
    <w:uiPriority w:val="99"/>
    <w:rsid w:val="008C5917"/>
    <w:pPr>
      <w:widowControl w:val="0"/>
      <w:suppressLineNumbers/>
      <w:suppressAutoHyphens/>
      <w:spacing w:before="120" w:after="120" w:line="100" w:lineRule="atLeast"/>
      <w:ind w:left="0"/>
    </w:pPr>
    <w:rPr>
      <w:rFonts w:ascii="Times New Roman" w:eastAsia="Arial" w:hAnsi="Times New Roman" w:cs="Mangal"/>
      <w:i/>
      <w:iCs/>
      <w:sz w:val="24"/>
      <w:lang w:eastAsia="ar-SA"/>
    </w:rPr>
  </w:style>
  <w:style w:type="paragraph" w:customStyle="1" w:styleId="Rejstk">
    <w:name w:val="Rejstřík"/>
    <w:basedOn w:val="Normln"/>
    <w:uiPriority w:val="99"/>
    <w:rsid w:val="008C5917"/>
    <w:pPr>
      <w:widowControl w:val="0"/>
      <w:suppressLineNumbers/>
      <w:suppressAutoHyphens/>
      <w:spacing w:line="100" w:lineRule="atLeast"/>
      <w:ind w:left="0"/>
    </w:pPr>
    <w:rPr>
      <w:rFonts w:ascii="Times New Roman" w:eastAsia="Arial" w:hAnsi="Times New Roman" w:cs="Mangal"/>
      <w:sz w:val="20"/>
      <w:szCs w:val="20"/>
      <w:lang w:eastAsia="ar-SA"/>
    </w:rPr>
  </w:style>
  <w:style w:type="paragraph" w:customStyle="1" w:styleId="Zkladntext31">
    <w:name w:val="Základní text 31"/>
    <w:basedOn w:val="Normln"/>
    <w:uiPriority w:val="99"/>
    <w:rsid w:val="008C5917"/>
    <w:pPr>
      <w:widowControl w:val="0"/>
      <w:suppressAutoHyphens/>
      <w:spacing w:line="100" w:lineRule="atLeast"/>
      <w:ind w:left="0"/>
    </w:pPr>
    <w:rPr>
      <w:rFonts w:ascii="Arial" w:eastAsia="Arial" w:hAnsi="Arial" w:cs="Arial"/>
      <w:sz w:val="24"/>
      <w:szCs w:val="20"/>
      <w:lang w:eastAsia="ar-SA"/>
    </w:rPr>
  </w:style>
  <w:style w:type="paragraph" w:customStyle="1" w:styleId="Poznmka">
    <w:name w:val="Poznámka"/>
    <w:basedOn w:val="Normln"/>
    <w:uiPriority w:val="99"/>
    <w:rsid w:val="008C5917"/>
    <w:pPr>
      <w:widowControl w:val="0"/>
      <w:suppressAutoHyphens/>
      <w:spacing w:line="288" w:lineRule="auto"/>
      <w:ind w:left="0"/>
    </w:pPr>
    <w:rPr>
      <w:rFonts w:ascii="Arial" w:eastAsia="Arial" w:hAnsi="Arial" w:cs="Arial"/>
      <w:i/>
      <w:sz w:val="20"/>
      <w:szCs w:val="20"/>
      <w:lang w:eastAsia="ar-SA"/>
    </w:rPr>
  </w:style>
  <w:style w:type="paragraph" w:customStyle="1" w:styleId="Stnovannadpis">
    <w:name w:val="Stínovaný nadpis"/>
    <w:basedOn w:val="Normln"/>
    <w:next w:val="Zkladntext"/>
    <w:uiPriority w:val="99"/>
    <w:rsid w:val="008C5917"/>
    <w:pPr>
      <w:widowControl w:val="0"/>
      <w:shd w:val="clear" w:color="auto" w:fill="000000"/>
      <w:suppressAutoHyphens/>
      <w:spacing w:before="360" w:after="180" w:line="288" w:lineRule="auto"/>
      <w:ind w:left="0"/>
      <w:jc w:val="center"/>
    </w:pPr>
    <w:rPr>
      <w:rFonts w:ascii="Arial" w:eastAsia="Arial" w:hAnsi="Arial" w:cs="Arial"/>
      <w:b/>
      <w:color w:val="FFFFFF"/>
      <w:sz w:val="36"/>
      <w:szCs w:val="20"/>
      <w:lang w:eastAsia="ar-SA"/>
    </w:rPr>
  </w:style>
  <w:style w:type="paragraph" w:customStyle="1" w:styleId="Import7">
    <w:name w:val="Import 7"/>
    <w:basedOn w:val="Normln"/>
    <w:uiPriority w:val="99"/>
    <w:rsid w:val="008C5917"/>
    <w:pPr>
      <w:widowControl w:val="0"/>
      <w:tabs>
        <w:tab w:val="left" w:pos="720"/>
        <w:tab w:val="left" w:pos="1584"/>
        <w:tab w:val="left" w:pos="2448"/>
        <w:tab w:val="left" w:pos="3312"/>
        <w:tab w:val="left" w:pos="4176"/>
        <w:tab w:val="left" w:pos="5040"/>
        <w:tab w:val="left" w:pos="5904"/>
        <w:tab w:val="left" w:pos="6768"/>
        <w:tab w:val="left" w:pos="7632"/>
        <w:tab w:val="left" w:pos="8496"/>
        <w:tab w:val="left" w:pos="9360"/>
        <w:tab w:val="left" w:pos="10224"/>
        <w:tab w:val="left" w:pos="11088"/>
        <w:tab w:val="left" w:pos="11952"/>
        <w:tab w:val="left" w:pos="12816"/>
        <w:tab w:val="left" w:pos="13680"/>
        <w:tab w:val="left" w:pos="14544"/>
        <w:tab w:val="left" w:pos="15408"/>
        <w:tab w:val="left" w:pos="16272"/>
        <w:tab w:val="left" w:pos="17136"/>
        <w:tab w:val="left" w:pos="18000"/>
        <w:tab w:val="left" w:pos="18864"/>
      </w:tabs>
      <w:suppressAutoHyphens/>
      <w:spacing w:line="432" w:lineRule="auto"/>
      <w:ind w:left="0" w:firstLine="288"/>
    </w:pPr>
    <w:rPr>
      <w:rFonts w:ascii="Arial" w:eastAsia="Arial" w:hAnsi="Arial" w:cs="Arial"/>
      <w:sz w:val="24"/>
      <w:szCs w:val="20"/>
      <w:lang w:eastAsia="ar-SA"/>
    </w:rPr>
  </w:style>
  <w:style w:type="paragraph" w:customStyle="1" w:styleId="Import100">
    <w:name w:val="Import 10"/>
    <w:basedOn w:val="Normln"/>
    <w:uiPriority w:val="99"/>
    <w:rsid w:val="008C5917"/>
    <w:pPr>
      <w:widowControl w:val="0"/>
      <w:tabs>
        <w:tab w:val="left" w:pos="1152"/>
        <w:tab w:val="left" w:pos="2016"/>
        <w:tab w:val="left" w:pos="2880"/>
        <w:tab w:val="left" w:pos="3744"/>
        <w:tab w:val="left" w:pos="4608"/>
        <w:tab w:val="left" w:pos="5472"/>
        <w:tab w:val="left" w:pos="6336"/>
        <w:tab w:val="left" w:pos="7200"/>
        <w:tab w:val="left" w:pos="8064"/>
        <w:tab w:val="left" w:pos="8928"/>
        <w:tab w:val="left" w:pos="9792"/>
        <w:tab w:val="left" w:pos="10656"/>
        <w:tab w:val="left" w:pos="11520"/>
        <w:tab w:val="left" w:pos="12384"/>
        <w:tab w:val="left" w:pos="13248"/>
        <w:tab w:val="left" w:pos="14112"/>
        <w:tab w:val="left" w:pos="14976"/>
        <w:tab w:val="left" w:pos="15840"/>
        <w:tab w:val="left" w:pos="16704"/>
        <w:tab w:val="left" w:pos="17568"/>
        <w:tab w:val="left" w:pos="18432"/>
        <w:tab w:val="left" w:pos="19296"/>
      </w:tabs>
      <w:suppressAutoHyphens/>
      <w:spacing w:line="288" w:lineRule="auto"/>
      <w:ind w:left="432"/>
    </w:pPr>
    <w:rPr>
      <w:rFonts w:ascii="Arial" w:eastAsia="Arial" w:hAnsi="Arial" w:cs="Arial"/>
      <w:sz w:val="24"/>
      <w:szCs w:val="20"/>
      <w:lang w:eastAsia="ar-SA"/>
    </w:rPr>
  </w:style>
  <w:style w:type="paragraph" w:customStyle="1" w:styleId="Import11">
    <w:name w:val="Import 11"/>
    <w:basedOn w:val="Normln"/>
    <w:uiPriority w:val="99"/>
    <w:rsid w:val="008C5917"/>
    <w:pPr>
      <w:widowControl w:val="0"/>
      <w:tabs>
        <w:tab w:val="left" w:pos="2016"/>
        <w:tab w:val="left" w:pos="2880"/>
        <w:tab w:val="left" w:pos="3744"/>
        <w:tab w:val="left" w:pos="4608"/>
        <w:tab w:val="left" w:pos="5472"/>
        <w:tab w:val="left" w:pos="6336"/>
        <w:tab w:val="left" w:pos="7200"/>
        <w:tab w:val="left" w:pos="8064"/>
        <w:tab w:val="left" w:pos="8928"/>
        <w:tab w:val="left" w:pos="9792"/>
        <w:tab w:val="left" w:pos="10656"/>
        <w:tab w:val="left" w:pos="11520"/>
        <w:tab w:val="left" w:pos="12384"/>
        <w:tab w:val="left" w:pos="13248"/>
        <w:tab w:val="left" w:pos="14112"/>
        <w:tab w:val="left" w:pos="14976"/>
        <w:tab w:val="left" w:pos="15840"/>
        <w:tab w:val="left" w:pos="16704"/>
        <w:tab w:val="left" w:pos="17568"/>
        <w:tab w:val="left" w:pos="18432"/>
        <w:tab w:val="left" w:pos="19296"/>
        <w:tab w:val="left" w:pos="20160"/>
      </w:tabs>
      <w:suppressAutoHyphens/>
      <w:spacing w:line="288" w:lineRule="auto"/>
      <w:ind w:left="1296"/>
    </w:pPr>
    <w:rPr>
      <w:rFonts w:ascii="Arial" w:eastAsia="Arial" w:hAnsi="Arial" w:cs="Arial"/>
      <w:sz w:val="24"/>
      <w:szCs w:val="20"/>
      <w:lang w:eastAsia="ar-SA"/>
    </w:rPr>
  </w:style>
  <w:style w:type="paragraph" w:customStyle="1" w:styleId="Import12">
    <w:name w:val="Import 12"/>
    <w:basedOn w:val="Normln"/>
    <w:uiPriority w:val="99"/>
    <w:rsid w:val="008C5917"/>
    <w:pPr>
      <w:widowControl w:val="0"/>
      <w:tabs>
        <w:tab w:val="left" w:pos="1728"/>
        <w:tab w:val="left" w:pos="2592"/>
        <w:tab w:val="left" w:pos="3456"/>
        <w:tab w:val="left" w:pos="4320"/>
        <w:tab w:val="left" w:pos="5184"/>
        <w:tab w:val="left" w:pos="6048"/>
        <w:tab w:val="left" w:pos="6912"/>
        <w:tab w:val="left" w:pos="7776"/>
        <w:tab w:val="left" w:pos="8640"/>
        <w:tab w:val="left" w:pos="9504"/>
        <w:tab w:val="left" w:pos="10368"/>
        <w:tab w:val="left" w:pos="11232"/>
        <w:tab w:val="left" w:pos="12096"/>
        <w:tab w:val="left" w:pos="12960"/>
        <w:tab w:val="left" w:pos="13824"/>
        <w:tab w:val="left" w:pos="14688"/>
        <w:tab w:val="left" w:pos="15552"/>
        <w:tab w:val="left" w:pos="16416"/>
        <w:tab w:val="left" w:pos="17280"/>
        <w:tab w:val="left" w:pos="18144"/>
        <w:tab w:val="left" w:pos="19008"/>
        <w:tab w:val="left" w:pos="19872"/>
      </w:tabs>
      <w:suppressAutoHyphens/>
      <w:spacing w:line="288" w:lineRule="auto"/>
      <w:ind w:left="1008"/>
    </w:pPr>
    <w:rPr>
      <w:rFonts w:ascii="Arial" w:eastAsia="Arial" w:hAnsi="Arial" w:cs="Arial"/>
      <w:sz w:val="24"/>
      <w:szCs w:val="20"/>
      <w:lang w:eastAsia="ar-SA"/>
    </w:rPr>
  </w:style>
  <w:style w:type="paragraph" w:customStyle="1" w:styleId="Import15">
    <w:name w:val="Import 15"/>
    <w:basedOn w:val="Normln"/>
    <w:uiPriority w:val="99"/>
    <w:rsid w:val="008C5917"/>
    <w:pPr>
      <w:widowControl w:val="0"/>
      <w:tabs>
        <w:tab w:val="left" w:pos="1728"/>
        <w:tab w:val="left" w:pos="2592"/>
        <w:tab w:val="left" w:pos="3456"/>
        <w:tab w:val="left" w:pos="4320"/>
        <w:tab w:val="left" w:pos="5184"/>
        <w:tab w:val="left" w:pos="6048"/>
        <w:tab w:val="left" w:pos="6912"/>
        <w:tab w:val="left" w:pos="7776"/>
        <w:tab w:val="left" w:pos="8640"/>
        <w:tab w:val="left" w:pos="9504"/>
        <w:tab w:val="left" w:pos="10368"/>
        <w:tab w:val="left" w:pos="11232"/>
        <w:tab w:val="left" w:pos="12096"/>
        <w:tab w:val="left" w:pos="12960"/>
        <w:tab w:val="left" w:pos="13824"/>
        <w:tab w:val="left" w:pos="14688"/>
        <w:tab w:val="left" w:pos="15552"/>
        <w:tab w:val="left" w:pos="16416"/>
        <w:tab w:val="left" w:pos="17280"/>
        <w:tab w:val="left" w:pos="18144"/>
        <w:tab w:val="left" w:pos="19008"/>
        <w:tab w:val="left" w:pos="19872"/>
      </w:tabs>
      <w:suppressAutoHyphens/>
      <w:spacing w:line="432" w:lineRule="auto"/>
      <w:ind w:left="1008"/>
    </w:pPr>
    <w:rPr>
      <w:rFonts w:ascii="Arial" w:eastAsia="Arial" w:hAnsi="Arial" w:cs="Arial"/>
      <w:sz w:val="24"/>
      <w:szCs w:val="20"/>
      <w:lang w:eastAsia="ar-SA"/>
    </w:rPr>
  </w:style>
  <w:style w:type="paragraph" w:customStyle="1" w:styleId="Import16">
    <w:name w:val="Import 16"/>
    <w:basedOn w:val="Normln"/>
    <w:uiPriority w:val="99"/>
    <w:rsid w:val="008C5917"/>
    <w:pPr>
      <w:widowControl w:val="0"/>
      <w:tabs>
        <w:tab w:val="left" w:pos="1296"/>
        <w:tab w:val="left" w:pos="2160"/>
        <w:tab w:val="left" w:pos="3024"/>
        <w:tab w:val="left" w:pos="3888"/>
        <w:tab w:val="left" w:pos="4752"/>
        <w:tab w:val="left" w:pos="5616"/>
        <w:tab w:val="left" w:pos="6480"/>
        <w:tab w:val="left" w:pos="7344"/>
        <w:tab w:val="left" w:pos="8208"/>
        <w:tab w:val="left" w:pos="9072"/>
        <w:tab w:val="left" w:pos="9936"/>
        <w:tab w:val="left" w:pos="10800"/>
        <w:tab w:val="left" w:pos="11664"/>
        <w:tab w:val="left" w:pos="12528"/>
        <w:tab w:val="left" w:pos="13392"/>
        <w:tab w:val="left" w:pos="14256"/>
        <w:tab w:val="left" w:pos="15120"/>
        <w:tab w:val="left" w:pos="15984"/>
        <w:tab w:val="left" w:pos="16848"/>
        <w:tab w:val="left" w:pos="17712"/>
        <w:tab w:val="left" w:pos="18576"/>
        <w:tab w:val="left" w:pos="19440"/>
      </w:tabs>
      <w:suppressAutoHyphens/>
      <w:spacing w:line="480" w:lineRule="auto"/>
      <w:ind w:left="576"/>
    </w:pPr>
    <w:rPr>
      <w:rFonts w:ascii="Arial" w:eastAsia="Arial" w:hAnsi="Arial" w:cs="Arial"/>
      <w:sz w:val="24"/>
      <w:szCs w:val="20"/>
      <w:lang w:eastAsia="ar-SA"/>
    </w:rPr>
  </w:style>
  <w:style w:type="paragraph" w:customStyle="1" w:styleId="Import18">
    <w:name w:val="Import 18"/>
    <w:basedOn w:val="Normln"/>
    <w:uiPriority w:val="99"/>
    <w:rsid w:val="008C5917"/>
    <w:pPr>
      <w:widowControl w:val="0"/>
      <w:tabs>
        <w:tab w:val="left" w:pos="1296"/>
        <w:tab w:val="left" w:pos="2160"/>
        <w:tab w:val="left" w:pos="3024"/>
        <w:tab w:val="left" w:pos="3888"/>
        <w:tab w:val="left" w:pos="4752"/>
        <w:tab w:val="left" w:pos="5616"/>
        <w:tab w:val="left" w:pos="6480"/>
        <w:tab w:val="left" w:pos="7344"/>
        <w:tab w:val="left" w:pos="8208"/>
        <w:tab w:val="left" w:pos="9072"/>
        <w:tab w:val="left" w:pos="9936"/>
        <w:tab w:val="left" w:pos="10800"/>
        <w:tab w:val="left" w:pos="11664"/>
        <w:tab w:val="left" w:pos="12528"/>
        <w:tab w:val="left" w:pos="13392"/>
        <w:tab w:val="left" w:pos="14256"/>
        <w:tab w:val="left" w:pos="15120"/>
        <w:tab w:val="left" w:pos="15984"/>
        <w:tab w:val="left" w:pos="16848"/>
        <w:tab w:val="left" w:pos="17712"/>
        <w:tab w:val="left" w:pos="18576"/>
        <w:tab w:val="left" w:pos="19440"/>
      </w:tabs>
      <w:suppressAutoHyphens/>
      <w:spacing w:line="432" w:lineRule="auto"/>
      <w:ind w:left="576" w:firstLine="720"/>
    </w:pPr>
    <w:rPr>
      <w:rFonts w:ascii="Arial" w:eastAsia="Arial" w:hAnsi="Arial" w:cs="Arial"/>
      <w:sz w:val="24"/>
      <w:szCs w:val="20"/>
      <w:lang w:eastAsia="ar-SA"/>
    </w:rPr>
  </w:style>
  <w:style w:type="paragraph" w:customStyle="1" w:styleId="Import19">
    <w:name w:val="Import 19"/>
    <w:basedOn w:val="Normln"/>
    <w:uiPriority w:val="99"/>
    <w:rsid w:val="008C5917"/>
    <w:pPr>
      <w:widowControl w:val="0"/>
      <w:tabs>
        <w:tab w:val="left" w:pos="1440"/>
        <w:tab w:val="left" w:pos="2304"/>
        <w:tab w:val="left" w:pos="3168"/>
        <w:tab w:val="left" w:pos="4032"/>
        <w:tab w:val="left" w:pos="4896"/>
        <w:tab w:val="left" w:pos="5760"/>
        <w:tab w:val="left" w:pos="6624"/>
        <w:tab w:val="left" w:pos="7488"/>
        <w:tab w:val="left" w:pos="8352"/>
        <w:tab w:val="left" w:pos="9216"/>
        <w:tab w:val="left" w:pos="10080"/>
        <w:tab w:val="left" w:pos="10944"/>
        <w:tab w:val="left" w:pos="11808"/>
        <w:tab w:val="left" w:pos="12672"/>
        <w:tab w:val="left" w:pos="13536"/>
        <w:tab w:val="left" w:pos="14400"/>
        <w:tab w:val="left" w:pos="15264"/>
        <w:tab w:val="left" w:pos="16128"/>
        <w:tab w:val="left" w:pos="16992"/>
        <w:tab w:val="left" w:pos="17856"/>
        <w:tab w:val="left" w:pos="18720"/>
        <w:tab w:val="left" w:pos="19584"/>
      </w:tabs>
      <w:suppressAutoHyphens/>
      <w:spacing w:line="432" w:lineRule="auto"/>
      <w:ind w:left="720"/>
    </w:pPr>
    <w:rPr>
      <w:rFonts w:ascii="Arial" w:eastAsia="Arial" w:hAnsi="Arial" w:cs="Arial"/>
      <w:sz w:val="24"/>
      <w:szCs w:val="20"/>
      <w:lang w:eastAsia="ar-SA"/>
    </w:rPr>
  </w:style>
  <w:style w:type="paragraph" w:customStyle="1" w:styleId="Import21">
    <w:name w:val="Import 21"/>
    <w:basedOn w:val="Normln"/>
    <w:uiPriority w:val="99"/>
    <w:rsid w:val="008C5917"/>
    <w:pPr>
      <w:widowControl w:val="0"/>
      <w:tabs>
        <w:tab w:val="left" w:pos="3600"/>
        <w:tab w:val="left" w:pos="4464"/>
        <w:tab w:val="left" w:pos="5328"/>
        <w:tab w:val="left" w:pos="6192"/>
        <w:tab w:val="left" w:pos="7056"/>
        <w:tab w:val="left" w:pos="7920"/>
        <w:tab w:val="left" w:pos="8784"/>
        <w:tab w:val="left" w:pos="9648"/>
        <w:tab w:val="left" w:pos="10512"/>
        <w:tab w:val="left" w:pos="11376"/>
        <w:tab w:val="left" w:pos="12240"/>
        <w:tab w:val="left" w:pos="13104"/>
        <w:tab w:val="left" w:pos="13968"/>
        <w:tab w:val="left" w:pos="14832"/>
        <w:tab w:val="left" w:pos="15696"/>
        <w:tab w:val="left" w:pos="16560"/>
        <w:tab w:val="left" w:pos="17424"/>
        <w:tab w:val="left" w:pos="18288"/>
        <w:tab w:val="left" w:pos="19152"/>
        <w:tab w:val="left" w:pos="20016"/>
        <w:tab w:val="left" w:pos="20880"/>
        <w:tab w:val="left" w:pos="21744"/>
      </w:tabs>
      <w:suppressAutoHyphens/>
      <w:spacing w:line="432" w:lineRule="auto"/>
      <w:ind w:left="2880"/>
    </w:pPr>
    <w:rPr>
      <w:rFonts w:ascii="Arial" w:eastAsia="Arial" w:hAnsi="Arial" w:cs="Arial"/>
      <w:sz w:val="24"/>
      <w:szCs w:val="20"/>
      <w:lang w:eastAsia="ar-SA"/>
    </w:rPr>
  </w:style>
  <w:style w:type="paragraph" w:customStyle="1" w:styleId="Import22">
    <w:name w:val="Import 22"/>
    <w:basedOn w:val="Normln"/>
    <w:uiPriority w:val="99"/>
    <w:rsid w:val="008C5917"/>
    <w:pPr>
      <w:widowControl w:val="0"/>
      <w:tabs>
        <w:tab w:val="left" w:pos="7920"/>
        <w:tab w:val="left" w:pos="8784"/>
        <w:tab w:val="left" w:pos="9648"/>
        <w:tab w:val="left" w:pos="10512"/>
        <w:tab w:val="left" w:pos="11376"/>
        <w:tab w:val="left" w:pos="12240"/>
        <w:tab w:val="left" w:pos="13104"/>
        <w:tab w:val="left" w:pos="13968"/>
        <w:tab w:val="left" w:pos="14832"/>
        <w:tab w:val="left" w:pos="15696"/>
        <w:tab w:val="left" w:pos="16560"/>
        <w:tab w:val="left" w:pos="17424"/>
        <w:tab w:val="left" w:pos="18288"/>
        <w:tab w:val="left" w:pos="19152"/>
        <w:tab w:val="left" w:pos="20016"/>
        <w:tab w:val="left" w:pos="20880"/>
        <w:tab w:val="left" w:pos="21744"/>
        <w:tab w:val="left" w:pos="22608"/>
        <w:tab w:val="left" w:pos="23472"/>
        <w:tab w:val="left" w:pos="24336"/>
        <w:tab w:val="left" w:pos="25200"/>
        <w:tab w:val="left" w:pos="26064"/>
      </w:tabs>
      <w:suppressAutoHyphens/>
      <w:spacing w:line="432" w:lineRule="auto"/>
      <w:ind w:left="7200"/>
    </w:pPr>
    <w:rPr>
      <w:rFonts w:ascii="Arial" w:eastAsia="Arial" w:hAnsi="Arial" w:cs="Arial"/>
      <w:sz w:val="24"/>
      <w:szCs w:val="20"/>
      <w:lang w:eastAsia="ar-SA"/>
    </w:rPr>
  </w:style>
  <w:style w:type="paragraph" w:customStyle="1" w:styleId="Import23">
    <w:name w:val="Import 23"/>
    <w:basedOn w:val="Normln"/>
    <w:uiPriority w:val="99"/>
    <w:rsid w:val="008C5917"/>
    <w:pPr>
      <w:widowControl w:val="0"/>
      <w:tabs>
        <w:tab w:val="left" w:pos="3888"/>
        <w:tab w:val="left" w:pos="4752"/>
        <w:tab w:val="left" w:pos="5616"/>
        <w:tab w:val="left" w:pos="6480"/>
        <w:tab w:val="left" w:pos="7344"/>
        <w:tab w:val="left" w:pos="8208"/>
        <w:tab w:val="left" w:pos="9072"/>
        <w:tab w:val="left" w:pos="9936"/>
        <w:tab w:val="left" w:pos="10800"/>
        <w:tab w:val="left" w:pos="11664"/>
        <w:tab w:val="left" w:pos="12528"/>
        <w:tab w:val="left" w:pos="13392"/>
        <w:tab w:val="left" w:pos="14256"/>
        <w:tab w:val="left" w:pos="15120"/>
        <w:tab w:val="left" w:pos="15984"/>
        <w:tab w:val="left" w:pos="16848"/>
        <w:tab w:val="left" w:pos="17712"/>
        <w:tab w:val="left" w:pos="18576"/>
        <w:tab w:val="left" w:pos="19440"/>
        <w:tab w:val="left" w:pos="20304"/>
        <w:tab w:val="left" w:pos="21168"/>
        <w:tab w:val="left" w:pos="22032"/>
      </w:tabs>
      <w:suppressAutoHyphens/>
      <w:spacing w:line="432" w:lineRule="auto"/>
      <w:ind w:left="3168"/>
    </w:pPr>
    <w:rPr>
      <w:rFonts w:ascii="Arial" w:eastAsia="Arial" w:hAnsi="Arial" w:cs="Arial"/>
      <w:sz w:val="24"/>
      <w:szCs w:val="20"/>
      <w:lang w:eastAsia="ar-SA"/>
    </w:rPr>
  </w:style>
  <w:style w:type="paragraph" w:customStyle="1" w:styleId="Import24">
    <w:name w:val="Import 24"/>
    <w:basedOn w:val="Normln"/>
    <w:uiPriority w:val="99"/>
    <w:rsid w:val="008C5917"/>
    <w:pPr>
      <w:widowControl w:val="0"/>
      <w:tabs>
        <w:tab w:val="left" w:pos="2016"/>
        <w:tab w:val="left" w:pos="2880"/>
        <w:tab w:val="left" w:pos="3744"/>
        <w:tab w:val="left" w:pos="4608"/>
        <w:tab w:val="left" w:pos="5472"/>
        <w:tab w:val="left" w:pos="6336"/>
        <w:tab w:val="left" w:pos="7200"/>
        <w:tab w:val="left" w:pos="8064"/>
        <w:tab w:val="left" w:pos="8928"/>
        <w:tab w:val="left" w:pos="9792"/>
        <w:tab w:val="left" w:pos="10656"/>
        <w:tab w:val="left" w:pos="11520"/>
        <w:tab w:val="left" w:pos="12384"/>
        <w:tab w:val="left" w:pos="13248"/>
        <w:tab w:val="left" w:pos="14112"/>
        <w:tab w:val="left" w:pos="14976"/>
        <w:tab w:val="left" w:pos="15840"/>
        <w:tab w:val="left" w:pos="16704"/>
        <w:tab w:val="left" w:pos="17568"/>
        <w:tab w:val="left" w:pos="18432"/>
        <w:tab w:val="left" w:pos="19296"/>
        <w:tab w:val="left" w:pos="20160"/>
      </w:tabs>
      <w:suppressAutoHyphens/>
      <w:spacing w:line="432" w:lineRule="auto"/>
      <w:ind w:left="1296" w:hanging="576"/>
    </w:pPr>
    <w:rPr>
      <w:rFonts w:ascii="Arial" w:eastAsia="Arial" w:hAnsi="Arial" w:cs="Arial"/>
      <w:sz w:val="24"/>
      <w:szCs w:val="20"/>
      <w:lang w:eastAsia="ar-SA"/>
    </w:rPr>
  </w:style>
  <w:style w:type="paragraph" w:customStyle="1" w:styleId="Import25">
    <w:name w:val="Import 25"/>
    <w:basedOn w:val="Normln"/>
    <w:uiPriority w:val="99"/>
    <w:rsid w:val="008C5917"/>
    <w:pPr>
      <w:widowControl w:val="0"/>
      <w:tabs>
        <w:tab w:val="left" w:pos="1152"/>
        <w:tab w:val="left" w:pos="2016"/>
        <w:tab w:val="left" w:pos="2880"/>
        <w:tab w:val="left" w:pos="3744"/>
        <w:tab w:val="left" w:pos="4608"/>
        <w:tab w:val="left" w:pos="5472"/>
        <w:tab w:val="left" w:pos="6336"/>
        <w:tab w:val="left" w:pos="7200"/>
        <w:tab w:val="left" w:pos="8064"/>
        <w:tab w:val="left" w:pos="8928"/>
        <w:tab w:val="left" w:pos="9792"/>
        <w:tab w:val="left" w:pos="10656"/>
        <w:tab w:val="left" w:pos="11520"/>
        <w:tab w:val="left" w:pos="12384"/>
        <w:tab w:val="left" w:pos="13248"/>
        <w:tab w:val="left" w:pos="14112"/>
        <w:tab w:val="left" w:pos="14976"/>
        <w:tab w:val="left" w:pos="15840"/>
        <w:tab w:val="left" w:pos="16704"/>
        <w:tab w:val="left" w:pos="17568"/>
        <w:tab w:val="left" w:pos="18432"/>
        <w:tab w:val="left" w:pos="19296"/>
      </w:tabs>
      <w:suppressAutoHyphens/>
      <w:spacing w:line="432" w:lineRule="auto"/>
      <w:ind w:left="432"/>
    </w:pPr>
    <w:rPr>
      <w:rFonts w:ascii="Arial" w:eastAsia="Arial" w:hAnsi="Arial" w:cs="Arial"/>
      <w:sz w:val="24"/>
      <w:szCs w:val="20"/>
      <w:lang w:eastAsia="ar-SA"/>
    </w:rPr>
  </w:style>
  <w:style w:type="paragraph" w:customStyle="1" w:styleId="Import26">
    <w:name w:val="Import 26"/>
    <w:basedOn w:val="Normln"/>
    <w:uiPriority w:val="99"/>
    <w:rsid w:val="008C5917"/>
    <w:pPr>
      <w:widowControl w:val="0"/>
      <w:tabs>
        <w:tab w:val="left" w:pos="1584"/>
        <w:tab w:val="left" w:pos="2448"/>
        <w:tab w:val="left" w:pos="3312"/>
        <w:tab w:val="left" w:pos="4176"/>
        <w:tab w:val="left" w:pos="5040"/>
        <w:tab w:val="left" w:pos="5904"/>
        <w:tab w:val="left" w:pos="6768"/>
        <w:tab w:val="left" w:pos="7632"/>
        <w:tab w:val="left" w:pos="8496"/>
        <w:tab w:val="left" w:pos="9360"/>
        <w:tab w:val="left" w:pos="10224"/>
        <w:tab w:val="left" w:pos="11088"/>
        <w:tab w:val="left" w:pos="11952"/>
        <w:tab w:val="left" w:pos="12816"/>
        <w:tab w:val="left" w:pos="13680"/>
        <w:tab w:val="left" w:pos="14544"/>
        <w:tab w:val="left" w:pos="15408"/>
        <w:tab w:val="left" w:pos="16272"/>
        <w:tab w:val="left" w:pos="17136"/>
        <w:tab w:val="left" w:pos="18000"/>
        <w:tab w:val="left" w:pos="18864"/>
        <w:tab w:val="left" w:pos="19728"/>
      </w:tabs>
      <w:suppressAutoHyphens/>
      <w:spacing w:line="432" w:lineRule="auto"/>
      <w:ind w:left="864" w:hanging="432"/>
    </w:pPr>
    <w:rPr>
      <w:rFonts w:ascii="Arial" w:eastAsia="Arial" w:hAnsi="Arial" w:cs="Arial"/>
      <w:sz w:val="24"/>
      <w:szCs w:val="20"/>
      <w:lang w:eastAsia="ar-SA"/>
    </w:rPr>
  </w:style>
  <w:style w:type="paragraph" w:customStyle="1" w:styleId="Import27">
    <w:name w:val="Import 27"/>
    <w:basedOn w:val="Normln"/>
    <w:uiPriority w:val="99"/>
    <w:rsid w:val="008C5917"/>
    <w:pPr>
      <w:widowControl w:val="0"/>
      <w:tabs>
        <w:tab w:val="left" w:pos="1872"/>
        <w:tab w:val="left" w:pos="2736"/>
        <w:tab w:val="left" w:pos="3600"/>
        <w:tab w:val="left" w:pos="4464"/>
        <w:tab w:val="left" w:pos="5328"/>
        <w:tab w:val="left" w:pos="6192"/>
        <w:tab w:val="left" w:pos="7056"/>
        <w:tab w:val="left" w:pos="7920"/>
        <w:tab w:val="left" w:pos="8784"/>
        <w:tab w:val="left" w:pos="9648"/>
        <w:tab w:val="left" w:pos="10512"/>
        <w:tab w:val="left" w:pos="11376"/>
        <w:tab w:val="left" w:pos="12240"/>
        <w:tab w:val="left" w:pos="13104"/>
        <w:tab w:val="left" w:pos="13968"/>
        <w:tab w:val="left" w:pos="14832"/>
        <w:tab w:val="left" w:pos="15696"/>
        <w:tab w:val="left" w:pos="16560"/>
        <w:tab w:val="left" w:pos="17424"/>
        <w:tab w:val="left" w:pos="18288"/>
        <w:tab w:val="left" w:pos="19152"/>
        <w:tab w:val="left" w:pos="20016"/>
      </w:tabs>
      <w:suppressAutoHyphens/>
      <w:spacing w:line="432" w:lineRule="auto"/>
      <w:ind w:left="1152" w:hanging="288"/>
    </w:pPr>
    <w:rPr>
      <w:rFonts w:ascii="Arial" w:eastAsia="Arial" w:hAnsi="Arial" w:cs="Arial"/>
      <w:sz w:val="24"/>
      <w:szCs w:val="20"/>
      <w:lang w:eastAsia="ar-SA"/>
    </w:rPr>
  </w:style>
  <w:style w:type="paragraph" w:customStyle="1" w:styleId="Import28">
    <w:name w:val="Import 28"/>
    <w:basedOn w:val="Normln"/>
    <w:uiPriority w:val="99"/>
    <w:rsid w:val="008C5917"/>
    <w:pPr>
      <w:widowControl w:val="0"/>
      <w:tabs>
        <w:tab w:val="left" w:pos="1872"/>
        <w:tab w:val="left" w:pos="2736"/>
        <w:tab w:val="left" w:pos="3600"/>
        <w:tab w:val="left" w:pos="4464"/>
        <w:tab w:val="left" w:pos="5328"/>
        <w:tab w:val="left" w:pos="6192"/>
        <w:tab w:val="left" w:pos="7056"/>
        <w:tab w:val="left" w:pos="7920"/>
        <w:tab w:val="left" w:pos="8784"/>
        <w:tab w:val="left" w:pos="9648"/>
        <w:tab w:val="left" w:pos="10512"/>
        <w:tab w:val="left" w:pos="11376"/>
        <w:tab w:val="left" w:pos="12240"/>
        <w:tab w:val="left" w:pos="13104"/>
        <w:tab w:val="left" w:pos="13968"/>
        <w:tab w:val="left" w:pos="14832"/>
        <w:tab w:val="left" w:pos="15696"/>
        <w:tab w:val="left" w:pos="16560"/>
        <w:tab w:val="left" w:pos="17424"/>
        <w:tab w:val="left" w:pos="18288"/>
        <w:tab w:val="left" w:pos="19152"/>
        <w:tab w:val="left" w:pos="20016"/>
      </w:tabs>
      <w:suppressAutoHyphens/>
      <w:spacing w:line="432" w:lineRule="auto"/>
      <w:ind w:left="1152"/>
    </w:pPr>
    <w:rPr>
      <w:rFonts w:ascii="Arial" w:eastAsia="Arial" w:hAnsi="Arial" w:cs="Arial"/>
      <w:sz w:val="24"/>
      <w:szCs w:val="20"/>
      <w:lang w:eastAsia="ar-SA"/>
    </w:rPr>
  </w:style>
  <w:style w:type="paragraph" w:customStyle="1" w:styleId="Import29">
    <w:name w:val="Import 29"/>
    <w:basedOn w:val="Normln"/>
    <w:uiPriority w:val="99"/>
    <w:rsid w:val="008C5917"/>
    <w:pPr>
      <w:widowControl w:val="0"/>
      <w:tabs>
        <w:tab w:val="left" w:pos="3024"/>
        <w:tab w:val="left" w:pos="3888"/>
        <w:tab w:val="left" w:pos="4752"/>
        <w:tab w:val="left" w:pos="5616"/>
        <w:tab w:val="left" w:pos="6480"/>
        <w:tab w:val="left" w:pos="7344"/>
        <w:tab w:val="left" w:pos="8208"/>
        <w:tab w:val="left" w:pos="9072"/>
        <w:tab w:val="left" w:pos="9936"/>
        <w:tab w:val="left" w:pos="10800"/>
        <w:tab w:val="left" w:pos="11664"/>
        <w:tab w:val="left" w:pos="12528"/>
        <w:tab w:val="left" w:pos="13392"/>
        <w:tab w:val="left" w:pos="14256"/>
        <w:tab w:val="left" w:pos="15120"/>
        <w:tab w:val="left" w:pos="15984"/>
        <w:tab w:val="left" w:pos="16848"/>
        <w:tab w:val="left" w:pos="17712"/>
        <w:tab w:val="left" w:pos="18576"/>
        <w:tab w:val="left" w:pos="19440"/>
        <w:tab w:val="left" w:pos="20304"/>
        <w:tab w:val="left" w:pos="21168"/>
      </w:tabs>
      <w:suppressAutoHyphens/>
      <w:spacing w:line="432" w:lineRule="auto"/>
      <w:ind w:left="2304"/>
    </w:pPr>
    <w:rPr>
      <w:rFonts w:ascii="Arial" w:eastAsia="Arial" w:hAnsi="Arial" w:cs="Arial"/>
      <w:sz w:val="24"/>
      <w:szCs w:val="20"/>
      <w:lang w:eastAsia="ar-SA"/>
    </w:rPr>
  </w:style>
  <w:style w:type="paragraph" w:customStyle="1" w:styleId="Import30">
    <w:name w:val="Import 30"/>
    <w:basedOn w:val="Normln"/>
    <w:uiPriority w:val="99"/>
    <w:rsid w:val="008C5917"/>
    <w:pPr>
      <w:widowControl w:val="0"/>
      <w:tabs>
        <w:tab w:val="left" w:pos="2592"/>
      </w:tabs>
      <w:suppressAutoHyphens/>
      <w:spacing w:line="432" w:lineRule="auto"/>
      <w:ind w:left="576"/>
    </w:pPr>
    <w:rPr>
      <w:rFonts w:ascii="Arial" w:eastAsia="Arial" w:hAnsi="Arial" w:cs="Arial"/>
      <w:sz w:val="24"/>
      <w:szCs w:val="20"/>
      <w:lang w:eastAsia="ar-SA"/>
    </w:rPr>
  </w:style>
  <w:style w:type="paragraph" w:customStyle="1" w:styleId="Import31">
    <w:name w:val="Import 31"/>
    <w:basedOn w:val="Normln"/>
    <w:uiPriority w:val="99"/>
    <w:rsid w:val="008C5917"/>
    <w:pPr>
      <w:widowControl w:val="0"/>
      <w:tabs>
        <w:tab w:val="left" w:pos="2304"/>
        <w:tab w:val="left" w:pos="3168"/>
        <w:tab w:val="left" w:pos="4032"/>
        <w:tab w:val="left" w:pos="4896"/>
        <w:tab w:val="left" w:pos="5760"/>
        <w:tab w:val="left" w:pos="6624"/>
        <w:tab w:val="left" w:pos="7488"/>
        <w:tab w:val="left" w:pos="8352"/>
        <w:tab w:val="left" w:pos="9216"/>
        <w:tab w:val="left" w:pos="10080"/>
        <w:tab w:val="left" w:pos="10944"/>
        <w:tab w:val="left" w:pos="11808"/>
        <w:tab w:val="left" w:pos="12672"/>
        <w:tab w:val="left" w:pos="13536"/>
        <w:tab w:val="left" w:pos="14400"/>
        <w:tab w:val="left" w:pos="15264"/>
        <w:tab w:val="left" w:pos="16128"/>
        <w:tab w:val="left" w:pos="16992"/>
        <w:tab w:val="left" w:pos="17856"/>
        <w:tab w:val="left" w:pos="18720"/>
        <w:tab w:val="left" w:pos="19584"/>
        <w:tab w:val="left" w:pos="20448"/>
      </w:tabs>
      <w:suppressAutoHyphens/>
      <w:spacing w:line="432" w:lineRule="auto"/>
      <w:ind w:left="1584"/>
    </w:pPr>
    <w:rPr>
      <w:rFonts w:ascii="Arial" w:eastAsia="Arial" w:hAnsi="Arial" w:cs="Arial"/>
      <w:sz w:val="24"/>
      <w:szCs w:val="20"/>
      <w:lang w:eastAsia="ar-SA"/>
    </w:rPr>
  </w:style>
  <w:style w:type="paragraph" w:customStyle="1" w:styleId="Import32">
    <w:name w:val="Import 32"/>
    <w:basedOn w:val="Normln"/>
    <w:uiPriority w:val="99"/>
    <w:rsid w:val="008C5917"/>
    <w:pPr>
      <w:widowControl w:val="0"/>
      <w:tabs>
        <w:tab w:val="left" w:pos="2304"/>
        <w:tab w:val="left" w:pos="3168"/>
        <w:tab w:val="left" w:pos="4032"/>
        <w:tab w:val="left" w:pos="4896"/>
        <w:tab w:val="left" w:pos="5760"/>
        <w:tab w:val="left" w:pos="6624"/>
        <w:tab w:val="left" w:pos="7488"/>
        <w:tab w:val="left" w:pos="8352"/>
        <w:tab w:val="left" w:pos="9216"/>
        <w:tab w:val="left" w:pos="10080"/>
        <w:tab w:val="left" w:pos="10944"/>
        <w:tab w:val="left" w:pos="11808"/>
        <w:tab w:val="left" w:pos="12672"/>
        <w:tab w:val="left" w:pos="13536"/>
        <w:tab w:val="left" w:pos="14400"/>
        <w:tab w:val="left" w:pos="15264"/>
        <w:tab w:val="left" w:pos="16128"/>
        <w:tab w:val="left" w:pos="16992"/>
        <w:tab w:val="left" w:pos="17856"/>
        <w:tab w:val="left" w:pos="18720"/>
        <w:tab w:val="left" w:pos="19584"/>
        <w:tab w:val="left" w:pos="20448"/>
      </w:tabs>
      <w:suppressAutoHyphens/>
      <w:spacing w:line="432" w:lineRule="auto"/>
      <w:ind w:left="1584" w:hanging="1008"/>
    </w:pPr>
    <w:rPr>
      <w:rFonts w:ascii="Arial" w:eastAsia="Arial" w:hAnsi="Arial" w:cs="Arial"/>
      <w:sz w:val="24"/>
      <w:szCs w:val="20"/>
      <w:lang w:eastAsia="ar-SA"/>
    </w:rPr>
  </w:style>
  <w:style w:type="paragraph" w:customStyle="1" w:styleId="Import33">
    <w:name w:val="Import 33"/>
    <w:basedOn w:val="Normln"/>
    <w:uiPriority w:val="99"/>
    <w:rsid w:val="008C5917"/>
    <w:pPr>
      <w:widowControl w:val="0"/>
      <w:tabs>
        <w:tab w:val="left" w:pos="4464"/>
        <w:tab w:val="left" w:pos="5328"/>
        <w:tab w:val="left" w:pos="6192"/>
        <w:tab w:val="left" w:pos="7056"/>
        <w:tab w:val="left" w:pos="7920"/>
        <w:tab w:val="left" w:pos="8784"/>
        <w:tab w:val="left" w:pos="9648"/>
        <w:tab w:val="left" w:pos="10512"/>
        <w:tab w:val="left" w:pos="11376"/>
        <w:tab w:val="left" w:pos="12240"/>
        <w:tab w:val="left" w:pos="13104"/>
        <w:tab w:val="left" w:pos="13968"/>
        <w:tab w:val="left" w:pos="14832"/>
        <w:tab w:val="left" w:pos="15696"/>
        <w:tab w:val="left" w:pos="16560"/>
        <w:tab w:val="left" w:pos="17424"/>
        <w:tab w:val="left" w:pos="18288"/>
        <w:tab w:val="left" w:pos="19152"/>
        <w:tab w:val="left" w:pos="20016"/>
        <w:tab w:val="left" w:pos="20880"/>
        <w:tab w:val="left" w:pos="21744"/>
        <w:tab w:val="left" w:pos="22608"/>
      </w:tabs>
      <w:suppressAutoHyphens/>
      <w:spacing w:line="432" w:lineRule="auto"/>
      <w:ind w:left="3744"/>
    </w:pPr>
    <w:rPr>
      <w:rFonts w:ascii="Arial" w:eastAsia="Arial" w:hAnsi="Arial" w:cs="Arial"/>
      <w:sz w:val="24"/>
      <w:szCs w:val="20"/>
      <w:lang w:eastAsia="ar-SA"/>
    </w:rPr>
  </w:style>
  <w:style w:type="paragraph" w:customStyle="1" w:styleId="Import34">
    <w:name w:val="Import 34"/>
    <w:basedOn w:val="Normln"/>
    <w:uiPriority w:val="99"/>
    <w:rsid w:val="008C5917"/>
    <w:pPr>
      <w:widowControl w:val="0"/>
      <w:tabs>
        <w:tab w:val="left" w:pos="4176"/>
      </w:tabs>
      <w:suppressAutoHyphens/>
      <w:spacing w:line="432" w:lineRule="auto"/>
      <w:ind w:left="576"/>
    </w:pPr>
    <w:rPr>
      <w:rFonts w:ascii="Arial" w:eastAsia="Arial" w:hAnsi="Arial" w:cs="Arial"/>
      <w:sz w:val="24"/>
      <w:szCs w:val="20"/>
      <w:lang w:eastAsia="ar-SA"/>
    </w:rPr>
  </w:style>
  <w:style w:type="paragraph" w:customStyle="1" w:styleId="Import35">
    <w:name w:val="Import 35"/>
    <w:basedOn w:val="Normln"/>
    <w:uiPriority w:val="99"/>
    <w:rsid w:val="008C5917"/>
    <w:pPr>
      <w:widowControl w:val="0"/>
      <w:tabs>
        <w:tab w:val="left" w:pos="4320"/>
        <w:tab w:val="left" w:pos="5184"/>
        <w:tab w:val="left" w:pos="6048"/>
        <w:tab w:val="left" w:pos="6912"/>
        <w:tab w:val="left" w:pos="7776"/>
        <w:tab w:val="left" w:pos="8640"/>
        <w:tab w:val="left" w:pos="9504"/>
        <w:tab w:val="left" w:pos="10368"/>
        <w:tab w:val="left" w:pos="11232"/>
        <w:tab w:val="left" w:pos="12096"/>
        <w:tab w:val="left" w:pos="12960"/>
        <w:tab w:val="left" w:pos="13824"/>
        <w:tab w:val="left" w:pos="14688"/>
        <w:tab w:val="left" w:pos="15552"/>
        <w:tab w:val="left" w:pos="16416"/>
        <w:tab w:val="left" w:pos="17280"/>
        <w:tab w:val="left" w:pos="18144"/>
        <w:tab w:val="left" w:pos="19008"/>
        <w:tab w:val="left" w:pos="19872"/>
        <w:tab w:val="left" w:pos="20736"/>
        <w:tab w:val="left" w:pos="21600"/>
        <w:tab w:val="left" w:pos="22464"/>
      </w:tabs>
      <w:suppressAutoHyphens/>
      <w:spacing w:line="432" w:lineRule="auto"/>
      <w:ind w:left="3600"/>
    </w:pPr>
    <w:rPr>
      <w:rFonts w:ascii="Arial" w:eastAsia="Arial" w:hAnsi="Arial" w:cs="Arial"/>
      <w:sz w:val="24"/>
      <w:szCs w:val="20"/>
      <w:lang w:eastAsia="ar-SA"/>
    </w:rPr>
  </w:style>
  <w:style w:type="paragraph" w:customStyle="1" w:styleId="Import36">
    <w:name w:val="Import 36"/>
    <w:basedOn w:val="Normln"/>
    <w:uiPriority w:val="99"/>
    <w:rsid w:val="008C5917"/>
    <w:pPr>
      <w:widowControl w:val="0"/>
      <w:tabs>
        <w:tab w:val="left" w:pos="6480"/>
      </w:tabs>
      <w:suppressAutoHyphens/>
      <w:spacing w:line="432" w:lineRule="auto"/>
      <w:ind w:left="576"/>
    </w:pPr>
    <w:rPr>
      <w:rFonts w:ascii="Arial" w:eastAsia="Arial" w:hAnsi="Arial" w:cs="Arial"/>
      <w:sz w:val="24"/>
      <w:szCs w:val="20"/>
      <w:lang w:eastAsia="ar-SA"/>
    </w:rPr>
  </w:style>
  <w:style w:type="paragraph" w:customStyle="1" w:styleId="Import38">
    <w:name w:val="Import 38"/>
    <w:basedOn w:val="Normln"/>
    <w:uiPriority w:val="99"/>
    <w:rsid w:val="008C5917"/>
    <w:pPr>
      <w:widowControl w:val="0"/>
      <w:tabs>
        <w:tab w:val="left" w:pos="4896"/>
        <w:tab w:val="left" w:pos="6048"/>
        <w:tab w:val="left" w:pos="7200"/>
        <w:tab w:val="left" w:pos="8352"/>
      </w:tabs>
      <w:suppressAutoHyphens/>
      <w:spacing w:line="432" w:lineRule="auto"/>
      <w:ind w:left="576"/>
    </w:pPr>
    <w:rPr>
      <w:rFonts w:ascii="Arial" w:eastAsia="Arial" w:hAnsi="Arial" w:cs="Arial"/>
      <w:sz w:val="24"/>
      <w:szCs w:val="20"/>
      <w:lang w:eastAsia="ar-SA"/>
    </w:rPr>
  </w:style>
  <w:style w:type="paragraph" w:customStyle="1" w:styleId="Import39">
    <w:name w:val="Import 39"/>
    <w:basedOn w:val="Normln"/>
    <w:uiPriority w:val="99"/>
    <w:rsid w:val="008C5917"/>
    <w:pPr>
      <w:widowControl w:val="0"/>
      <w:tabs>
        <w:tab w:val="left" w:pos="7632"/>
      </w:tabs>
      <w:suppressAutoHyphens/>
      <w:spacing w:line="432" w:lineRule="auto"/>
      <w:ind w:left="576"/>
    </w:pPr>
    <w:rPr>
      <w:rFonts w:ascii="Arial" w:eastAsia="Arial" w:hAnsi="Arial" w:cs="Arial"/>
      <w:sz w:val="24"/>
      <w:szCs w:val="20"/>
      <w:lang w:eastAsia="ar-SA"/>
    </w:rPr>
  </w:style>
  <w:style w:type="paragraph" w:customStyle="1" w:styleId="Import40">
    <w:name w:val="Import 40"/>
    <w:basedOn w:val="Normln"/>
    <w:uiPriority w:val="99"/>
    <w:rsid w:val="008C5917"/>
    <w:pPr>
      <w:widowControl w:val="0"/>
      <w:tabs>
        <w:tab w:val="left" w:pos="7488"/>
      </w:tabs>
      <w:suppressAutoHyphens/>
      <w:spacing w:line="432" w:lineRule="auto"/>
      <w:ind w:left="576"/>
    </w:pPr>
    <w:rPr>
      <w:rFonts w:ascii="Arial" w:eastAsia="Arial" w:hAnsi="Arial" w:cs="Arial"/>
      <w:sz w:val="24"/>
      <w:szCs w:val="20"/>
      <w:lang w:eastAsia="ar-SA"/>
    </w:rPr>
  </w:style>
  <w:style w:type="paragraph" w:customStyle="1" w:styleId="Import41">
    <w:name w:val="Import 41"/>
    <w:basedOn w:val="Normln"/>
    <w:uiPriority w:val="99"/>
    <w:rsid w:val="008C5917"/>
    <w:pPr>
      <w:widowControl w:val="0"/>
      <w:tabs>
        <w:tab w:val="left" w:pos="1728"/>
        <w:tab w:val="left" w:pos="2592"/>
        <w:tab w:val="left" w:pos="3456"/>
        <w:tab w:val="left" w:pos="4320"/>
        <w:tab w:val="left" w:pos="5184"/>
        <w:tab w:val="left" w:pos="6048"/>
        <w:tab w:val="left" w:pos="6912"/>
        <w:tab w:val="left" w:pos="7776"/>
        <w:tab w:val="left" w:pos="8640"/>
        <w:tab w:val="left" w:pos="9504"/>
        <w:tab w:val="left" w:pos="10368"/>
        <w:tab w:val="left" w:pos="11232"/>
        <w:tab w:val="left" w:pos="12096"/>
        <w:tab w:val="left" w:pos="12960"/>
        <w:tab w:val="left" w:pos="13824"/>
        <w:tab w:val="left" w:pos="14688"/>
        <w:tab w:val="left" w:pos="15552"/>
        <w:tab w:val="left" w:pos="16416"/>
        <w:tab w:val="left" w:pos="17280"/>
        <w:tab w:val="left" w:pos="18144"/>
        <w:tab w:val="left" w:pos="19008"/>
        <w:tab w:val="left" w:pos="19872"/>
      </w:tabs>
      <w:suppressAutoHyphens/>
      <w:spacing w:line="432" w:lineRule="auto"/>
      <w:ind w:left="1008" w:hanging="576"/>
    </w:pPr>
    <w:rPr>
      <w:rFonts w:ascii="Arial" w:eastAsia="Arial" w:hAnsi="Arial" w:cs="Arial"/>
      <w:sz w:val="24"/>
      <w:szCs w:val="20"/>
      <w:lang w:eastAsia="ar-SA"/>
    </w:rPr>
  </w:style>
  <w:style w:type="paragraph" w:customStyle="1" w:styleId="Import42">
    <w:name w:val="Import 42"/>
    <w:basedOn w:val="Normln"/>
    <w:uiPriority w:val="99"/>
    <w:rsid w:val="008C5917"/>
    <w:pPr>
      <w:widowControl w:val="0"/>
      <w:tabs>
        <w:tab w:val="left" w:pos="1872"/>
        <w:tab w:val="left" w:pos="2736"/>
        <w:tab w:val="left" w:pos="3600"/>
        <w:tab w:val="left" w:pos="4464"/>
        <w:tab w:val="left" w:pos="5328"/>
        <w:tab w:val="left" w:pos="6192"/>
        <w:tab w:val="left" w:pos="7056"/>
        <w:tab w:val="left" w:pos="7920"/>
        <w:tab w:val="left" w:pos="8784"/>
        <w:tab w:val="left" w:pos="9648"/>
        <w:tab w:val="left" w:pos="10512"/>
        <w:tab w:val="left" w:pos="11376"/>
        <w:tab w:val="left" w:pos="12240"/>
        <w:tab w:val="left" w:pos="13104"/>
        <w:tab w:val="left" w:pos="13968"/>
        <w:tab w:val="left" w:pos="14832"/>
        <w:tab w:val="left" w:pos="15696"/>
        <w:tab w:val="left" w:pos="16560"/>
        <w:tab w:val="left" w:pos="17424"/>
        <w:tab w:val="left" w:pos="18288"/>
        <w:tab w:val="left" w:pos="19152"/>
        <w:tab w:val="left" w:pos="20016"/>
      </w:tabs>
      <w:suppressAutoHyphens/>
      <w:spacing w:line="432" w:lineRule="auto"/>
      <w:ind w:left="1152" w:hanging="144"/>
    </w:pPr>
    <w:rPr>
      <w:rFonts w:ascii="Arial" w:eastAsia="Arial" w:hAnsi="Arial" w:cs="Arial"/>
      <w:sz w:val="24"/>
      <w:szCs w:val="20"/>
      <w:lang w:eastAsia="ar-SA"/>
    </w:rPr>
  </w:style>
  <w:style w:type="paragraph" w:customStyle="1" w:styleId="Import43">
    <w:name w:val="Import 43"/>
    <w:basedOn w:val="Normln"/>
    <w:uiPriority w:val="99"/>
    <w:rsid w:val="008C5917"/>
    <w:pPr>
      <w:widowControl w:val="0"/>
      <w:tabs>
        <w:tab w:val="left" w:pos="3888"/>
      </w:tabs>
      <w:suppressAutoHyphens/>
      <w:spacing w:line="432" w:lineRule="auto"/>
      <w:ind w:left="1152" w:hanging="144"/>
    </w:pPr>
    <w:rPr>
      <w:rFonts w:ascii="Arial" w:eastAsia="Arial" w:hAnsi="Arial" w:cs="Arial"/>
      <w:sz w:val="24"/>
      <w:szCs w:val="20"/>
      <w:lang w:eastAsia="ar-SA"/>
    </w:rPr>
  </w:style>
  <w:style w:type="paragraph" w:customStyle="1" w:styleId="Import44">
    <w:name w:val="Import 44"/>
    <w:basedOn w:val="Normln"/>
    <w:uiPriority w:val="99"/>
    <w:rsid w:val="008C5917"/>
    <w:pPr>
      <w:widowControl w:val="0"/>
      <w:tabs>
        <w:tab w:val="left" w:pos="2016"/>
        <w:tab w:val="left" w:pos="2880"/>
        <w:tab w:val="left" w:pos="3744"/>
        <w:tab w:val="left" w:pos="4608"/>
        <w:tab w:val="left" w:pos="5472"/>
        <w:tab w:val="left" w:pos="6336"/>
        <w:tab w:val="left" w:pos="7200"/>
        <w:tab w:val="left" w:pos="8064"/>
        <w:tab w:val="left" w:pos="8928"/>
        <w:tab w:val="left" w:pos="9792"/>
        <w:tab w:val="left" w:pos="10656"/>
        <w:tab w:val="left" w:pos="11520"/>
        <w:tab w:val="left" w:pos="12384"/>
        <w:tab w:val="left" w:pos="13248"/>
        <w:tab w:val="left" w:pos="14112"/>
        <w:tab w:val="left" w:pos="14976"/>
        <w:tab w:val="left" w:pos="15840"/>
        <w:tab w:val="left" w:pos="16704"/>
        <w:tab w:val="left" w:pos="17568"/>
        <w:tab w:val="left" w:pos="18432"/>
        <w:tab w:val="left" w:pos="19296"/>
        <w:tab w:val="left" w:pos="20160"/>
      </w:tabs>
      <w:suppressAutoHyphens/>
      <w:spacing w:line="432" w:lineRule="auto"/>
      <w:ind w:left="1296"/>
    </w:pPr>
    <w:rPr>
      <w:rFonts w:ascii="Arial" w:eastAsia="Arial" w:hAnsi="Arial" w:cs="Arial"/>
      <w:sz w:val="24"/>
      <w:szCs w:val="20"/>
      <w:lang w:eastAsia="ar-SA"/>
    </w:rPr>
  </w:style>
  <w:style w:type="paragraph" w:customStyle="1" w:styleId="Import45">
    <w:name w:val="Import 45"/>
    <w:basedOn w:val="Normln"/>
    <w:uiPriority w:val="99"/>
    <w:rsid w:val="008C5917"/>
    <w:pPr>
      <w:widowControl w:val="0"/>
      <w:tabs>
        <w:tab w:val="left" w:pos="2016"/>
        <w:tab w:val="left" w:pos="2880"/>
        <w:tab w:val="left" w:pos="3744"/>
        <w:tab w:val="left" w:pos="4608"/>
        <w:tab w:val="left" w:pos="5472"/>
        <w:tab w:val="left" w:pos="6336"/>
        <w:tab w:val="left" w:pos="7200"/>
        <w:tab w:val="left" w:pos="8064"/>
        <w:tab w:val="left" w:pos="8928"/>
        <w:tab w:val="left" w:pos="9792"/>
        <w:tab w:val="left" w:pos="10656"/>
        <w:tab w:val="left" w:pos="11520"/>
        <w:tab w:val="left" w:pos="12384"/>
        <w:tab w:val="left" w:pos="13248"/>
        <w:tab w:val="left" w:pos="14112"/>
        <w:tab w:val="left" w:pos="14976"/>
        <w:tab w:val="left" w:pos="15840"/>
        <w:tab w:val="left" w:pos="16704"/>
        <w:tab w:val="left" w:pos="17568"/>
        <w:tab w:val="left" w:pos="18432"/>
        <w:tab w:val="left" w:pos="19296"/>
        <w:tab w:val="left" w:pos="20160"/>
      </w:tabs>
      <w:suppressAutoHyphens/>
      <w:spacing w:line="432" w:lineRule="auto"/>
      <w:ind w:left="1296" w:hanging="144"/>
    </w:pPr>
    <w:rPr>
      <w:rFonts w:ascii="Arial" w:eastAsia="Arial" w:hAnsi="Arial" w:cs="Arial"/>
      <w:sz w:val="24"/>
      <w:szCs w:val="20"/>
      <w:lang w:eastAsia="ar-SA"/>
    </w:rPr>
  </w:style>
  <w:style w:type="paragraph" w:customStyle="1" w:styleId="Import46">
    <w:name w:val="Import 46"/>
    <w:basedOn w:val="Normln"/>
    <w:uiPriority w:val="99"/>
    <w:rsid w:val="008C5917"/>
    <w:pPr>
      <w:widowControl w:val="0"/>
      <w:tabs>
        <w:tab w:val="left" w:pos="2880"/>
      </w:tabs>
      <w:suppressAutoHyphens/>
      <w:spacing w:line="432" w:lineRule="auto"/>
      <w:ind w:left="576"/>
    </w:pPr>
    <w:rPr>
      <w:rFonts w:ascii="Arial" w:eastAsia="Arial" w:hAnsi="Arial" w:cs="Arial"/>
      <w:sz w:val="24"/>
      <w:szCs w:val="20"/>
      <w:lang w:eastAsia="ar-SA"/>
    </w:rPr>
  </w:style>
  <w:style w:type="paragraph" w:customStyle="1" w:styleId="Import47">
    <w:name w:val="Import 47"/>
    <w:basedOn w:val="Normln"/>
    <w:uiPriority w:val="99"/>
    <w:rsid w:val="008C5917"/>
    <w:pPr>
      <w:widowControl w:val="0"/>
      <w:tabs>
        <w:tab w:val="left" w:pos="2880"/>
        <w:tab w:val="left" w:pos="6480"/>
      </w:tabs>
      <w:suppressAutoHyphens/>
      <w:spacing w:line="432" w:lineRule="auto"/>
      <w:ind w:left="576"/>
    </w:pPr>
    <w:rPr>
      <w:rFonts w:ascii="Arial" w:eastAsia="Arial" w:hAnsi="Arial" w:cs="Arial"/>
      <w:sz w:val="24"/>
      <w:szCs w:val="20"/>
      <w:lang w:eastAsia="ar-SA"/>
    </w:rPr>
  </w:style>
  <w:style w:type="paragraph" w:customStyle="1" w:styleId="Import48">
    <w:name w:val="Import 48"/>
    <w:basedOn w:val="Normln"/>
    <w:uiPriority w:val="99"/>
    <w:rsid w:val="008C5917"/>
    <w:pPr>
      <w:widowControl w:val="0"/>
      <w:tabs>
        <w:tab w:val="left" w:pos="3312"/>
        <w:tab w:val="left" w:pos="6912"/>
      </w:tabs>
      <w:suppressAutoHyphens/>
      <w:spacing w:line="432" w:lineRule="auto"/>
      <w:ind w:left="576"/>
    </w:pPr>
    <w:rPr>
      <w:rFonts w:ascii="Arial" w:eastAsia="Arial" w:hAnsi="Arial" w:cs="Arial"/>
      <w:sz w:val="24"/>
      <w:szCs w:val="20"/>
      <w:lang w:eastAsia="ar-SA"/>
    </w:rPr>
  </w:style>
  <w:style w:type="paragraph" w:customStyle="1" w:styleId="Import49">
    <w:name w:val="Import 49"/>
    <w:basedOn w:val="Normln"/>
    <w:uiPriority w:val="99"/>
    <w:rsid w:val="008C5917"/>
    <w:pPr>
      <w:widowControl w:val="0"/>
      <w:tabs>
        <w:tab w:val="left" w:pos="3168"/>
        <w:tab w:val="left" w:pos="6912"/>
      </w:tabs>
      <w:suppressAutoHyphens/>
      <w:spacing w:line="432" w:lineRule="auto"/>
      <w:ind w:left="576"/>
    </w:pPr>
    <w:rPr>
      <w:rFonts w:ascii="Arial" w:eastAsia="Arial" w:hAnsi="Arial" w:cs="Arial"/>
      <w:sz w:val="24"/>
      <w:szCs w:val="20"/>
      <w:lang w:eastAsia="ar-SA"/>
    </w:rPr>
  </w:style>
  <w:style w:type="paragraph" w:customStyle="1" w:styleId="Import50">
    <w:name w:val="Import 50"/>
    <w:basedOn w:val="Normln"/>
    <w:uiPriority w:val="99"/>
    <w:rsid w:val="008C5917"/>
    <w:pPr>
      <w:widowControl w:val="0"/>
      <w:tabs>
        <w:tab w:val="left" w:pos="6624"/>
      </w:tabs>
      <w:suppressAutoHyphens/>
      <w:spacing w:line="432" w:lineRule="auto"/>
      <w:ind w:left="576"/>
    </w:pPr>
    <w:rPr>
      <w:rFonts w:ascii="Arial" w:eastAsia="Arial" w:hAnsi="Arial" w:cs="Arial"/>
      <w:sz w:val="24"/>
      <w:szCs w:val="20"/>
      <w:lang w:eastAsia="ar-SA"/>
    </w:rPr>
  </w:style>
  <w:style w:type="paragraph" w:customStyle="1" w:styleId="Import51">
    <w:name w:val="Import 51"/>
    <w:basedOn w:val="Normln"/>
    <w:uiPriority w:val="99"/>
    <w:rsid w:val="008C5917"/>
    <w:pPr>
      <w:widowControl w:val="0"/>
      <w:tabs>
        <w:tab w:val="left" w:pos="3456"/>
        <w:tab w:val="left" w:pos="7056"/>
      </w:tabs>
      <w:suppressAutoHyphens/>
      <w:spacing w:line="432" w:lineRule="auto"/>
      <w:ind w:left="576"/>
    </w:pPr>
    <w:rPr>
      <w:rFonts w:ascii="Arial" w:eastAsia="Arial" w:hAnsi="Arial" w:cs="Arial"/>
      <w:sz w:val="24"/>
      <w:szCs w:val="20"/>
      <w:lang w:eastAsia="ar-SA"/>
    </w:rPr>
  </w:style>
  <w:style w:type="paragraph" w:customStyle="1" w:styleId="Import52">
    <w:name w:val="Import 52"/>
    <w:basedOn w:val="Normln"/>
    <w:uiPriority w:val="99"/>
    <w:rsid w:val="008C5917"/>
    <w:pPr>
      <w:widowControl w:val="0"/>
      <w:tabs>
        <w:tab w:val="left" w:pos="3168"/>
        <w:tab w:val="left" w:pos="6768"/>
      </w:tabs>
      <w:suppressAutoHyphens/>
      <w:spacing w:line="432" w:lineRule="auto"/>
      <w:ind w:left="576"/>
    </w:pPr>
    <w:rPr>
      <w:rFonts w:ascii="Arial" w:eastAsia="Arial" w:hAnsi="Arial" w:cs="Arial"/>
      <w:sz w:val="24"/>
      <w:szCs w:val="20"/>
      <w:lang w:eastAsia="ar-SA"/>
    </w:rPr>
  </w:style>
  <w:style w:type="paragraph" w:customStyle="1" w:styleId="Import53">
    <w:name w:val="Import 53"/>
    <w:basedOn w:val="Normln"/>
    <w:uiPriority w:val="99"/>
    <w:rsid w:val="008C5917"/>
    <w:pPr>
      <w:widowControl w:val="0"/>
      <w:tabs>
        <w:tab w:val="left" w:pos="6336"/>
      </w:tabs>
      <w:suppressAutoHyphens/>
      <w:spacing w:line="432" w:lineRule="auto"/>
      <w:ind w:left="432"/>
    </w:pPr>
    <w:rPr>
      <w:rFonts w:ascii="Arial" w:eastAsia="Arial" w:hAnsi="Arial" w:cs="Arial"/>
      <w:sz w:val="24"/>
      <w:szCs w:val="20"/>
      <w:lang w:eastAsia="ar-SA"/>
    </w:rPr>
  </w:style>
  <w:style w:type="paragraph" w:customStyle="1" w:styleId="Import54">
    <w:name w:val="Import 54"/>
    <w:basedOn w:val="Normln"/>
    <w:uiPriority w:val="99"/>
    <w:rsid w:val="008C5917"/>
    <w:pPr>
      <w:widowControl w:val="0"/>
      <w:tabs>
        <w:tab w:val="left" w:pos="6480"/>
      </w:tabs>
      <w:suppressAutoHyphens/>
      <w:spacing w:line="432" w:lineRule="auto"/>
      <w:ind w:left="432"/>
    </w:pPr>
    <w:rPr>
      <w:rFonts w:ascii="Arial" w:eastAsia="Arial" w:hAnsi="Arial" w:cs="Arial"/>
      <w:sz w:val="24"/>
      <w:szCs w:val="20"/>
      <w:lang w:eastAsia="ar-SA"/>
    </w:rPr>
  </w:style>
  <w:style w:type="paragraph" w:customStyle="1" w:styleId="Import55">
    <w:name w:val="Import 55"/>
    <w:basedOn w:val="Normln"/>
    <w:uiPriority w:val="99"/>
    <w:rsid w:val="008C5917"/>
    <w:pPr>
      <w:widowControl w:val="0"/>
      <w:tabs>
        <w:tab w:val="left" w:pos="6768"/>
        <w:tab w:val="left" w:pos="7632"/>
        <w:tab w:val="left" w:pos="8496"/>
        <w:tab w:val="left" w:pos="9360"/>
        <w:tab w:val="left" w:pos="10224"/>
        <w:tab w:val="left" w:pos="11088"/>
        <w:tab w:val="left" w:pos="11952"/>
        <w:tab w:val="left" w:pos="12816"/>
        <w:tab w:val="left" w:pos="13680"/>
        <w:tab w:val="left" w:pos="14544"/>
        <w:tab w:val="left" w:pos="15408"/>
        <w:tab w:val="left" w:pos="16272"/>
        <w:tab w:val="left" w:pos="17136"/>
        <w:tab w:val="left" w:pos="18000"/>
        <w:tab w:val="left" w:pos="18864"/>
        <w:tab w:val="left" w:pos="19728"/>
        <w:tab w:val="left" w:pos="20592"/>
        <w:tab w:val="left" w:pos="21456"/>
        <w:tab w:val="left" w:pos="22320"/>
        <w:tab w:val="left" w:pos="23184"/>
        <w:tab w:val="left" w:pos="24048"/>
        <w:tab w:val="left" w:pos="24912"/>
      </w:tabs>
      <w:suppressAutoHyphens/>
      <w:spacing w:line="432" w:lineRule="auto"/>
      <w:ind w:left="6048"/>
    </w:pPr>
    <w:rPr>
      <w:rFonts w:ascii="Arial" w:eastAsia="Arial" w:hAnsi="Arial" w:cs="Arial"/>
      <w:sz w:val="24"/>
      <w:szCs w:val="20"/>
      <w:lang w:eastAsia="ar-SA"/>
    </w:rPr>
  </w:style>
  <w:style w:type="paragraph" w:customStyle="1" w:styleId="Import56">
    <w:name w:val="Import 56"/>
    <w:basedOn w:val="Normln"/>
    <w:uiPriority w:val="99"/>
    <w:rsid w:val="008C5917"/>
    <w:pPr>
      <w:widowControl w:val="0"/>
      <w:tabs>
        <w:tab w:val="left" w:pos="1296"/>
        <w:tab w:val="left" w:pos="2160"/>
        <w:tab w:val="left" w:pos="3024"/>
        <w:tab w:val="left" w:pos="3888"/>
        <w:tab w:val="left" w:pos="4752"/>
        <w:tab w:val="left" w:pos="5616"/>
        <w:tab w:val="left" w:pos="6480"/>
        <w:tab w:val="left" w:pos="7344"/>
        <w:tab w:val="left" w:pos="8208"/>
        <w:tab w:val="left" w:pos="9072"/>
        <w:tab w:val="left" w:pos="9936"/>
        <w:tab w:val="left" w:pos="10800"/>
        <w:tab w:val="left" w:pos="11664"/>
        <w:tab w:val="left" w:pos="12528"/>
        <w:tab w:val="left" w:pos="13392"/>
        <w:tab w:val="left" w:pos="14256"/>
        <w:tab w:val="left" w:pos="15120"/>
        <w:tab w:val="left" w:pos="15984"/>
        <w:tab w:val="left" w:pos="16848"/>
        <w:tab w:val="left" w:pos="17712"/>
        <w:tab w:val="left" w:pos="18576"/>
        <w:tab w:val="left" w:pos="19440"/>
      </w:tabs>
      <w:suppressAutoHyphens/>
      <w:spacing w:line="288" w:lineRule="auto"/>
      <w:ind w:left="576"/>
    </w:pPr>
    <w:rPr>
      <w:rFonts w:ascii="Arial" w:eastAsia="Arial" w:hAnsi="Arial" w:cs="Arial"/>
      <w:sz w:val="24"/>
      <w:szCs w:val="20"/>
      <w:lang w:eastAsia="ar-SA"/>
    </w:rPr>
  </w:style>
  <w:style w:type="paragraph" w:customStyle="1" w:styleId="Import57">
    <w:name w:val="Import 57"/>
    <w:basedOn w:val="Normln"/>
    <w:uiPriority w:val="99"/>
    <w:rsid w:val="008C5917"/>
    <w:pPr>
      <w:widowControl w:val="0"/>
      <w:tabs>
        <w:tab w:val="left" w:pos="1584"/>
        <w:tab w:val="left" w:pos="2448"/>
        <w:tab w:val="left" w:pos="3312"/>
        <w:tab w:val="left" w:pos="4176"/>
        <w:tab w:val="left" w:pos="5040"/>
        <w:tab w:val="left" w:pos="5904"/>
        <w:tab w:val="left" w:pos="6768"/>
        <w:tab w:val="left" w:pos="7632"/>
        <w:tab w:val="left" w:pos="8496"/>
        <w:tab w:val="left" w:pos="9360"/>
        <w:tab w:val="left" w:pos="10224"/>
        <w:tab w:val="left" w:pos="11088"/>
        <w:tab w:val="left" w:pos="11952"/>
        <w:tab w:val="left" w:pos="12816"/>
        <w:tab w:val="left" w:pos="13680"/>
        <w:tab w:val="left" w:pos="14544"/>
        <w:tab w:val="left" w:pos="15408"/>
        <w:tab w:val="left" w:pos="16272"/>
        <w:tab w:val="left" w:pos="17136"/>
        <w:tab w:val="left" w:pos="18000"/>
        <w:tab w:val="left" w:pos="18864"/>
        <w:tab w:val="left" w:pos="19728"/>
      </w:tabs>
      <w:suppressAutoHyphens/>
      <w:spacing w:line="432" w:lineRule="auto"/>
      <w:ind w:left="864" w:hanging="288"/>
    </w:pPr>
    <w:rPr>
      <w:rFonts w:ascii="Arial" w:eastAsia="Arial" w:hAnsi="Arial" w:cs="Arial"/>
      <w:sz w:val="24"/>
      <w:szCs w:val="20"/>
      <w:lang w:eastAsia="ar-SA"/>
    </w:rPr>
  </w:style>
  <w:style w:type="paragraph" w:customStyle="1" w:styleId="Import58">
    <w:name w:val="Import 58"/>
    <w:basedOn w:val="Normln"/>
    <w:uiPriority w:val="99"/>
    <w:rsid w:val="008C5917"/>
    <w:pPr>
      <w:widowControl w:val="0"/>
      <w:tabs>
        <w:tab w:val="left" w:pos="1152"/>
        <w:tab w:val="left" w:pos="2016"/>
        <w:tab w:val="left" w:pos="2880"/>
        <w:tab w:val="left" w:pos="3744"/>
        <w:tab w:val="left" w:pos="4608"/>
        <w:tab w:val="left" w:pos="5472"/>
        <w:tab w:val="left" w:pos="6336"/>
        <w:tab w:val="left" w:pos="7200"/>
        <w:tab w:val="left" w:pos="8064"/>
        <w:tab w:val="left" w:pos="8928"/>
        <w:tab w:val="left" w:pos="9792"/>
        <w:tab w:val="left" w:pos="10656"/>
        <w:tab w:val="left" w:pos="11520"/>
        <w:tab w:val="left" w:pos="12384"/>
        <w:tab w:val="left" w:pos="13248"/>
        <w:tab w:val="left" w:pos="14112"/>
        <w:tab w:val="left" w:pos="14976"/>
        <w:tab w:val="left" w:pos="15840"/>
        <w:tab w:val="left" w:pos="16704"/>
        <w:tab w:val="left" w:pos="17568"/>
        <w:tab w:val="left" w:pos="18432"/>
        <w:tab w:val="left" w:pos="19296"/>
      </w:tabs>
      <w:suppressAutoHyphens/>
      <w:spacing w:line="432" w:lineRule="auto"/>
      <w:ind w:left="432"/>
    </w:pPr>
    <w:rPr>
      <w:rFonts w:ascii="Arial" w:eastAsia="Arial" w:hAnsi="Arial" w:cs="Arial"/>
      <w:sz w:val="20"/>
      <w:szCs w:val="20"/>
      <w:lang w:eastAsia="ar-SA"/>
    </w:rPr>
  </w:style>
  <w:style w:type="paragraph" w:customStyle="1" w:styleId="Import59">
    <w:name w:val="Import 59"/>
    <w:basedOn w:val="Normln"/>
    <w:uiPriority w:val="99"/>
    <w:rsid w:val="008C5917"/>
    <w:pPr>
      <w:widowControl w:val="0"/>
      <w:tabs>
        <w:tab w:val="left" w:pos="2016"/>
        <w:tab w:val="left" w:pos="3456"/>
        <w:tab w:val="left" w:pos="5328"/>
        <w:tab w:val="left" w:pos="8064"/>
        <w:tab w:val="left" w:pos="10080"/>
        <w:tab w:val="left" w:pos="12672"/>
      </w:tabs>
      <w:suppressAutoHyphens/>
      <w:spacing w:line="432" w:lineRule="auto"/>
      <w:ind w:left="144"/>
    </w:pPr>
    <w:rPr>
      <w:rFonts w:ascii="Arial" w:eastAsia="Arial" w:hAnsi="Arial" w:cs="Arial"/>
      <w:sz w:val="20"/>
      <w:szCs w:val="20"/>
      <w:lang w:eastAsia="ar-SA"/>
    </w:rPr>
  </w:style>
  <w:style w:type="paragraph" w:customStyle="1" w:styleId="Import60">
    <w:name w:val="Import 60"/>
    <w:basedOn w:val="Normln"/>
    <w:uiPriority w:val="99"/>
    <w:rsid w:val="008C5917"/>
    <w:pPr>
      <w:widowControl w:val="0"/>
      <w:tabs>
        <w:tab w:val="left" w:pos="720"/>
        <w:tab w:val="left" w:pos="3600"/>
      </w:tabs>
      <w:suppressAutoHyphens/>
      <w:spacing w:line="288" w:lineRule="auto"/>
      <w:ind w:left="144"/>
    </w:pPr>
    <w:rPr>
      <w:rFonts w:ascii="Arial" w:eastAsia="Arial" w:hAnsi="Arial" w:cs="Arial"/>
      <w:sz w:val="20"/>
      <w:szCs w:val="20"/>
      <w:lang w:eastAsia="ar-SA"/>
    </w:rPr>
  </w:style>
  <w:style w:type="paragraph" w:customStyle="1" w:styleId="Import61">
    <w:name w:val="Import 61"/>
    <w:basedOn w:val="Normln"/>
    <w:uiPriority w:val="99"/>
    <w:rsid w:val="008C5917"/>
    <w:pPr>
      <w:widowControl w:val="0"/>
      <w:tabs>
        <w:tab w:val="left" w:pos="720"/>
        <w:tab w:val="left" w:pos="2304"/>
        <w:tab w:val="left" w:pos="5616"/>
        <w:tab w:val="left" w:pos="10512"/>
        <w:tab w:val="left" w:pos="12816"/>
      </w:tabs>
      <w:suppressAutoHyphens/>
      <w:spacing w:line="288" w:lineRule="auto"/>
      <w:ind w:left="144"/>
    </w:pPr>
    <w:rPr>
      <w:rFonts w:ascii="Arial" w:eastAsia="Arial" w:hAnsi="Arial" w:cs="Arial"/>
      <w:sz w:val="20"/>
      <w:szCs w:val="20"/>
      <w:lang w:eastAsia="ar-SA"/>
    </w:rPr>
  </w:style>
  <w:style w:type="paragraph" w:customStyle="1" w:styleId="Import62">
    <w:name w:val="Import 62"/>
    <w:basedOn w:val="Normln"/>
    <w:uiPriority w:val="99"/>
    <w:rsid w:val="008C5917"/>
    <w:pPr>
      <w:widowControl w:val="0"/>
      <w:tabs>
        <w:tab w:val="left" w:pos="720"/>
        <w:tab w:val="left" w:pos="5760"/>
        <w:tab w:val="left" w:pos="8496"/>
        <w:tab w:val="left" w:pos="10656"/>
        <w:tab w:val="left" w:pos="12816"/>
      </w:tabs>
      <w:suppressAutoHyphens/>
      <w:spacing w:line="288" w:lineRule="auto"/>
      <w:ind w:left="144"/>
    </w:pPr>
    <w:rPr>
      <w:rFonts w:ascii="Arial" w:eastAsia="Arial" w:hAnsi="Arial" w:cs="Arial"/>
      <w:sz w:val="20"/>
      <w:szCs w:val="20"/>
      <w:lang w:eastAsia="ar-SA"/>
    </w:rPr>
  </w:style>
  <w:style w:type="paragraph" w:customStyle="1" w:styleId="Import63">
    <w:name w:val="Import 63"/>
    <w:basedOn w:val="Normln"/>
    <w:uiPriority w:val="99"/>
    <w:rsid w:val="008C5917"/>
    <w:pPr>
      <w:widowControl w:val="0"/>
      <w:tabs>
        <w:tab w:val="left" w:pos="2016"/>
        <w:tab w:val="left" w:pos="3456"/>
        <w:tab w:val="left" w:pos="5328"/>
        <w:tab w:val="left" w:pos="8064"/>
        <w:tab w:val="left" w:pos="10080"/>
        <w:tab w:val="left" w:pos="12672"/>
      </w:tabs>
      <w:suppressAutoHyphens/>
      <w:spacing w:line="288" w:lineRule="auto"/>
      <w:ind w:left="144"/>
    </w:pPr>
    <w:rPr>
      <w:rFonts w:ascii="Arial" w:eastAsia="Arial" w:hAnsi="Arial" w:cs="Arial"/>
      <w:sz w:val="20"/>
      <w:szCs w:val="20"/>
      <w:lang w:eastAsia="ar-SA"/>
    </w:rPr>
  </w:style>
  <w:style w:type="paragraph" w:customStyle="1" w:styleId="Import64">
    <w:name w:val="Import 64"/>
    <w:basedOn w:val="Normln"/>
    <w:uiPriority w:val="99"/>
    <w:rsid w:val="008C5917"/>
    <w:pPr>
      <w:widowControl w:val="0"/>
      <w:tabs>
        <w:tab w:val="left" w:pos="2304"/>
        <w:tab w:val="left" w:pos="3888"/>
        <w:tab w:val="left" w:pos="5472"/>
        <w:tab w:val="left" w:pos="10368"/>
      </w:tabs>
      <w:suppressAutoHyphens/>
      <w:spacing w:line="288" w:lineRule="auto"/>
      <w:ind w:left="144"/>
    </w:pPr>
    <w:rPr>
      <w:rFonts w:ascii="Arial" w:eastAsia="Arial" w:hAnsi="Arial" w:cs="Arial"/>
      <w:sz w:val="20"/>
      <w:szCs w:val="20"/>
      <w:lang w:eastAsia="ar-SA"/>
    </w:rPr>
  </w:style>
  <w:style w:type="paragraph" w:customStyle="1" w:styleId="Import65">
    <w:name w:val="Import 65"/>
    <w:basedOn w:val="Normln"/>
    <w:uiPriority w:val="99"/>
    <w:rsid w:val="008C5917"/>
    <w:pPr>
      <w:widowControl w:val="0"/>
      <w:tabs>
        <w:tab w:val="left" w:pos="5472"/>
        <w:tab w:val="left" w:pos="8496"/>
        <w:tab w:val="left" w:pos="10368"/>
        <w:tab w:val="left" w:pos="12816"/>
      </w:tabs>
      <w:suppressAutoHyphens/>
      <w:spacing w:line="288" w:lineRule="auto"/>
      <w:ind w:left="144"/>
    </w:pPr>
    <w:rPr>
      <w:rFonts w:ascii="Arial" w:eastAsia="Arial" w:hAnsi="Arial" w:cs="Arial"/>
      <w:sz w:val="20"/>
      <w:szCs w:val="20"/>
      <w:lang w:eastAsia="ar-SA"/>
    </w:rPr>
  </w:style>
  <w:style w:type="paragraph" w:customStyle="1" w:styleId="Import66">
    <w:name w:val="Import 66"/>
    <w:basedOn w:val="Normln"/>
    <w:uiPriority w:val="99"/>
    <w:rsid w:val="008C5917"/>
    <w:pPr>
      <w:widowControl w:val="0"/>
      <w:tabs>
        <w:tab w:val="left" w:pos="10944"/>
        <w:tab w:val="left" w:pos="12816"/>
      </w:tabs>
      <w:suppressAutoHyphens/>
      <w:spacing w:line="288" w:lineRule="auto"/>
      <w:ind w:left="144"/>
    </w:pPr>
    <w:rPr>
      <w:rFonts w:ascii="Arial" w:eastAsia="Arial" w:hAnsi="Arial" w:cs="Arial"/>
      <w:sz w:val="20"/>
      <w:szCs w:val="20"/>
      <w:lang w:eastAsia="ar-SA"/>
    </w:rPr>
  </w:style>
  <w:style w:type="paragraph" w:customStyle="1" w:styleId="Import67">
    <w:name w:val="Import 67"/>
    <w:basedOn w:val="Normln"/>
    <w:uiPriority w:val="99"/>
    <w:rsid w:val="008C5917"/>
    <w:pPr>
      <w:widowControl w:val="0"/>
      <w:tabs>
        <w:tab w:val="left" w:pos="864"/>
        <w:tab w:val="left" w:pos="1728"/>
        <w:tab w:val="left" w:pos="2592"/>
        <w:tab w:val="left" w:pos="3456"/>
        <w:tab w:val="left" w:pos="4320"/>
        <w:tab w:val="left" w:pos="5184"/>
        <w:tab w:val="left" w:pos="6048"/>
        <w:tab w:val="left" w:pos="6912"/>
        <w:tab w:val="left" w:pos="7776"/>
        <w:tab w:val="left" w:pos="8640"/>
        <w:tab w:val="left" w:pos="9504"/>
        <w:tab w:val="left" w:pos="10368"/>
        <w:tab w:val="left" w:pos="11232"/>
        <w:tab w:val="left" w:pos="12096"/>
        <w:tab w:val="left" w:pos="12960"/>
        <w:tab w:val="left" w:pos="13824"/>
        <w:tab w:val="left" w:pos="14688"/>
        <w:tab w:val="left" w:pos="15552"/>
        <w:tab w:val="left" w:pos="16416"/>
        <w:tab w:val="left" w:pos="17280"/>
        <w:tab w:val="left" w:pos="18144"/>
        <w:tab w:val="left" w:pos="19008"/>
      </w:tabs>
      <w:suppressAutoHyphens/>
      <w:spacing w:line="288" w:lineRule="auto"/>
      <w:ind w:left="144"/>
    </w:pPr>
    <w:rPr>
      <w:rFonts w:ascii="Arial" w:eastAsia="Arial" w:hAnsi="Arial" w:cs="Arial"/>
      <w:sz w:val="24"/>
      <w:szCs w:val="20"/>
      <w:lang w:eastAsia="ar-SA"/>
    </w:rPr>
  </w:style>
  <w:style w:type="paragraph" w:customStyle="1" w:styleId="Import68">
    <w:name w:val="Import 68"/>
    <w:basedOn w:val="Normln"/>
    <w:uiPriority w:val="99"/>
    <w:rsid w:val="008C5917"/>
    <w:pPr>
      <w:widowControl w:val="0"/>
      <w:tabs>
        <w:tab w:val="left" w:pos="2448"/>
        <w:tab w:val="left" w:pos="3312"/>
        <w:tab w:val="left" w:pos="4176"/>
        <w:tab w:val="left" w:pos="5040"/>
        <w:tab w:val="left" w:pos="5904"/>
        <w:tab w:val="left" w:pos="6768"/>
        <w:tab w:val="left" w:pos="7632"/>
        <w:tab w:val="left" w:pos="8496"/>
        <w:tab w:val="left" w:pos="9360"/>
        <w:tab w:val="left" w:pos="10224"/>
        <w:tab w:val="left" w:pos="11088"/>
        <w:tab w:val="left" w:pos="11952"/>
        <w:tab w:val="left" w:pos="12816"/>
        <w:tab w:val="left" w:pos="13680"/>
        <w:tab w:val="left" w:pos="14544"/>
        <w:tab w:val="left" w:pos="15408"/>
        <w:tab w:val="left" w:pos="16272"/>
        <w:tab w:val="left" w:pos="17136"/>
        <w:tab w:val="left" w:pos="18000"/>
        <w:tab w:val="left" w:pos="18864"/>
        <w:tab w:val="left" w:pos="19728"/>
        <w:tab w:val="left" w:pos="20592"/>
      </w:tabs>
      <w:suppressAutoHyphens/>
      <w:spacing w:line="432" w:lineRule="auto"/>
      <w:ind w:left="1728" w:hanging="1152"/>
    </w:pPr>
    <w:rPr>
      <w:rFonts w:ascii="Arial" w:eastAsia="Arial" w:hAnsi="Arial" w:cs="Arial"/>
      <w:sz w:val="24"/>
      <w:szCs w:val="20"/>
      <w:lang w:eastAsia="ar-SA"/>
    </w:rPr>
  </w:style>
  <w:style w:type="paragraph" w:customStyle="1" w:styleId="Import69">
    <w:name w:val="Import 69"/>
    <w:basedOn w:val="Normln"/>
    <w:uiPriority w:val="99"/>
    <w:rsid w:val="008C5917"/>
    <w:pPr>
      <w:widowControl w:val="0"/>
      <w:tabs>
        <w:tab w:val="left" w:pos="2448"/>
        <w:tab w:val="left" w:pos="3312"/>
        <w:tab w:val="left" w:pos="4176"/>
        <w:tab w:val="left" w:pos="5040"/>
        <w:tab w:val="left" w:pos="5904"/>
        <w:tab w:val="left" w:pos="6768"/>
        <w:tab w:val="left" w:pos="7632"/>
        <w:tab w:val="left" w:pos="8496"/>
        <w:tab w:val="left" w:pos="9360"/>
        <w:tab w:val="left" w:pos="10224"/>
        <w:tab w:val="left" w:pos="11088"/>
        <w:tab w:val="left" w:pos="11952"/>
        <w:tab w:val="left" w:pos="12816"/>
        <w:tab w:val="left" w:pos="13680"/>
        <w:tab w:val="left" w:pos="14544"/>
        <w:tab w:val="left" w:pos="15408"/>
        <w:tab w:val="left" w:pos="16272"/>
        <w:tab w:val="left" w:pos="17136"/>
        <w:tab w:val="left" w:pos="18000"/>
        <w:tab w:val="left" w:pos="18864"/>
        <w:tab w:val="left" w:pos="19728"/>
        <w:tab w:val="left" w:pos="20592"/>
      </w:tabs>
      <w:suppressAutoHyphens/>
      <w:spacing w:line="432" w:lineRule="auto"/>
      <w:ind w:left="1728"/>
    </w:pPr>
    <w:rPr>
      <w:rFonts w:ascii="Arial" w:eastAsia="Arial" w:hAnsi="Arial" w:cs="Arial"/>
      <w:sz w:val="24"/>
      <w:szCs w:val="20"/>
      <w:lang w:eastAsia="ar-SA"/>
    </w:rPr>
  </w:style>
  <w:style w:type="paragraph" w:customStyle="1" w:styleId="Import70">
    <w:name w:val="Import 70"/>
    <w:basedOn w:val="Normln"/>
    <w:uiPriority w:val="99"/>
    <w:rsid w:val="008C5917"/>
    <w:pPr>
      <w:widowControl w:val="0"/>
      <w:tabs>
        <w:tab w:val="left" w:pos="2592"/>
        <w:tab w:val="left" w:pos="3456"/>
        <w:tab w:val="left" w:pos="4320"/>
        <w:tab w:val="left" w:pos="5184"/>
        <w:tab w:val="left" w:pos="6048"/>
        <w:tab w:val="left" w:pos="6912"/>
        <w:tab w:val="left" w:pos="7776"/>
        <w:tab w:val="left" w:pos="8640"/>
        <w:tab w:val="left" w:pos="9504"/>
        <w:tab w:val="left" w:pos="10368"/>
        <w:tab w:val="left" w:pos="11232"/>
        <w:tab w:val="left" w:pos="12096"/>
        <w:tab w:val="left" w:pos="12960"/>
        <w:tab w:val="left" w:pos="13824"/>
        <w:tab w:val="left" w:pos="14688"/>
        <w:tab w:val="left" w:pos="15552"/>
        <w:tab w:val="left" w:pos="16416"/>
        <w:tab w:val="left" w:pos="17280"/>
        <w:tab w:val="left" w:pos="18144"/>
        <w:tab w:val="left" w:pos="19008"/>
        <w:tab w:val="left" w:pos="19872"/>
        <w:tab w:val="left" w:pos="20736"/>
      </w:tabs>
      <w:suppressAutoHyphens/>
      <w:spacing w:line="432" w:lineRule="auto"/>
      <w:ind w:left="1872" w:hanging="1296"/>
    </w:pPr>
    <w:rPr>
      <w:rFonts w:ascii="Arial" w:eastAsia="Arial" w:hAnsi="Arial" w:cs="Arial"/>
      <w:sz w:val="24"/>
      <w:szCs w:val="20"/>
      <w:lang w:eastAsia="ar-SA"/>
    </w:rPr>
  </w:style>
  <w:style w:type="paragraph" w:customStyle="1" w:styleId="Import71">
    <w:name w:val="Import 71"/>
    <w:basedOn w:val="Normln"/>
    <w:uiPriority w:val="99"/>
    <w:rsid w:val="008C5917"/>
    <w:pPr>
      <w:widowControl w:val="0"/>
      <w:tabs>
        <w:tab w:val="left" w:pos="2592"/>
        <w:tab w:val="left" w:pos="3456"/>
        <w:tab w:val="left" w:pos="4320"/>
        <w:tab w:val="left" w:pos="5184"/>
        <w:tab w:val="left" w:pos="6048"/>
        <w:tab w:val="left" w:pos="6912"/>
        <w:tab w:val="left" w:pos="7776"/>
        <w:tab w:val="left" w:pos="8640"/>
        <w:tab w:val="left" w:pos="9504"/>
        <w:tab w:val="left" w:pos="10368"/>
        <w:tab w:val="left" w:pos="11232"/>
        <w:tab w:val="left" w:pos="12096"/>
        <w:tab w:val="left" w:pos="12960"/>
        <w:tab w:val="left" w:pos="13824"/>
        <w:tab w:val="left" w:pos="14688"/>
        <w:tab w:val="left" w:pos="15552"/>
        <w:tab w:val="left" w:pos="16416"/>
        <w:tab w:val="left" w:pos="17280"/>
        <w:tab w:val="left" w:pos="18144"/>
        <w:tab w:val="left" w:pos="19008"/>
        <w:tab w:val="left" w:pos="19872"/>
        <w:tab w:val="left" w:pos="20736"/>
      </w:tabs>
      <w:suppressAutoHyphens/>
      <w:spacing w:line="432" w:lineRule="auto"/>
      <w:ind w:left="1872"/>
    </w:pPr>
    <w:rPr>
      <w:rFonts w:ascii="Arial" w:eastAsia="Arial" w:hAnsi="Arial" w:cs="Arial"/>
      <w:sz w:val="24"/>
      <w:szCs w:val="20"/>
      <w:lang w:eastAsia="ar-SA"/>
    </w:rPr>
  </w:style>
  <w:style w:type="paragraph" w:customStyle="1" w:styleId="Import72">
    <w:name w:val="Import 72"/>
    <w:basedOn w:val="Normln"/>
    <w:uiPriority w:val="99"/>
    <w:rsid w:val="008C5917"/>
    <w:pPr>
      <w:widowControl w:val="0"/>
      <w:tabs>
        <w:tab w:val="left" w:pos="720"/>
        <w:tab w:val="left" w:pos="1584"/>
        <w:tab w:val="left" w:pos="2448"/>
        <w:tab w:val="left" w:pos="3312"/>
        <w:tab w:val="left" w:pos="4176"/>
        <w:tab w:val="left" w:pos="5040"/>
        <w:tab w:val="left" w:pos="5904"/>
        <w:tab w:val="left" w:pos="6768"/>
        <w:tab w:val="left" w:pos="7632"/>
        <w:tab w:val="left" w:pos="8496"/>
        <w:tab w:val="left" w:pos="9360"/>
        <w:tab w:val="left" w:pos="10224"/>
        <w:tab w:val="left" w:pos="11088"/>
        <w:tab w:val="left" w:pos="11952"/>
        <w:tab w:val="left" w:pos="12816"/>
        <w:tab w:val="left" w:pos="13680"/>
        <w:tab w:val="left" w:pos="14544"/>
        <w:tab w:val="left" w:pos="15408"/>
        <w:tab w:val="left" w:pos="16272"/>
        <w:tab w:val="left" w:pos="17136"/>
        <w:tab w:val="left" w:pos="18000"/>
        <w:tab w:val="left" w:pos="18864"/>
      </w:tabs>
      <w:suppressAutoHyphens/>
      <w:spacing w:line="432" w:lineRule="auto"/>
      <w:ind w:left="0"/>
    </w:pPr>
    <w:rPr>
      <w:rFonts w:ascii="Arial" w:eastAsia="Arial" w:hAnsi="Arial" w:cs="Arial"/>
      <w:sz w:val="24"/>
      <w:szCs w:val="20"/>
      <w:lang w:eastAsia="ar-SA"/>
    </w:rPr>
  </w:style>
  <w:style w:type="paragraph" w:customStyle="1" w:styleId="Import73">
    <w:name w:val="Import 73"/>
    <w:basedOn w:val="Normln"/>
    <w:uiPriority w:val="99"/>
    <w:rsid w:val="008C5917"/>
    <w:pPr>
      <w:widowControl w:val="0"/>
      <w:tabs>
        <w:tab w:val="left" w:pos="5328"/>
      </w:tabs>
      <w:suppressAutoHyphens/>
      <w:spacing w:line="432" w:lineRule="auto"/>
      <w:ind w:left="432"/>
    </w:pPr>
    <w:rPr>
      <w:rFonts w:ascii="Arial" w:eastAsia="Arial" w:hAnsi="Arial" w:cs="Arial"/>
      <w:sz w:val="24"/>
      <w:szCs w:val="20"/>
      <w:lang w:eastAsia="ar-SA"/>
    </w:rPr>
  </w:style>
  <w:style w:type="paragraph" w:customStyle="1" w:styleId="Import74">
    <w:name w:val="Import 74"/>
    <w:basedOn w:val="Normln"/>
    <w:uiPriority w:val="99"/>
    <w:rsid w:val="008C5917"/>
    <w:pPr>
      <w:widowControl w:val="0"/>
      <w:tabs>
        <w:tab w:val="left" w:pos="1728"/>
        <w:tab w:val="left" w:pos="8352"/>
      </w:tabs>
      <w:suppressAutoHyphens/>
      <w:spacing w:line="432" w:lineRule="auto"/>
      <w:ind w:left="0"/>
    </w:pPr>
    <w:rPr>
      <w:rFonts w:ascii="Arial" w:eastAsia="Arial" w:hAnsi="Arial" w:cs="Arial"/>
      <w:sz w:val="24"/>
      <w:szCs w:val="20"/>
      <w:lang w:eastAsia="ar-SA"/>
    </w:rPr>
  </w:style>
  <w:style w:type="paragraph" w:customStyle="1" w:styleId="Import75">
    <w:name w:val="Import 75"/>
    <w:basedOn w:val="Normln"/>
    <w:uiPriority w:val="99"/>
    <w:rsid w:val="008C5917"/>
    <w:pPr>
      <w:widowControl w:val="0"/>
      <w:tabs>
        <w:tab w:val="left" w:pos="2160"/>
        <w:tab w:val="left" w:pos="5184"/>
      </w:tabs>
      <w:suppressAutoHyphens/>
      <w:spacing w:line="432" w:lineRule="auto"/>
      <w:ind w:left="0"/>
    </w:pPr>
    <w:rPr>
      <w:rFonts w:ascii="Arial" w:eastAsia="Arial" w:hAnsi="Arial" w:cs="Arial"/>
      <w:sz w:val="24"/>
      <w:szCs w:val="20"/>
      <w:lang w:eastAsia="ar-SA"/>
    </w:rPr>
  </w:style>
  <w:style w:type="paragraph" w:customStyle="1" w:styleId="Import76">
    <w:name w:val="Import 76"/>
    <w:basedOn w:val="Normln"/>
    <w:uiPriority w:val="99"/>
    <w:rsid w:val="008C5917"/>
    <w:pPr>
      <w:widowControl w:val="0"/>
      <w:tabs>
        <w:tab w:val="left" w:pos="2160"/>
        <w:tab w:val="left" w:pos="5184"/>
        <w:tab w:val="left" w:pos="8352"/>
      </w:tabs>
      <w:suppressAutoHyphens/>
      <w:spacing w:line="432" w:lineRule="auto"/>
      <w:ind w:left="0"/>
    </w:pPr>
    <w:rPr>
      <w:rFonts w:ascii="Arial" w:eastAsia="Arial" w:hAnsi="Arial" w:cs="Arial"/>
      <w:sz w:val="24"/>
      <w:szCs w:val="20"/>
      <w:lang w:eastAsia="ar-SA"/>
    </w:rPr>
  </w:style>
  <w:style w:type="paragraph" w:customStyle="1" w:styleId="Import77">
    <w:name w:val="Import 77"/>
    <w:basedOn w:val="Normln"/>
    <w:uiPriority w:val="99"/>
    <w:rsid w:val="008C5917"/>
    <w:pPr>
      <w:widowControl w:val="0"/>
      <w:tabs>
        <w:tab w:val="left" w:pos="2016"/>
        <w:tab w:val="left" w:pos="5040"/>
      </w:tabs>
      <w:suppressAutoHyphens/>
      <w:spacing w:line="432" w:lineRule="auto"/>
      <w:ind w:left="0"/>
    </w:pPr>
    <w:rPr>
      <w:rFonts w:ascii="Arial" w:eastAsia="Arial" w:hAnsi="Arial" w:cs="Arial"/>
      <w:sz w:val="24"/>
      <w:szCs w:val="20"/>
      <w:lang w:eastAsia="ar-SA"/>
    </w:rPr>
  </w:style>
  <w:style w:type="paragraph" w:customStyle="1" w:styleId="Import78">
    <w:name w:val="Import 78"/>
    <w:basedOn w:val="Normln"/>
    <w:uiPriority w:val="99"/>
    <w:rsid w:val="008C5917"/>
    <w:pPr>
      <w:widowControl w:val="0"/>
      <w:tabs>
        <w:tab w:val="left" w:pos="2448"/>
      </w:tabs>
      <w:suppressAutoHyphens/>
      <w:spacing w:line="432" w:lineRule="auto"/>
      <w:ind w:left="0"/>
    </w:pPr>
    <w:rPr>
      <w:rFonts w:ascii="Arial" w:eastAsia="Arial" w:hAnsi="Arial" w:cs="Arial"/>
      <w:sz w:val="24"/>
      <w:szCs w:val="20"/>
      <w:lang w:eastAsia="ar-SA"/>
    </w:rPr>
  </w:style>
  <w:style w:type="paragraph" w:customStyle="1" w:styleId="Import79">
    <w:name w:val="Import 79"/>
    <w:basedOn w:val="Normln"/>
    <w:uiPriority w:val="99"/>
    <w:rsid w:val="008C5917"/>
    <w:pPr>
      <w:widowControl w:val="0"/>
      <w:tabs>
        <w:tab w:val="left" w:pos="2304"/>
        <w:tab w:val="left" w:pos="5472"/>
      </w:tabs>
      <w:suppressAutoHyphens/>
      <w:spacing w:line="432" w:lineRule="auto"/>
      <w:ind w:left="432"/>
    </w:pPr>
    <w:rPr>
      <w:rFonts w:ascii="Arial" w:eastAsia="Arial" w:hAnsi="Arial" w:cs="Arial"/>
      <w:sz w:val="24"/>
      <w:szCs w:val="20"/>
      <w:lang w:eastAsia="ar-SA"/>
    </w:rPr>
  </w:style>
  <w:style w:type="paragraph" w:customStyle="1" w:styleId="Import80">
    <w:name w:val="Import 80"/>
    <w:basedOn w:val="Normln"/>
    <w:uiPriority w:val="99"/>
    <w:rsid w:val="008C5917"/>
    <w:pPr>
      <w:widowControl w:val="0"/>
      <w:tabs>
        <w:tab w:val="left" w:pos="2160"/>
        <w:tab w:val="left" w:pos="5328"/>
        <w:tab w:val="left" w:pos="8496"/>
      </w:tabs>
      <w:suppressAutoHyphens/>
      <w:spacing w:line="432" w:lineRule="auto"/>
      <w:ind w:left="0"/>
    </w:pPr>
    <w:rPr>
      <w:rFonts w:ascii="Arial" w:eastAsia="Arial" w:hAnsi="Arial" w:cs="Arial"/>
      <w:sz w:val="24"/>
      <w:szCs w:val="20"/>
      <w:lang w:eastAsia="ar-SA"/>
    </w:rPr>
  </w:style>
  <w:style w:type="paragraph" w:customStyle="1" w:styleId="Import81">
    <w:name w:val="Import 81"/>
    <w:basedOn w:val="Normln"/>
    <w:uiPriority w:val="99"/>
    <w:rsid w:val="008C5917"/>
    <w:pPr>
      <w:widowControl w:val="0"/>
      <w:tabs>
        <w:tab w:val="left" w:pos="2160"/>
        <w:tab w:val="left" w:pos="5040"/>
        <w:tab w:val="left" w:pos="8496"/>
      </w:tabs>
      <w:suppressAutoHyphens/>
      <w:spacing w:line="432" w:lineRule="auto"/>
      <w:ind w:left="0"/>
    </w:pPr>
    <w:rPr>
      <w:rFonts w:ascii="Arial" w:eastAsia="Arial" w:hAnsi="Arial" w:cs="Arial"/>
      <w:sz w:val="24"/>
      <w:szCs w:val="20"/>
      <w:lang w:eastAsia="ar-SA"/>
    </w:rPr>
  </w:style>
  <w:style w:type="paragraph" w:customStyle="1" w:styleId="Import82">
    <w:name w:val="Import 82"/>
    <w:basedOn w:val="Normln"/>
    <w:uiPriority w:val="99"/>
    <w:rsid w:val="008C5917"/>
    <w:pPr>
      <w:widowControl w:val="0"/>
      <w:tabs>
        <w:tab w:val="left" w:pos="2592"/>
      </w:tabs>
      <w:suppressAutoHyphens/>
      <w:spacing w:line="288" w:lineRule="auto"/>
      <w:ind w:left="0"/>
    </w:pPr>
    <w:rPr>
      <w:rFonts w:ascii="Arial" w:eastAsia="Arial" w:hAnsi="Arial" w:cs="Arial"/>
      <w:sz w:val="24"/>
      <w:szCs w:val="20"/>
      <w:lang w:eastAsia="ar-SA"/>
    </w:rPr>
  </w:style>
  <w:style w:type="paragraph" w:customStyle="1" w:styleId="Import83">
    <w:name w:val="Import 83"/>
    <w:basedOn w:val="Normln"/>
    <w:uiPriority w:val="99"/>
    <w:rsid w:val="008C5917"/>
    <w:pPr>
      <w:widowControl w:val="0"/>
      <w:tabs>
        <w:tab w:val="left" w:pos="4608"/>
        <w:tab w:val="left" w:pos="8496"/>
      </w:tabs>
      <w:suppressAutoHyphens/>
      <w:spacing w:line="432" w:lineRule="auto"/>
      <w:ind w:left="864" w:hanging="288"/>
    </w:pPr>
    <w:rPr>
      <w:rFonts w:ascii="Arial" w:eastAsia="Arial" w:hAnsi="Arial" w:cs="Arial"/>
      <w:sz w:val="24"/>
      <w:szCs w:val="20"/>
      <w:lang w:eastAsia="ar-SA"/>
    </w:rPr>
  </w:style>
  <w:style w:type="paragraph" w:customStyle="1" w:styleId="Import1a">
    <w:name w:val="Import 1~~"/>
    <w:basedOn w:val="Normln"/>
    <w:uiPriority w:val="99"/>
    <w:rsid w:val="008C5917"/>
    <w:pPr>
      <w:widowControl w:val="0"/>
      <w:tabs>
        <w:tab w:val="left" w:pos="1440"/>
        <w:tab w:val="left" w:pos="2304"/>
        <w:tab w:val="left" w:pos="3168"/>
        <w:tab w:val="left" w:pos="4032"/>
        <w:tab w:val="left" w:pos="4896"/>
        <w:tab w:val="left" w:pos="5760"/>
        <w:tab w:val="left" w:pos="6624"/>
        <w:tab w:val="left" w:pos="7488"/>
        <w:tab w:val="left" w:pos="8352"/>
        <w:tab w:val="left" w:pos="9216"/>
        <w:tab w:val="left" w:pos="10080"/>
        <w:tab w:val="left" w:pos="10944"/>
        <w:tab w:val="left" w:pos="11808"/>
        <w:tab w:val="left" w:pos="12672"/>
        <w:tab w:val="left" w:pos="13536"/>
        <w:tab w:val="left" w:pos="14400"/>
        <w:tab w:val="left" w:pos="15264"/>
        <w:tab w:val="left" w:pos="16128"/>
        <w:tab w:val="left" w:pos="16992"/>
        <w:tab w:val="left" w:pos="17856"/>
        <w:tab w:val="left" w:pos="18720"/>
        <w:tab w:val="left" w:pos="19584"/>
      </w:tabs>
      <w:suppressAutoHyphens/>
      <w:spacing w:line="288" w:lineRule="auto"/>
      <w:ind w:left="720"/>
    </w:pPr>
    <w:rPr>
      <w:rFonts w:ascii="Arial" w:eastAsia="Arial" w:hAnsi="Arial" w:cs="Arial"/>
      <w:sz w:val="24"/>
      <w:szCs w:val="20"/>
      <w:lang w:eastAsia="ar-SA"/>
    </w:rPr>
  </w:style>
  <w:style w:type="paragraph" w:customStyle="1" w:styleId="Styltabulky">
    <w:name w:val="Styl tabulky"/>
    <w:basedOn w:val="Zkladntext"/>
    <w:uiPriority w:val="99"/>
    <w:rsid w:val="008C5917"/>
    <w:pPr>
      <w:widowControl w:val="0"/>
      <w:numPr>
        <w:ilvl w:val="0"/>
      </w:numPr>
      <w:suppressAutoHyphens/>
      <w:spacing w:line="100" w:lineRule="atLeast"/>
      <w:ind w:left="851"/>
    </w:pPr>
    <w:rPr>
      <w:rFonts w:ascii="Arial" w:eastAsia="Arial" w:hAnsi="Arial" w:cs="Arial"/>
      <w:sz w:val="20"/>
      <w:lang w:eastAsia="ar-SA"/>
    </w:rPr>
  </w:style>
  <w:style w:type="paragraph" w:customStyle="1" w:styleId="Zkladntextodsazen21">
    <w:name w:val="Základní text odsazený 21"/>
    <w:basedOn w:val="Normln"/>
    <w:uiPriority w:val="99"/>
    <w:rsid w:val="008C5917"/>
    <w:pPr>
      <w:widowControl w:val="0"/>
      <w:suppressAutoHyphens/>
      <w:spacing w:line="100" w:lineRule="atLeast"/>
      <w:ind w:left="0"/>
    </w:pPr>
    <w:rPr>
      <w:rFonts w:ascii="Times New Roman" w:eastAsia="Arial" w:hAnsi="Times New Roman" w:cs="Arial"/>
      <w:sz w:val="26"/>
      <w:szCs w:val="20"/>
      <w:lang w:eastAsia="ar-SA"/>
    </w:rPr>
  </w:style>
  <w:style w:type="paragraph" w:customStyle="1" w:styleId="Prosttext1">
    <w:name w:val="Prostý text1"/>
    <w:basedOn w:val="Normln"/>
    <w:uiPriority w:val="99"/>
    <w:rsid w:val="008C5917"/>
    <w:pPr>
      <w:widowControl w:val="0"/>
      <w:suppressAutoHyphens/>
      <w:spacing w:line="100" w:lineRule="atLeast"/>
      <w:ind w:left="0"/>
    </w:pPr>
    <w:rPr>
      <w:rFonts w:ascii="Courier New" w:eastAsia="Arial" w:hAnsi="Courier New" w:cs="Arial"/>
      <w:sz w:val="20"/>
      <w:szCs w:val="20"/>
      <w:lang w:eastAsia="ar-SA"/>
    </w:rPr>
  </w:style>
  <w:style w:type="paragraph" w:customStyle="1" w:styleId="Nadpis11">
    <w:name w:val="Nadpis 11"/>
    <w:basedOn w:val="Normln"/>
    <w:uiPriority w:val="99"/>
    <w:rsid w:val="008C5917"/>
    <w:pPr>
      <w:widowControl w:val="0"/>
      <w:tabs>
        <w:tab w:val="left" w:pos="2268"/>
      </w:tabs>
      <w:suppressAutoHyphens/>
      <w:spacing w:line="288" w:lineRule="auto"/>
      <w:ind w:left="1134"/>
    </w:pPr>
    <w:rPr>
      <w:rFonts w:ascii="SwitzerlandBlack" w:eastAsia="Arial" w:hAnsi="SwitzerlandBlack" w:cs="Arial"/>
      <w:b/>
      <w:i/>
      <w:sz w:val="28"/>
      <w:szCs w:val="20"/>
      <w:lang w:eastAsia="ar-SA"/>
    </w:rPr>
  </w:style>
  <w:style w:type="paragraph" w:customStyle="1" w:styleId="Zkladntext220">
    <w:name w:val="Základní text 22"/>
    <w:basedOn w:val="Normln"/>
    <w:uiPriority w:val="99"/>
    <w:rsid w:val="008C5917"/>
    <w:pPr>
      <w:widowControl w:val="0"/>
      <w:tabs>
        <w:tab w:val="left" w:pos="2268"/>
      </w:tabs>
      <w:suppressAutoHyphens/>
      <w:spacing w:line="288" w:lineRule="auto"/>
      <w:ind w:left="1134"/>
    </w:pPr>
    <w:rPr>
      <w:rFonts w:ascii="Times New Roman" w:eastAsia="Arial" w:hAnsi="Times New Roman" w:cs="Arial"/>
      <w:sz w:val="20"/>
      <w:szCs w:val="20"/>
      <w:lang w:eastAsia="ar-SA"/>
    </w:rPr>
  </w:style>
  <w:style w:type="paragraph" w:customStyle="1" w:styleId="Standardnpsmoodstavce3">
    <w:name w:val="Standardní písmo odstavce3"/>
    <w:basedOn w:val="Normln"/>
    <w:uiPriority w:val="99"/>
    <w:rsid w:val="008C5917"/>
    <w:pPr>
      <w:widowControl w:val="0"/>
      <w:suppressAutoHyphens/>
      <w:spacing w:line="288" w:lineRule="auto"/>
      <w:ind w:left="0"/>
    </w:pPr>
    <w:rPr>
      <w:rFonts w:ascii="Symbol" w:hAnsi="Symbol" w:cs="Arial"/>
      <w:sz w:val="24"/>
      <w:szCs w:val="20"/>
      <w:lang w:val="en-US" w:eastAsia="ar-SA"/>
    </w:rPr>
  </w:style>
  <w:style w:type="paragraph" w:customStyle="1" w:styleId="Zkladntextodsazen31">
    <w:name w:val="Základní text odsazený 31"/>
    <w:basedOn w:val="Normln"/>
    <w:uiPriority w:val="99"/>
    <w:rsid w:val="008C5917"/>
    <w:pPr>
      <w:widowControl w:val="0"/>
      <w:suppressAutoHyphens/>
      <w:spacing w:line="100" w:lineRule="atLeast"/>
      <w:ind w:left="1440" w:hanging="735"/>
    </w:pPr>
    <w:rPr>
      <w:rFonts w:ascii="Arial" w:eastAsia="Arial" w:hAnsi="Arial" w:cs="Arial"/>
      <w:b/>
      <w:bCs/>
      <w:sz w:val="32"/>
      <w:szCs w:val="20"/>
      <w:lang w:eastAsia="ar-SA"/>
    </w:rPr>
  </w:style>
  <w:style w:type="paragraph" w:customStyle="1" w:styleId="SeznamsodrkamiIMP">
    <w:name w:val="Seznam s odrážkami_IMP"/>
    <w:basedOn w:val="Normln"/>
    <w:uiPriority w:val="99"/>
    <w:rsid w:val="008C5917"/>
    <w:pPr>
      <w:tabs>
        <w:tab w:val="num" w:pos="0"/>
      </w:tabs>
      <w:suppressAutoHyphens/>
      <w:spacing w:line="228" w:lineRule="auto"/>
      <w:ind w:left="0"/>
    </w:pPr>
    <w:rPr>
      <w:rFonts w:ascii="Times New Roman" w:hAnsi="Times New Roman" w:cs="Arial"/>
      <w:sz w:val="24"/>
      <w:szCs w:val="20"/>
      <w:lang w:eastAsia="ar-SA"/>
    </w:rPr>
  </w:style>
  <w:style w:type="paragraph" w:customStyle="1" w:styleId="Export6">
    <w:name w:val="Export 6"/>
    <w:basedOn w:val="Normln"/>
    <w:uiPriority w:val="99"/>
    <w:rsid w:val="008C5917"/>
    <w:pPr>
      <w:widowControl w:val="0"/>
      <w:suppressAutoHyphens/>
      <w:spacing w:line="100" w:lineRule="atLeast"/>
      <w:ind w:left="480" w:hanging="480"/>
    </w:pPr>
    <w:rPr>
      <w:rFonts w:ascii="Times New Roman" w:hAnsi="Times New Roman" w:cs="Arial"/>
      <w:sz w:val="24"/>
      <w:szCs w:val="20"/>
      <w:lang w:eastAsia="ar-SA"/>
    </w:rPr>
  </w:style>
  <w:style w:type="paragraph" w:customStyle="1" w:styleId="WW-Zkladntext2">
    <w:name w:val="WW-Základní text 2"/>
    <w:basedOn w:val="Normln"/>
    <w:uiPriority w:val="99"/>
    <w:rsid w:val="008C5917"/>
    <w:pPr>
      <w:suppressAutoHyphens/>
      <w:spacing w:line="100" w:lineRule="atLeast"/>
      <w:ind w:left="0"/>
    </w:pPr>
    <w:rPr>
      <w:rFonts w:ascii="Times New Roman" w:hAnsi="Times New Roman" w:cs="Arial"/>
      <w:sz w:val="24"/>
      <w:szCs w:val="20"/>
      <w:lang w:eastAsia="ar-SA"/>
    </w:rPr>
  </w:style>
  <w:style w:type="paragraph" w:customStyle="1" w:styleId="Style1">
    <w:name w:val="Style 1"/>
    <w:basedOn w:val="Normln"/>
    <w:uiPriority w:val="99"/>
    <w:rsid w:val="008C5917"/>
    <w:pPr>
      <w:widowControl w:val="0"/>
      <w:suppressAutoHyphens/>
      <w:autoSpaceDE w:val="0"/>
      <w:spacing w:line="100" w:lineRule="atLeast"/>
      <w:ind w:left="72" w:right="72"/>
    </w:pPr>
    <w:rPr>
      <w:rFonts w:ascii="Times New Roman" w:hAnsi="Times New Roman" w:cs="Arial"/>
      <w:sz w:val="24"/>
      <w:lang w:eastAsia="ar-SA"/>
    </w:rPr>
  </w:style>
  <w:style w:type="paragraph" w:customStyle="1" w:styleId="Style2">
    <w:name w:val="Style 2"/>
    <w:basedOn w:val="Normln"/>
    <w:uiPriority w:val="99"/>
    <w:rsid w:val="008C5917"/>
    <w:pPr>
      <w:widowControl w:val="0"/>
      <w:suppressAutoHyphens/>
      <w:autoSpaceDE w:val="0"/>
      <w:spacing w:line="100" w:lineRule="atLeast"/>
      <w:ind w:left="0"/>
    </w:pPr>
    <w:rPr>
      <w:rFonts w:ascii="Times New Roman" w:hAnsi="Times New Roman" w:cs="Arial"/>
      <w:sz w:val="24"/>
      <w:lang w:eastAsia="ar-SA"/>
    </w:rPr>
  </w:style>
  <w:style w:type="paragraph" w:customStyle="1" w:styleId="Obsahtabulky">
    <w:name w:val="Obsah tabulky"/>
    <w:basedOn w:val="Normln"/>
    <w:uiPriority w:val="99"/>
    <w:rsid w:val="008C5917"/>
    <w:pPr>
      <w:widowControl w:val="0"/>
      <w:suppressLineNumbers/>
      <w:suppressAutoHyphens/>
      <w:spacing w:line="100" w:lineRule="atLeast"/>
      <w:ind w:left="0"/>
    </w:pPr>
    <w:rPr>
      <w:rFonts w:ascii="Times New Roman" w:eastAsia="Arial" w:hAnsi="Times New Roman" w:cs="Arial"/>
      <w:sz w:val="20"/>
      <w:szCs w:val="20"/>
      <w:lang w:eastAsia="ar-SA"/>
    </w:rPr>
  </w:style>
  <w:style w:type="paragraph" w:customStyle="1" w:styleId="Nadpistabulky">
    <w:name w:val="Nadpis tabulky"/>
    <w:basedOn w:val="Obsahtabulky"/>
    <w:uiPriority w:val="99"/>
    <w:rsid w:val="008C5917"/>
    <w:pPr>
      <w:jc w:val="center"/>
    </w:pPr>
    <w:rPr>
      <w:b/>
      <w:bCs/>
    </w:rPr>
  </w:style>
  <w:style w:type="paragraph" w:customStyle="1" w:styleId="2">
    <w:name w:val="2"/>
    <w:basedOn w:val="Normln"/>
    <w:next w:val="Podnadpis"/>
    <w:link w:val="PodnadpisChar1"/>
    <w:rsid w:val="008C5917"/>
    <w:pPr>
      <w:widowControl w:val="0"/>
      <w:suppressAutoHyphens/>
      <w:spacing w:line="100" w:lineRule="atLeast"/>
      <w:ind w:left="0"/>
    </w:pPr>
    <w:rPr>
      <w:rFonts w:ascii="Times New Roman" w:eastAsia="Arial" w:hAnsi="Times New Roman" w:cs="Arial"/>
      <w:b/>
      <w:bCs/>
      <w:sz w:val="20"/>
      <w:szCs w:val="20"/>
      <w:lang w:eastAsia="ar-SA"/>
    </w:rPr>
  </w:style>
  <w:style w:type="character" w:customStyle="1" w:styleId="PodnadpisChar1">
    <w:name w:val="Podnadpis Char1"/>
    <w:link w:val="2"/>
    <w:rsid w:val="008C5917"/>
    <w:rPr>
      <w:rFonts w:ascii="Times New Roman" w:eastAsia="Arial" w:hAnsi="Times New Roman" w:cs="Arial"/>
      <w:b/>
      <w:bCs/>
      <w:sz w:val="20"/>
      <w:szCs w:val="20"/>
      <w:lang w:eastAsia="ar-SA"/>
    </w:rPr>
  </w:style>
  <w:style w:type="paragraph" w:customStyle="1" w:styleId="I11Nadpis">
    <w:name w:val="I.1.1 Nadpis"/>
    <w:basedOn w:val="Normln"/>
    <w:uiPriority w:val="99"/>
    <w:rsid w:val="008C5917"/>
    <w:pPr>
      <w:spacing w:after="200"/>
      <w:ind w:left="0"/>
    </w:pPr>
    <w:rPr>
      <w:rFonts w:ascii="Arial" w:hAnsi="Arial"/>
      <w:b/>
      <w:sz w:val="22"/>
      <w:szCs w:val="22"/>
      <w:lang w:eastAsia="en-US" w:bidi="en-US"/>
    </w:rPr>
  </w:style>
  <w:style w:type="paragraph" w:customStyle="1" w:styleId="Podmnky-nadpis">
    <w:name w:val="Podmínky-nadpis"/>
    <w:basedOn w:val="Textk"/>
    <w:uiPriority w:val="99"/>
    <w:rsid w:val="008C5917"/>
    <w:pPr>
      <w:shd w:val="clear" w:color="auto" w:fill="F2F2F2"/>
      <w:suppressAutoHyphens/>
      <w:jc w:val="left"/>
    </w:pPr>
    <w:rPr>
      <w:rFonts w:eastAsia="Arial"/>
      <w:i/>
      <w:u w:val="single"/>
    </w:rPr>
  </w:style>
  <w:style w:type="paragraph" w:customStyle="1" w:styleId="Podmnky">
    <w:name w:val="Podmínky"/>
    <w:basedOn w:val="Podmnky-nadpis"/>
    <w:uiPriority w:val="99"/>
    <w:rsid w:val="008C5917"/>
    <w:pPr>
      <w:tabs>
        <w:tab w:val="num" w:pos="0"/>
      </w:tabs>
      <w:ind w:left="720" w:hanging="360"/>
    </w:pPr>
    <w:rPr>
      <w:u w:val="none"/>
    </w:rPr>
  </w:style>
  <w:style w:type="paragraph" w:customStyle="1" w:styleId="11111Nadpis">
    <w:name w:val="1.1.1.1.1 Nadpis"/>
    <w:basedOn w:val="Textk"/>
    <w:uiPriority w:val="99"/>
    <w:rsid w:val="008C5917"/>
    <w:pPr>
      <w:suppressAutoHyphens/>
      <w:jc w:val="left"/>
    </w:pPr>
    <w:rPr>
      <w:rFonts w:eastAsia="Arial"/>
      <w:i/>
      <w:lang w:eastAsia="ar-SA" w:bidi="ar-SA"/>
    </w:rPr>
  </w:style>
  <w:style w:type="paragraph" w:customStyle="1" w:styleId="Titulek1">
    <w:name w:val="Titulek1"/>
    <w:basedOn w:val="Normln"/>
    <w:next w:val="Normln"/>
    <w:uiPriority w:val="99"/>
    <w:rsid w:val="008C5917"/>
    <w:pPr>
      <w:ind w:left="0"/>
    </w:pPr>
    <w:rPr>
      <w:rFonts w:ascii="Times New Roman" w:hAnsi="Times New Roman"/>
      <w:sz w:val="22"/>
      <w:szCs w:val="20"/>
      <w:lang w:eastAsia="ar-SA"/>
    </w:rPr>
  </w:style>
  <w:style w:type="paragraph" w:customStyle="1" w:styleId="Obsah10">
    <w:name w:val="Obsah 10"/>
    <w:basedOn w:val="Rejstk"/>
    <w:uiPriority w:val="99"/>
    <w:rsid w:val="008C5917"/>
    <w:pPr>
      <w:tabs>
        <w:tab w:val="right" w:leader="dot" w:pos="9637"/>
      </w:tabs>
      <w:ind w:left="2547"/>
    </w:pPr>
  </w:style>
  <w:style w:type="character" w:customStyle="1" w:styleId="WW8Num27z1">
    <w:name w:val="WW8Num27z1"/>
    <w:rsid w:val="008C5917"/>
    <w:rPr>
      <w:rFonts w:ascii="Courier New" w:hAnsi="Courier New"/>
    </w:rPr>
  </w:style>
  <w:style w:type="character" w:customStyle="1" w:styleId="BezmezerChar">
    <w:name w:val="Bez mezer Char"/>
    <w:link w:val="Bezmezer"/>
    <w:uiPriority w:val="1"/>
    <w:locked/>
    <w:rsid w:val="008C5917"/>
    <w:rPr>
      <w:rFonts w:eastAsia="Calibri" w:cs="Calibri"/>
      <w:sz w:val="22"/>
      <w:szCs w:val="22"/>
      <w:lang w:eastAsia="en-US"/>
    </w:rPr>
  </w:style>
  <w:style w:type="character" w:customStyle="1" w:styleId="FontStyle64">
    <w:name w:val="Font Style64"/>
    <w:rsid w:val="008C5917"/>
    <w:rPr>
      <w:rFonts w:ascii="Arial" w:hAnsi="Arial" w:cs="Arial"/>
      <w:sz w:val="18"/>
      <w:szCs w:val="18"/>
    </w:rPr>
  </w:style>
  <w:style w:type="paragraph" w:customStyle="1" w:styleId="Style20">
    <w:name w:val="Style20"/>
    <w:basedOn w:val="Normln"/>
    <w:uiPriority w:val="99"/>
    <w:rsid w:val="008C5917"/>
    <w:pPr>
      <w:widowControl w:val="0"/>
      <w:autoSpaceDE w:val="0"/>
      <w:autoSpaceDN w:val="0"/>
      <w:adjustRightInd w:val="0"/>
      <w:spacing w:line="264" w:lineRule="exact"/>
      <w:ind w:left="0" w:hanging="346"/>
    </w:pPr>
    <w:rPr>
      <w:rFonts w:ascii="Arial" w:hAnsi="Arial" w:cs="Arial"/>
      <w:sz w:val="24"/>
    </w:rPr>
  </w:style>
  <w:style w:type="character" w:customStyle="1" w:styleId="popis">
    <w:name w:val="popis"/>
    <w:rsid w:val="008C5917"/>
  </w:style>
  <w:style w:type="paragraph" w:styleId="Textpoznpodarou">
    <w:name w:val="footnote text"/>
    <w:basedOn w:val="Normln"/>
    <w:link w:val="TextpoznpodarouChar"/>
    <w:uiPriority w:val="99"/>
    <w:rsid w:val="008C5917"/>
    <w:pPr>
      <w:ind w:left="0"/>
    </w:pPr>
    <w:rPr>
      <w:rFonts w:ascii="Times New Roman" w:hAnsi="Times New Roman"/>
      <w:sz w:val="20"/>
      <w:szCs w:val="20"/>
      <w:lang w:val="x-none" w:eastAsia="x-none"/>
    </w:rPr>
  </w:style>
  <w:style w:type="character" w:customStyle="1" w:styleId="TextpoznpodarouChar">
    <w:name w:val="Text pozn. pod čarou Char"/>
    <w:basedOn w:val="Standardnpsmoodstavce"/>
    <w:link w:val="Textpoznpodarou"/>
    <w:uiPriority w:val="99"/>
    <w:rsid w:val="008C5917"/>
    <w:rPr>
      <w:rFonts w:ascii="Times New Roman" w:hAnsi="Times New Roman"/>
      <w:lang w:val="x-none" w:eastAsia="x-none"/>
    </w:rPr>
  </w:style>
  <w:style w:type="character" w:customStyle="1" w:styleId="CharChar9">
    <w:name w:val="Char Char9"/>
    <w:rsid w:val="008C5917"/>
    <w:rPr>
      <w:sz w:val="22"/>
    </w:rPr>
  </w:style>
  <w:style w:type="character" w:customStyle="1" w:styleId="grame">
    <w:name w:val="grame"/>
    <w:rsid w:val="008C5917"/>
  </w:style>
  <w:style w:type="paragraph" w:customStyle="1" w:styleId="Podmnky-podnadpis">
    <w:name w:val="Podmínky-podnadpis"/>
    <w:basedOn w:val="Podmnky"/>
    <w:uiPriority w:val="99"/>
    <w:rsid w:val="008C5917"/>
    <w:pPr>
      <w:tabs>
        <w:tab w:val="clear" w:pos="0"/>
      </w:tabs>
      <w:suppressAutoHyphens w:val="0"/>
      <w:ind w:left="0" w:firstLine="0"/>
    </w:pPr>
    <w:rPr>
      <w:rFonts w:eastAsia="Times New Roman"/>
    </w:rPr>
  </w:style>
  <w:style w:type="paragraph" w:customStyle="1" w:styleId="hlavnstyl">
    <w:name w:val="hlavní styl"/>
    <w:basedOn w:val="Zkladntextodsazen3"/>
    <w:uiPriority w:val="99"/>
    <w:rsid w:val="008C5917"/>
    <w:pPr>
      <w:keepLines/>
      <w:overflowPunct w:val="0"/>
      <w:autoSpaceDE w:val="0"/>
      <w:autoSpaceDN w:val="0"/>
      <w:adjustRightInd w:val="0"/>
      <w:spacing w:before="60" w:after="60" w:line="240" w:lineRule="auto"/>
      <w:ind w:left="0"/>
      <w:textAlignment w:val="baseline"/>
    </w:pPr>
    <w:rPr>
      <w:sz w:val="22"/>
      <w:szCs w:val="20"/>
      <w:lang w:val="cs-CZ" w:eastAsia="cs-CZ"/>
    </w:rPr>
  </w:style>
  <w:style w:type="paragraph" w:customStyle="1" w:styleId="StylPed0b3">
    <w:name w:val="Styl Před:  0 b.3"/>
    <w:basedOn w:val="Normln"/>
    <w:uiPriority w:val="99"/>
    <w:rsid w:val="008C5917"/>
    <w:pPr>
      <w:keepLines/>
      <w:overflowPunct w:val="0"/>
      <w:autoSpaceDE w:val="0"/>
      <w:autoSpaceDN w:val="0"/>
      <w:adjustRightInd w:val="0"/>
      <w:spacing w:after="60"/>
      <w:ind w:left="720" w:hanging="360"/>
      <w:textAlignment w:val="baseline"/>
    </w:pPr>
    <w:rPr>
      <w:rFonts w:ascii="Arial" w:hAnsi="Arial"/>
      <w:sz w:val="22"/>
      <w:szCs w:val="20"/>
    </w:rPr>
  </w:style>
  <w:style w:type="paragraph" w:customStyle="1" w:styleId="Styl4">
    <w:name w:val="Styl4"/>
    <w:basedOn w:val="Normln"/>
    <w:next w:val="Normln"/>
    <w:uiPriority w:val="99"/>
    <w:qFormat/>
    <w:rsid w:val="008C5917"/>
    <w:pPr>
      <w:keepLines/>
      <w:numPr>
        <w:numId w:val="6"/>
      </w:numPr>
      <w:overflowPunct w:val="0"/>
      <w:autoSpaceDE w:val="0"/>
      <w:autoSpaceDN w:val="0"/>
      <w:adjustRightInd w:val="0"/>
      <w:spacing w:before="60" w:after="60"/>
      <w:textAlignment w:val="baseline"/>
    </w:pPr>
    <w:rPr>
      <w:rFonts w:ascii="Arial" w:hAnsi="Arial"/>
      <w:sz w:val="22"/>
      <w:szCs w:val="20"/>
    </w:rPr>
  </w:style>
  <w:style w:type="character" w:customStyle="1" w:styleId="platne">
    <w:name w:val="platne"/>
    <w:rsid w:val="008C5917"/>
  </w:style>
  <w:style w:type="paragraph" w:customStyle="1" w:styleId="a-Styl">
    <w:name w:val="a-Styl"/>
    <w:basedOn w:val="Zkladntext"/>
    <w:link w:val="a-StylChar1"/>
    <w:rsid w:val="008C5917"/>
    <w:pPr>
      <w:widowControl w:val="0"/>
      <w:numPr>
        <w:ilvl w:val="0"/>
      </w:numPr>
      <w:spacing w:after="120"/>
      <w:ind w:left="851" w:firstLine="284"/>
    </w:pPr>
    <w:rPr>
      <w:snapToGrid w:val="0"/>
      <w:sz w:val="22"/>
      <w:lang w:val="x-none" w:eastAsia="x-none"/>
    </w:rPr>
  </w:style>
  <w:style w:type="character" w:customStyle="1" w:styleId="a-StylChar1">
    <w:name w:val="a-Styl Char1"/>
    <w:link w:val="a-Styl"/>
    <w:rsid w:val="008C5917"/>
    <w:rPr>
      <w:rFonts w:ascii="Times New Roman" w:hAnsi="Times New Roman"/>
      <w:snapToGrid w:val="0"/>
      <w:sz w:val="22"/>
      <w:lang w:val="x-none" w:eastAsia="x-none"/>
    </w:rPr>
  </w:style>
  <w:style w:type="character" w:customStyle="1" w:styleId="CharChar5">
    <w:name w:val="Char Char5"/>
    <w:rsid w:val="008C5917"/>
    <w:rPr>
      <w:sz w:val="22"/>
      <w:lang w:val="cs-CZ" w:eastAsia="cs-CZ" w:bidi="ar-SA"/>
    </w:rPr>
  </w:style>
  <w:style w:type="character" w:customStyle="1" w:styleId="art-postheader">
    <w:name w:val="art-postheader"/>
    <w:rsid w:val="008C5917"/>
  </w:style>
  <w:style w:type="paragraph" w:customStyle="1" w:styleId="Styl2">
    <w:name w:val="Styl2"/>
    <w:basedOn w:val="Nadpis4"/>
    <w:uiPriority w:val="99"/>
    <w:rsid w:val="008C5917"/>
    <w:pPr>
      <w:widowControl w:val="0"/>
      <w:numPr>
        <w:numId w:val="0"/>
      </w:numPr>
      <w:tabs>
        <w:tab w:val="num" w:pos="864"/>
        <w:tab w:val="left" w:pos="1883"/>
      </w:tabs>
      <w:suppressAutoHyphens/>
      <w:autoSpaceDE/>
      <w:autoSpaceDN/>
      <w:adjustRightInd/>
      <w:spacing w:before="0"/>
    </w:pPr>
    <w:rPr>
      <w:rFonts w:ascii="Arial" w:eastAsia="Arial" w:hAnsi="Arial" w:cs="Arial"/>
      <w:b w:val="0"/>
      <w:sz w:val="24"/>
      <w:szCs w:val="20"/>
      <w:lang w:eastAsia="ar-SA"/>
    </w:rPr>
  </w:style>
  <w:style w:type="paragraph" w:customStyle="1" w:styleId="Styl3">
    <w:name w:val="Styl3"/>
    <w:basedOn w:val="Nadpis4"/>
    <w:link w:val="Styl3Char"/>
    <w:qFormat/>
    <w:rsid w:val="008C5917"/>
    <w:pPr>
      <w:widowControl w:val="0"/>
      <w:numPr>
        <w:numId w:val="0"/>
      </w:numPr>
      <w:tabs>
        <w:tab w:val="num" w:pos="864"/>
        <w:tab w:val="left" w:pos="1883"/>
      </w:tabs>
      <w:suppressAutoHyphens/>
      <w:autoSpaceDE/>
      <w:autoSpaceDN/>
      <w:adjustRightInd/>
      <w:spacing w:before="0" w:line="100" w:lineRule="atLeast"/>
      <w:ind w:left="864" w:hanging="864"/>
    </w:pPr>
    <w:rPr>
      <w:rFonts w:ascii="Arial" w:eastAsia="Arial" w:hAnsi="Arial" w:cs="Arial"/>
      <w:b w:val="0"/>
      <w:sz w:val="24"/>
      <w:szCs w:val="24"/>
      <w:lang w:eastAsia="ar-SA"/>
    </w:rPr>
  </w:style>
  <w:style w:type="paragraph" w:customStyle="1" w:styleId="Styl5">
    <w:name w:val="Styl5"/>
    <w:basedOn w:val="Nadpis4"/>
    <w:next w:val="Nadpis4"/>
    <w:uiPriority w:val="99"/>
    <w:rsid w:val="008C5917"/>
    <w:pPr>
      <w:widowControl w:val="0"/>
      <w:numPr>
        <w:numId w:val="0"/>
      </w:numPr>
      <w:tabs>
        <w:tab w:val="num" w:pos="864"/>
        <w:tab w:val="left" w:pos="1883"/>
      </w:tabs>
      <w:suppressAutoHyphens/>
      <w:autoSpaceDE/>
      <w:autoSpaceDN/>
      <w:adjustRightInd/>
      <w:spacing w:before="0" w:line="100" w:lineRule="atLeast"/>
      <w:ind w:left="864" w:hanging="864"/>
    </w:pPr>
    <w:rPr>
      <w:rFonts w:ascii="Arial" w:eastAsia="Arial" w:hAnsi="Arial" w:cs="Arial"/>
      <w:b w:val="0"/>
      <w:sz w:val="24"/>
      <w:szCs w:val="24"/>
      <w:lang w:eastAsia="ar-SA"/>
    </w:rPr>
  </w:style>
  <w:style w:type="paragraph" w:customStyle="1" w:styleId="Bezmezer11">
    <w:name w:val="Bez mezer11"/>
    <w:basedOn w:val="Normln"/>
    <w:rsid w:val="008C5917"/>
    <w:pPr>
      <w:ind w:left="0"/>
    </w:pPr>
    <w:rPr>
      <w:rFonts w:ascii="Cambria" w:hAnsi="Cambria"/>
      <w:sz w:val="32"/>
      <w:szCs w:val="32"/>
      <w:lang w:eastAsia="en-US"/>
    </w:rPr>
  </w:style>
  <w:style w:type="paragraph" w:styleId="FormtovanvHTML">
    <w:name w:val="HTML Preformatted"/>
    <w:basedOn w:val="Normln"/>
    <w:link w:val="FormtovanvHTMLChar"/>
    <w:rsid w:val="008C591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pPr>
    <w:rPr>
      <w:rFonts w:ascii="Courier New" w:hAnsi="Courier New"/>
      <w:sz w:val="20"/>
      <w:szCs w:val="20"/>
      <w:lang w:val="x-none" w:eastAsia="x-none"/>
    </w:rPr>
  </w:style>
  <w:style w:type="character" w:customStyle="1" w:styleId="FormtovanvHTMLChar">
    <w:name w:val="Formátovaný v HTML Char"/>
    <w:basedOn w:val="Standardnpsmoodstavce"/>
    <w:link w:val="FormtovanvHTML"/>
    <w:rsid w:val="008C5917"/>
    <w:rPr>
      <w:rFonts w:ascii="Courier New" w:hAnsi="Courier New"/>
      <w:lang w:val="x-none" w:eastAsia="x-none"/>
    </w:rPr>
  </w:style>
  <w:style w:type="paragraph" w:customStyle="1" w:styleId="b-Styl">
    <w:name w:val="b-Styl"/>
    <w:basedOn w:val="Seznamsodrkami"/>
    <w:link w:val="b-StylChar1"/>
    <w:uiPriority w:val="99"/>
    <w:qFormat/>
    <w:rsid w:val="008C5917"/>
    <w:pPr>
      <w:widowControl/>
      <w:tabs>
        <w:tab w:val="left" w:pos="284"/>
      </w:tabs>
      <w:suppressAutoHyphens w:val="0"/>
      <w:spacing w:line="240" w:lineRule="auto"/>
    </w:pPr>
    <w:rPr>
      <w:rFonts w:eastAsia="Times New Roman" w:cs="Times New Roman"/>
      <w:sz w:val="22"/>
      <w:lang w:val="x-none" w:eastAsia="x-none"/>
    </w:rPr>
  </w:style>
  <w:style w:type="paragraph" w:styleId="Seznamsodrkami">
    <w:name w:val="List Bullet"/>
    <w:basedOn w:val="Normln"/>
    <w:uiPriority w:val="99"/>
    <w:rsid w:val="008C5917"/>
    <w:pPr>
      <w:widowControl w:val="0"/>
      <w:numPr>
        <w:numId w:val="7"/>
      </w:numPr>
      <w:suppressAutoHyphens/>
      <w:spacing w:line="100" w:lineRule="atLeast"/>
    </w:pPr>
    <w:rPr>
      <w:rFonts w:ascii="Times New Roman" w:eastAsia="Arial" w:hAnsi="Times New Roman" w:cs="Arial"/>
      <w:sz w:val="20"/>
      <w:szCs w:val="20"/>
      <w:lang w:eastAsia="ar-SA"/>
    </w:rPr>
  </w:style>
  <w:style w:type="character" w:customStyle="1" w:styleId="b-StylChar1">
    <w:name w:val="b-Styl Char1"/>
    <w:link w:val="b-Styl"/>
    <w:uiPriority w:val="99"/>
    <w:rsid w:val="008C5917"/>
    <w:rPr>
      <w:rFonts w:ascii="Times New Roman" w:eastAsia="Times New Roman" w:hAnsi="Times New Roman"/>
      <w:sz w:val="22"/>
      <w:lang w:val="x-none" w:eastAsia="x-none"/>
    </w:rPr>
  </w:style>
  <w:style w:type="paragraph" w:customStyle="1" w:styleId="Nadpis41">
    <w:name w:val="Nadpis 4.1"/>
    <w:basedOn w:val="Default"/>
    <w:next w:val="Default"/>
    <w:uiPriority w:val="99"/>
    <w:rsid w:val="008C5917"/>
    <w:rPr>
      <w:rFonts w:ascii="Arial" w:eastAsia="Times New Roman" w:hAnsi="Arial"/>
      <w:color w:val="auto"/>
      <w:lang w:eastAsia="cs-CZ"/>
    </w:rPr>
  </w:style>
  <w:style w:type="character" w:customStyle="1" w:styleId="WW8Num30z0">
    <w:name w:val="WW8Num30z0"/>
    <w:rsid w:val="008C5917"/>
    <w:rPr>
      <w:color w:val="000000"/>
    </w:rPr>
  </w:style>
  <w:style w:type="paragraph" w:customStyle="1" w:styleId="Prosttext2">
    <w:name w:val="Prostý text2"/>
    <w:basedOn w:val="Normln"/>
    <w:uiPriority w:val="99"/>
    <w:rsid w:val="008C5917"/>
    <w:pPr>
      <w:widowControl w:val="0"/>
      <w:suppressAutoHyphens/>
      <w:ind w:left="0"/>
    </w:pPr>
    <w:rPr>
      <w:rFonts w:ascii="Courier New" w:eastAsia="Arial" w:hAnsi="Courier New" w:cs="Arial"/>
      <w:sz w:val="20"/>
      <w:szCs w:val="20"/>
      <w:lang w:eastAsia="ar-SA"/>
    </w:rPr>
  </w:style>
  <w:style w:type="character" w:customStyle="1" w:styleId="WW8Num18z1">
    <w:name w:val="WW8Num18z1"/>
    <w:rsid w:val="008C5917"/>
    <w:rPr>
      <w:rFonts w:ascii="Courier New" w:hAnsi="Courier New" w:cs="Courier New"/>
    </w:rPr>
  </w:style>
  <w:style w:type="paragraph" w:customStyle="1" w:styleId="font8">
    <w:name w:val="font8"/>
    <w:basedOn w:val="Normln"/>
    <w:uiPriority w:val="99"/>
    <w:rsid w:val="008C5917"/>
    <w:pPr>
      <w:spacing w:before="100" w:after="100"/>
      <w:ind w:left="0"/>
    </w:pPr>
    <w:rPr>
      <w:rFonts w:ascii="Arial" w:eastAsia="Arial Unicode MS" w:hAnsi="Arial" w:cs="Arial"/>
      <w:color w:val="000000"/>
      <w:sz w:val="16"/>
      <w:szCs w:val="16"/>
      <w:lang w:eastAsia="ar-SA"/>
    </w:rPr>
  </w:style>
  <w:style w:type="paragraph" w:customStyle="1" w:styleId="obrazek">
    <w:name w:val="obrazek"/>
    <w:basedOn w:val="Normln"/>
    <w:link w:val="obrazekChar"/>
    <w:autoRedefine/>
    <w:qFormat/>
    <w:rsid w:val="008C5917"/>
    <w:pPr>
      <w:ind w:left="57"/>
    </w:pPr>
    <w:rPr>
      <w:rFonts w:ascii="Arial" w:hAnsi="Arial"/>
      <w:b/>
      <w:noProof/>
      <w:sz w:val="22"/>
      <w:szCs w:val="22"/>
      <w:lang w:val="x-none" w:eastAsia="en-US"/>
    </w:rPr>
  </w:style>
  <w:style w:type="character" w:customStyle="1" w:styleId="obrazekChar">
    <w:name w:val="obrazek Char"/>
    <w:link w:val="obrazek"/>
    <w:rsid w:val="008C5917"/>
    <w:rPr>
      <w:rFonts w:ascii="Arial" w:hAnsi="Arial"/>
      <w:b/>
      <w:noProof/>
      <w:sz w:val="22"/>
      <w:szCs w:val="22"/>
      <w:lang w:val="x-none" w:eastAsia="en-US"/>
    </w:rPr>
  </w:style>
  <w:style w:type="paragraph" w:customStyle="1" w:styleId="tabulkaodrky">
    <w:name w:val="tabulka odrážky"/>
    <w:basedOn w:val="Zkladntextodsazen"/>
    <w:uiPriority w:val="99"/>
    <w:rsid w:val="008C5917"/>
    <w:pPr>
      <w:numPr>
        <w:numId w:val="8"/>
      </w:numPr>
      <w:spacing w:after="0"/>
    </w:pPr>
    <w:rPr>
      <w:rFonts w:ascii="Arial" w:hAnsi="Arial" w:cs="Arial"/>
      <w:sz w:val="20"/>
    </w:rPr>
  </w:style>
  <w:style w:type="paragraph" w:customStyle="1" w:styleId="Pa8">
    <w:name w:val="Pa8"/>
    <w:basedOn w:val="Normln"/>
    <w:next w:val="Normln"/>
    <w:uiPriority w:val="99"/>
    <w:rsid w:val="008C5917"/>
    <w:pPr>
      <w:autoSpaceDE w:val="0"/>
      <w:autoSpaceDN w:val="0"/>
      <w:adjustRightInd w:val="0"/>
      <w:spacing w:line="201" w:lineRule="atLeast"/>
      <w:ind w:left="0"/>
    </w:pPr>
    <w:rPr>
      <w:rFonts w:ascii="IYGUZC+TimesCE-Roman" w:hAnsi="IYGUZC+TimesCE-Roman"/>
      <w:sz w:val="24"/>
    </w:rPr>
  </w:style>
  <w:style w:type="paragraph" w:customStyle="1" w:styleId="Texttabulky1">
    <w:name w:val="Text tabulky 1"/>
    <w:basedOn w:val="Default"/>
    <w:next w:val="Default"/>
    <w:uiPriority w:val="99"/>
    <w:rsid w:val="008C5917"/>
    <w:rPr>
      <w:rFonts w:ascii="Arial" w:eastAsia="Times New Roman" w:hAnsi="Arial" w:cs="Arial"/>
      <w:color w:val="auto"/>
      <w:lang w:eastAsia="cs-CZ"/>
    </w:rPr>
  </w:style>
  <w:style w:type="character" w:customStyle="1" w:styleId="WW8Num2z0">
    <w:name w:val="WW8Num2z0"/>
    <w:rsid w:val="008C5917"/>
    <w:rPr>
      <w:rFonts w:ascii="Symbol" w:hAnsi="Symbol" w:cs="Symbol"/>
      <w:color w:val="000000"/>
    </w:rPr>
  </w:style>
  <w:style w:type="character" w:customStyle="1" w:styleId="WW8Num18z2">
    <w:name w:val="WW8Num18z2"/>
    <w:rsid w:val="008C5917"/>
    <w:rPr>
      <w:rFonts w:ascii="Wingdings" w:hAnsi="Wingdings" w:cs="Wingdings"/>
    </w:rPr>
  </w:style>
  <w:style w:type="character" w:customStyle="1" w:styleId="odst">
    <w:name w:val="odst"/>
    <w:rsid w:val="008C5917"/>
  </w:style>
  <w:style w:type="paragraph" w:customStyle="1" w:styleId="font5">
    <w:name w:val="font5"/>
    <w:basedOn w:val="Normln"/>
    <w:rsid w:val="008C5917"/>
    <w:pPr>
      <w:spacing w:before="100" w:beforeAutospacing="1" w:after="100" w:afterAutospacing="1"/>
      <w:ind w:left="0"/>
    </w:pPr>
    <w:rPr>
      <w:rFonts w:ascii="Arial" w:hAnsi="Arial" w:cs="Arial"/>
      <w:color w:val="000000"/>
      <w:sz w:val="20"/>
      <w:szCs w:val="20"/>
    </w:rPr>
  </w:style>
  <w:style w:type="paragraph" w:customStyle="1" w:styleId="font6">
    <w:name w:val="font6"/>
    <w:basedOn w:val="Normln"/>
    <w:rsid w:val="008C5917"/>
    <w:pPr>
      <w:spacing w:before="100" w:beforeAutospacing="1" w:after="100" w:afterAutospacing="1"/>
      <w:ind w:left="0"/>
    </w:pPr>
    <w:rPr>
      <w:rFonts w:ascii="Arial" w:hAnsi="Arial" w:cs="Arial"/>
      <w:b/>
      <w:bCs/>
      <w:color w:val="000000"/>
      <w:sz w:val="20"/>
      <w:szCs w:val="20"/>
    </w:rPr>
  </w:style>
  <w:style w:type="paragraph" w:customStyle="1" w:styleId="xl66">
    <w:name w:val="xl66"/>
    <w:basedOn w:val="Normln"/>
    <w:rsid w:val="008C5917"/>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ind w:left="0"/>
      <w:jc w:val="center"/>
      <w:textAlignment w:val="center"/>
    </w:pPr>
    <w:rPr>
      <w:rFonts w:ascii="Arial" w:hAnsi="Arial" w:cs="Arial"/>
      <w:sz w:val="20"/>
      <w:szCs w:val="20"/>
    </w:rPr>
  </w:style>
  <w:style w:type="paragraph" w:customStyle="1" w:styleId="xl67">
    <w:name w:val="xl67"/>
    <w:basedOn w:val="Normln"/>
    <w:rsid w:val="008C5917"/>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ind w:left="0"/>
      <w:jc w:val="center"/>
      <w:textAlignment w:val="center"/>
    </w:pPr>
    <w:rPr>
      <w:rFonts w:ascii="Arial" w:hAnsi="Arial" w:cs="Arial"/>
      <w:sz w:val="20"/>
      <w:szCs w:val="20"/>
    </w:rPr>
  </w:style>
  <w:style w:type="paragraph" w:customStyle="1" w:styleId="xl68">
    <w:name w:val="xl68"/>
    <w:basedOn w:val="Normln"/>
    <w:rsid w:val="008C5917"/>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ind w:left="0"/>
      <w:jc w:val="center"/>
      <w:textAlignment w:val="center"/>
    </w:pPr>
    <w:rPr>
      <w:rFonts w:ascii="Arial" w:hAnsi="Arial" w:cs="Arial"/>
      <w:sz w:val="20"/>
      <w:szCs w:val="20"/>
    </w:rPr>
  </w:style>
  <w:style w:type="paragraph" w:customStyle="1" w:styleId="xl69">
    <w:name w:val="xl69"/>
    <w:basedOn w:val="Normln"/>
    <w:rsid w:val="008C5917"/>
    <w:pPr>
      <w:pBdr>
        <w:top w:val="single" w:sz="4" w:space="0" w:color="auto"/>
        <w:left w:val="single" w:sz="4" w:space="0" w:color="auto"/>
        <w:bottom w:val="single" w:sz="4" w:space="0" w:color="auto"/>
        <w:right w:val="single" w:sz="4" w:space="0" w:color="auto"/>
      </w:pBdr>
      <w:shd w:val="clear" w:color="000000" w:fill="FFFFCC"/>
      <w:spacing w:before="100" w:beforeAutospacing="1" w:after="100" w:afterAutospacing="1"/>
      <w:ind w:left="0"/>
    </w:pPr>
    <w:rPr>
      <w:rFonts w:ascii="Arial" w:hAnsi="Arial" w:cs="Arial"/>
      <w:sz w:val="20"/>
      <w:szCs w:val="20"/>
    </w:rPr>
  </w:style>
  <w:style w:type="paragraph" w:customStyle="1" w:styleId="xl70">
    <w:name w:val="xl70"/>
    <w:basedOn w:val="Normln"/>
    <w:rsid w:val="008C591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left="0"/>
    </w:pPr>
    <w:rPr>
      <w:rFonts w:ascii="Arial" w:hAnsi="Arial" w:cs="Arial"/>
      <w:sz w:val="20"/>
      <w:szCs w:val="20"/>
    </w:rPr>
  </w:style>
  <w:style w:type="paragraph" w:customStyle="1" w:styleId="xl71">
    <w:name w:val="xl71"/>
    <w:basedOn w:val="Normln"/>
    <w:rsid w:val="008C591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left="0"/>
    </w:pPr>
    <w:rPr>
      <w:rFonts w:ascii="Arial" w:hAnsi="Arial" w:cs="Arial"/>
      <w:sz w:val="20"/>
      <w:szCs w:val="20"/>
    </w:rPr>
  </w:style>
  <w:style w:type="paragraph" w:customStyle="1" w:styleId="xl72">
    <w:name w:val="xl72"/>
    <w:basedOn w:val="Normln"/>
    <w:rsid w:val="008C591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left="0"/>
    </w:pPr>
    <w:rPr>
      <w:rFonts w:ascii="Arial" w:hAnsi="Arial" w:cs="Arial"/>
      <w:sz w:val="20"/>
      <w:szCs w:val="20"/>
    </w:rPr>
  </w:style>
  <w:style w:type="paragraph" w:customStyle="1" w:styleId="xl73">
    <w:name w:val="xl73"/>
    <w:basedOn w:val="Normln"/>
    <w:rsid w:val="008C5917"/>
    <w:pPr>
      <w:shd w:val="clear" w:color="000000" w:fill="FFFFFF"/>
      <w:spacing w:before="100" w:beforeAutospacing="1" w:after="100" w:afterAutospacing="1"/>
      <w:ind w:left="0"/>
    </w:pPr>
    <w:rPr>
      <w:rFonts w:ascii="Times New Roman" w:hAnsi="Times New Roman"/>
      <w:sz w:val="24"/>
    </w:rPr>
  </w:style>
  <w:style w:type="paragraph" w:customStyle="1" w:styleId="xl74">
    <w:name w:val="xl74"/>
    <w:basedOn w:val="Normln"/>
    <w:rsid w:val="008C5917"/>
    <w:pPr>
      <w:shd w:val="clear" w:color="000000" w:fill="FFFFFF"/>
      <w:spacing w:before="100" w:beforeAutospacing="1" w:after="100" w:afterAutospacing="1"/>
      <w:ind w:left="0"/>
    </w:pPr>
    <w:rPr>
      <w:rFonts w:ascii="Times New Roman" w:hAnsi="Times New Roman"/>
      <w:sz w:val="24"/>
    </w:rPr>
  </w:style>
  <w:style w:type="paragraph" w:customStyle="1" w:styleId="xl75">
    <w:name w:val="xl75"/>
    <w:basedOn w:val="Normln"/>
    <w:rsid w:val="008C5917"/>
    <w:pPr>
      <w:shd w:val="clear" w:color="000000" w:fill="FFFFFF"/>
      <w:spacing w:before="100" w:beforeAutospacing="1" w:after="100" w:afterAutospacing="1"/>
      <w:ind w:left="0"/>
    </w:pPr>
    <w:rPr>
      <w:rFonts w:ascii="Arial" w:hAnsi="Arial" w:cs="Arial"/>
      <w:sz w:val="20"/>
      <w:szCs w:val="20"/>
    </w:rPr>
  </w:style>
  <w:style w:type="paragraph" w:customStyle="1" w:styleId="xl76">
    <w:name w:val="xl76"/>
    <w:basedOn w:val="Normln"/>
    <w:rsid w:val="008C5917"/>
    <w:pPr>
      <w:pBdr>
        <w:top w:val="single" w:sz="4" w:space="0" w:color="auto"/>
      </w:pBdr>
      <w:shd w:val="clear" w:color="000000" w:fill="FFFFFF"/>
      <w:spacing w:before="100" w:beforeAutospacing="1" w:after="100" w:afterAutospacing="1"/>
      <w:ind w:left="0"/>
    </w:pPr>
    <w:rPr>
      <w:rFonts w:ascii="Arial" w:hAnsi="Arial" w:cs="Arial"/>
      <w:sz w:val="20"/>
      <w:szCs w:val="20"/>
    </w:rPr>
  </w:style>
  <w:style w:type="paragraph" w:customStyle="1" w:styleId="Nadpis12">
    <w:name w:val="Nadpis 12"/>
    <w:basedOn w:val="Normln"/>
    <w:uiPriority w:val="1"/>
    <w:qFormat/>
    <w:rsid w:val="008C5917"/>
    <w:pPr>
      <w:widowControl w:val="0"/>
      <w:autoSpaceDE w:val="0"/>
      <w:autoSpaceDN w:val="0"/>
      <w:adjustRightInd w:val="0"/>
      <w:ind w:left="1618"/>
      <w:outlineLvl w:val="0"/>
    </w:pPr>
    <w:rPr>
      <w:rFonts w:ascii="Arial" w:hAnsi="Arial" w:cs="Arial"/>
      <w:sz w:val="23"/>
      <w:szCs w:val="23"/>
    </w:rPr>
  </w:style>
  <w:style w:type="paragraph" w:customStyle="1" w:styleId="slovanseznam52">
    <w:name w:val="Číslovaný seznam 52"/>
    <w:basedOn w:val="Normln"/>
    <w:uiPriority w:val="99"/>
    <w:rsid w:val="008C5917"/>
    <w:pPr>
      <w:widowControl w:val="0"/>
      <w:suppressAutoHyphens/>
      <w:spacing w:line="242" w:lineRule="auto"/>
      <w:ind w:left="1571" w:hanging="360"/>
    </w:pPr>
    <w:rPr>
      <w:rFonts w:ascii="Times New Roman" w:eastAsia="Arial" w:hAnsi="Times New Roman"/>
      <w:sz w:val="20"/>
      <w:szCs w:val="20"/>
      <w:lang w:eastAsia="ar-SA"/>
    </w:rPr>
  </w:style>
  <w:style w:type="character" w:customStyle="1" w:styleId="WW8Num4z6">
    <w:name w:val="WW8Num4z6"/>
    <w:rsid w:val="008C5917"/>
  </w:style>
  <w:style w:type="paragraph" w:customStyle="1" w:styleId="Zkladntextodsazen22">
    <w:name w:val="Základní text odsazený 22"/>
    <w:basedOn w:val="Normln"/>
    <w:uiPriority w:val="99"/>
    <w:rsid w:val="008C5917"/>
    <w:pPr>
      <w:overflowPunct w:val="0"/>
      <w:autoSpaceDE w:val="0"/>
      <w:autoSpaceDN w:val="0"/>
      <w:adjustRightInd w:val="0"/>
      <w:ind w:left="0" w:firstLine="720"/>
      <w:textAlignment w:val="baseline"/>
    </w:pPr>
    <w:rPr>
      <w:rFonts w:ascii="Times New Roman" w:hAnsi="Times New Roman"/>
      <w:sz w:val="24"/>
      <w:szCs w:val="20"/>
    </w:rPr>
  </w:style>
  <w:style w:type="paragraph" w:customStyle="1" w:styleId="l6">
    <w:name w:val="l6"/>
    <w:basedOn w:val="Normln"/>
    <w:uiPriority w:val="99"/>
    <w:rsid w:val="008C5917"/>
    <w:pPr>
      <w:spacing w:before="100" w:beforeAutospacing="1" w:after="100" w:afterAutospacing="1"/>
      <w:ind w:left="0"/>
    </w:pPr>
    <w:rPr>
      <w:rFonts w:ascii="Times New Roman" w:hAnsi="Times New Roman"/>
      <w:sz w:val="24"/>
    </w:rPr>
  </w:style>
  <w:style w:type="character" w:styleId="PromnnHTML">
    <w:name w:val="HTML Variable"/>
    <w:uiPriority w:val="99"/>
    <w:unhideWhenUsed/>
    <w:rsid w:val="008C5917"/>
    <w:rPr>
      <w:i/>
      <w:iCs/>
    </w:rPr>
  </w:style>
  <w:style w:type="paragraph" w:customStyle="1" w:styleId="StylPed0bZa0b3">
    <w:name w:val="Styl Před:  0 b. Za:  0 b.3"/>
    <w:basedOn w:val="Normln"/>
    <w:uiPriority w:val="99"/>
    <w:rsid w:val="008C5917"/>
    <w:pPr>
      <w:keepLines/>
      <w:numPr>
        <w:numId w:val="9"/>
      </w:numPr>
      <w:overflowPunct w:val="0"/>
      <w:autoSpaceDE w:val="0"/>
      <w:autoSpaceDN w:val="0"/>
      <w:adjustRightInd w:val="0"/>
      <w:textAlignment w:val="baseline"/>
    </w:pPr>
    <w:rPr>
      <w:rFonts w:ascii="Arial" w:hAnsi="Arial"/>
      <w:sz w:val="22"/>
      <w:szCs w:val="20"/>
    </w:rPr>
  </w:style>
  <w:style w:type="paragraph" w:customStyle="1" w:styleId="Styl-o">
    <w:name w:val="Styl-o"/>
    <w:basedOn w:val="b-Styl"/>
    <w:uiPriority w:val="99"/>
    <w:rsid w:val="008C5917"/>
    <w:pPr>
      <w:widowControl w:val="0"/>
      <w:numPr>
        <w:numId w:val="10"/>
      </w:numPr>
      <w:tabs>
        <w:tab w:val="clear" w:pos="360"/>
        <w:tab w:val="num" w:pos="1440"/>
      </w:tabs>
      <w:spacing w:after="120"/>
      <w:ind w:left="1440"/>
    </w:pPr>
    <w:rPr>
      <w:lang w:val="cs-CZ" w:eastAsia="cs-CZ"/>
    </w:rPr>
  </w:style>
  <w:style w:type="paragraph" w:customStyle="1" w:styleId="StylOdstavecseseznamemLatinkaArial12b">
    <w:name w:val="Styl Odstavec se seznamem + (Latinka) Arial 12 b."/>
    <w:basedOn w:val="Odstavecseseznamem"/>
    <w:link w:val="StylOdstavecseseznamemLatinkaArial12bChar"/>
    <w:rsid w:val="008C5917"/>
    <w:pPr>
      <w:spacing w:after="200" w:line="360" w:lineRule="auto"/>
    </w:pPr>
    <w:rPr>
      <w:rFonts w:ascii="Arial" w:eastAsia="Calibri" w:hAnsi="Arial"/>
      <w:sz w:val="24"/>
      <w:szCs w:val="20"/>
      <w:lang w:val="x-none" w:eastAsia="x-none"/>
    </w:rPr>
  </w:style>
  <w:style w:type="character" w:customStyle="1" w:styleId="StylOdstavecseseznamemLatinkaArial12bChar">
    <w:name w:val="Styl Odstavec se seznamem + (Latinka) Arial 12 b. Char"/>
    <w:link w:val="StylOdstavecseseznamemLatinkaArial12b"/>
    <w:rsid w:val="008C5917"/>
    <w:rPr>
      <w:rFonts w:ascii="Arial" w:eastAsia="Calibri" w:hAnsi="Arial"/>
      <w:sz w:val="24"/>
      <w:lang w:val="x-none" w:eastAsia="x-none"/>
    </w:rPr>
  </w:style>
  <w:style w:type="paragraph" w:customStyle="1" w:styleId="StylNadpis114bZarovnatdoblokudkovnjednoduch">
    <w:name w:val="Styl Nadpis 1 + 14 b. Zarovnat do bloku Řádkování:  jednoduché"/>
    <w:basedOn w:val="Nadpis1"/>
    <w:next w:val="StylOdstavecseseznamemLatinkaArial12b"/>
    <w:uiPriority w:val="99"/>
    <w:rsid w:val="008C5917"/>
    <w:pPr>
      <w:spacing w:before="240" w:after="120"/>
      <w:ind w:left="0" w:firstLine="0"/>
    </w:pPr>
    <w:rPr>
      <w:rFonts w:ascii="Arial" w:hAnsi="Arial"/>
      <w:szCs w:val="20"/>
      <w:lang w:val="x-none"/>
    </w:rPr>
  </w:style>
  <w:style w:type="paragraph" w:customStyle="1" w:styleId="StylNadpis2Zarovnatdobloku">
    <w:name w:val="Styl Nadpis 2 + Zarovnat do bloku"/>
    <w:basedOn w:val="Nadpis2"/>
    <w:uiPriority w:val="99"/>
    <w:rsid w:val="008C5917"/>
    <w:pPr>
      <w:keepNext/>
      <w:spacing w:after="120"/>
      <w:ind w:left="0" w:firstLine="0"/>
    </w:pPr>
    <w:rPr>
      <w:rFonts w:ascii="Arial" w:hAnsi="Arial"/>
      <w:bCs/>
      <w:i w:val="0"/>
      <w:sz w:val="24"/>
      <w:szCs w:val="20"/>
      <w:u w:val="single"/>
      <w:lang w:val="x-none"/>
    </w:rPr>
  </w:style>
  <w:style w:type="character" w:customStyle="1" w:styleId="WW8Num3z2">
    <w:name w:val="WW8Num3z2"/>
    <w:rsid w:val="008C5917"/>
  </w:style>
  <w:style w:type="character" w:customStyle="1" w:styleId="WW8Num3z0">
    <w:name w:val="WW8Num3z0"/>
    <w:rsid w:val="008C5917"/>
  </w:style>
  <w:style w:type="paragraph" w:customStyle="1" w:styleId="Zkladntextodsazen23">
    <w:name w:val="Základní text odsazený 23"/>
    <w:basedOn w:val="Normln"/>
    <w:uiPriority w:val="99"/>
    <w:rsid w:val="008C5917"/>
    <w:pPr>
      <w:overflowPunct w:val="0"/>
      <w:autoSpaceDE w:val="0"/>
      <w:autoSpaceDN w:val="0"/>
      <w:adjustRightInd w:val="0"/>
      <w:ind w:left="0" w:firstLine="720"/>
      <w:textAlignment w:val="baseline"/>
    </w:pPr>
    <w:rPr>
      <w:rFonts w:ascii="Times New Roman" w:hAnsi="Times New Roman"/>
      <w:sz w:val="24"/>
      <w:szCs w:val="20"/>
    </w:rPr>
  </w:style>
  <w:style w:type="character" w:styleId="Zdraznn">
    <w:name w:val="Emphasis"/>
    <w:qFormat/>
    <w:rsid w:val="008C5917"/>
    <w:rPr>
      <w:i/>
      <w:iCs/>
    </w:rPr>
  </w:style>
  <w:style w:type="paragraph" w:customStyle="1" w:styleId="1">
    <w:name w:val="1"/>
    <w:basedOn w:val="Normln"/>
    <w:next w:val="Podnadpis"/>
    <w:rsid w:val="00201DCF"/>
    <w:pPr>
      <w:widowControl w:val="0"/>
      <w:suppressAutoHyphens/>
      <w:spacing w:line="100" w:lineRule="atLeast"/>
      <w:ind w:left="0"/>
    </w:pPr>
    <w:rPr>
      <w:rFonts w:ascii="Times New Roman" w:eastAsia="Arial" w:hAnsi="Times New Roman" w:cs="Arial"/>
      <w:b/>
      <w:bCs/>
      <w:sz w:val="20"/>
      <w:szCs w:val="20"/>
      <w:lang w:eastAsia="ar-SA"/>
    </w:rPr>
  </w:style>
  <w:style w:type="paragraph" w:customStyle="1" w:styleId="l5">
    <w:name w:val="l5"/>
    <w:basedOn w:val="Normln"/>
    <w:uiPriority w:val="99"/>
    <w:rsid w:val="00355E88"/>
    <w:pPr>
      <w:spacing w:before="100" w:beforeAutospacing="1" w:after="100" w:afterAutospacing="1"/>
      <w:ind w:left="0"/>
    </w:pPr>
    <w:rPr>
      <w:rFonts w:ascii="Times New Roman" w:hAnsi="Times New Roman"/>
      <w:sz w:val="24"/>
    </w:rPr>
  </w:style>
  <w:style w:type="character" w:customStyle="1" w:styleId="Nadpis1CharChar">
    <w:name w:val="Nadpis 1 Char Char"/>
    <w:rsid w:val="00ED5EF4"/>
    <w:rPr>
      <w:rFonts w:ascii="Arial" w:hAnsi="Arial"/>
      <w:spacing w:val="20"/>
      <w:kern w:val="28"/>
      <w:sz w:val="40"/>
      <w:lang w:val="cs-CZ" w:eastAsia="cs-CZ" w:bidi="ar-SA"/>
    </w:rPr>
  </w:style>
  <w:style w:type="character" w:customStyle="1" w:styleId="Nadpis3Char1Char">
    <w:name w:val="Nadpis 3 Char1 Char"/>
    <w:aliases w:val="Nadpis 3 Char Char Char,Nadpis 3 Char Char1"/>
    <w:rsid w:val="00072B7A"/>
    <w:rPr>
      <w:b/>
      <w:spacing w:val="10"/>
      <w:sz w:val="24"/>
      <w:lang w:val="cs-CZ" w:eastAsia="cs-CZ" w:bidi="ar-SA"/>
    </w:rPr>
  </w:style>
  <w:style w:type="character" w:customStyle="1" w:styleId="Nadpis2Char2Char">
    <w:name w:val="Nadpis 2 Char2 Char"/>
    <w:aliases w:val="Nadpis 2 Char1 Char Char,Nadpis 2 Char1 Char Char Char Char Char"/>
    <w:rsid w:val="00072B7A"/>
    <w:rPr>
      <w:rFonts w:ascii="Arial" w:hAnsi="Arial"/>
      <w:sz w:val="32"/>
      <w:lang w:val="cs-CZ" w:eastAsia="cs-CZ" w:bidi="ar-SA"/>
    </w:rPr>
  </w:style>
  <w:style w:type="character" w:customStyle="1" w:styleId="Nadpis4CharChar">
    <w:name w:val="Nadpis 4 Char Char"/>
    <w:rsid w:val="00341314"/>
    <w:rPr>
      <w:b/>
      <w:sz w:val="22"/>
      <w:u w:val="single"/>
      <w:lang w:val="cs-CZ" w:eastAsia="cs-CZ" w:bidi="ar-SA"/>
    </w:rPr>
  </w:style>
  <w:style w:type="paragraph" w:customStyle="1" w:styleId="StylPrvndek">
    <w:name w:val="Styl První řádek"/>
    <w:basedOn w:val="Normln"/>
    <w:uiPriority w:val="99"/>
    <w:rsid w:val="00341314"/>
    <w:pPr>
      <w:keepLines/>
      <w:ind w:left="0" w:firstLine="851"/>
    </w:pPr>
    <w:rPr>
      <w:rFonts w:ascii="Times New Roman" w:hAnsi="Times New Roman"/>
      <w:color w:val="000000"/>
      <w:sz w:val="24"/>
    </w:rPr>
  </w:style>
  <w:style w:type="paragraph" w:customStyle="1" w:styleId="StylZkladntextodsazen10bVlevo032cmPrvndek">
    <w:name w:val="Styl Základní text odsazený + 10 b. Vlevo:  032 cm První řádek:..."/>
    <w:basedOn w:val="Zkladntextodsazen"/>
    <w:uiPriority w:val="99"/>
    <w:rsid w:val="00435028"/>
    <w:pPr>
      <w:spacing w:before="120" w:after="0"/>
      <w:ind w:left="181" w:firstLine="493"/>
    </w:pPr>
    <w:rPr>
      <w:rFonts w:ascii="Arial" w:hAnsi="Arial"/>
      <w:sz w:val="20"/>
      <w:szCs w:val="20"/>
    </w:rPr>
  </w:style>
  <w:style w:type="paragraph" w:customStyle="1" w:styleId="BodyText21">
    <w:name w:val="Body Text 21"/>
    <w:basedOn w:val="Normln"/>
    <w:uiPriority w:val="99"/>
    <w:rsid w:val="00995389"/>
    <w:pPr>
      <w:widowControl w:val="0"/>
      <w:overflowPunct w:val="0"/>
      <w:autoSpaceDE w:val="0"/>
      <w:autoSpaceDN w:val="0"/>
      <w:adjustRightInd w:val="0"/>
      <w:ind w:left="0"/>
      <w:textAlignment w:val="baseline"/>
    </w:pPr>
    <w:rPr>
      <w:rFonts w:ascii="Arial" w:hAnsi="Arial"/>
      <w:sz w:val="22"/>
      <w:szCs w:val="20"/>
    </w:rPr>
  </w:style>
  <w:style w:type="paragraph" w:customStyle="1" w:styleId="-wm-msobodytextindent">
    <w:name w:val="-wm-msobodytextindent"/>
    <w:basedOn w:val="Normln"/>
    <w:rsid w:val="00AA0A16"/>
    <w:pPr>
      <w:spacing w:before="100" w:beforeAutospacing="1" w:after="100" w:afterAutospacing="1"/>
      <w:ind w:left="0"/>
    </w:pPr>
    <w:rPr>
      <w:rFonts w:ascii="Times New Roman" w:eastAsiaTheme="minorHAnsi" w:hAnsi="Times New Roman"/>
      <w:sz w:val="24"/>
    </w:rPr>
  </w:style>
  <w:style w:type="character" w:customStyle="1" w:styleId="Nevyeenzmnka1">
    <w:name w:val="Nevyřešená zmínka1"/>
    <w:basedOn w:val="Standardnpsmoodstavce"/>
    <w:uiPriority w:val="99"/>
    <w:semiHidden/>
    <w:unhideWhenUsed/>
    <w:rsid w:val="00FD2415"/>
    <w:rPr>
      <w:color w:val="605E5C"/>
      <w:shd w:val="clear" w:color="auto" w:fill="E1DFDD"/>
    </w:rPr>
  </w:style>
  <w:style w:type="character" w:styleId="Nevyeenzmnka">
    <w:name w:val="Unresolved Mention"/>
    <w:basedOn w:val="Standardnpsmoodstavce"/>
    <w:uiPriority w:val="99"/>
    <w:semiHidden/>
    <w:unhideWhenUsed/>
    <w:rsid w:val="002538BD"/>
    <w:rPr>
      <w:color w:val="605E5C"/>
      <w:shd w:val="clear" w:color="auto" w:fill="E1DFDD"/>
    </w:rPr>
  </w:style>
  <w:style w:type="paragraph" w:customStyle="1" w:styleId="-wm-gmail-msolistparagraph">
    <w:name w:val="-wm-gmail-msolistparagraph"/>
    <w:basedOn w:val="Normln"/>
    <w:rsid w:val="001C33FF"/>
    <w:pPr>
      <w:spacing w:before="100" w:beforeAutospacing="1" w:after="100" w:afterAutospacing="1"/>
      <w:ind w:left="0"/>
    </w:pPr>
    <w:rPr>
      <w:rFonts w:ascii="Times New Roman" w:hAnsi="Times New Roman"/>
      <w:sz w:val="24"/>
      <w:lang w:val="en-GB" w:eastAsia="en-GB"/>
    </w:rPr>
  </w:style>
  <w:style w:type="paragraph" w:customStyle="1" w:styleId="Zkladnodstavec">
    <w:name w:val="[Základní odstavec]"/>
    <w:basedOn w:val="Normln"/>
    <w:uiPriority w:val="99"/>
    <w:rsid w:val="00B07C8D"/>
    <w:pPr>
      <w:autoSpaceDE w:val="0"/>
      <w:autoSpaceDN w:val="0"/>
      <w:adjustRightInd w:val="0"/>
      <w:spacing w:line="288" w:lineRule="auto"/>
      <w:ind w:left="0"/>
      <w:textAlignment w:val="center"/>
    </w:pPr>
    <w:rPr>
      <w:rFonts w:ascii="Minion Pro" w:hAnsi="Minion Pro" w:cs="Minion Pro"/>
      <w:color w:val="000000"/>
      <w:sz w:val="24"/>
    </w:rPr>
  </w:style>
  <w:style w:type="paragraph" w:customStyle="1" w:styleId="l3">
    <w:name w:val="l3"/>
    <w:basedOn w:val="Normln"/>
    <w:rsid w:val="001568D6"/>
    <w:pPr>
      <w:spacing w:before="100" w:beforeAutospacing="1" w:after="100" w:afterAutospacing="1"/>
      <w:ind w:left="0"/>
    </w:pPr>
    <w:rPr>
      <w:rFonts w:ascii="Times New Roman" w:hAnsi="Times New Roman"/>
      <w:sz w:val="24"/>
      <w:lang w:eastAsia="en-US"/>
    </w:rPr>
  </w:style>
  <w:style w:type="paragraph" w:customStyle="1" w:styleId="msonormal0">
    <w:name w:val="msonormal"/>
    <w:basedOn w:val="Normln"/>
    <w:rsid w:val="001568D6"/>
    <w:pPr>
      <w:spacing w:before="100" w:beforeAutospacing="1" w:after="100" w:afterAutospacing="1"/>
      <w:ind w:left="0"/>
    </w:pPr>
    <w:rPr>
      <w:rFonts w:ascii="Times New Roman" w:hAnsi="Times New Roman"/>
      <w:sz w:val="24"/>
      <w:lang w:eastAsia="en-US"/>
    </w:rPr>
  </w:style>
  <w:style w:type="paragraph" w:customStyle="1" w:styleId="xl65">
    <w:name w:val="xl65"/>
    <w:basedOn w:val="Normln"/>
    <w:rsid w:val="001568D6"/>
    <w:pPr>
      <w:pBdr>
        <w:top w:val="dashed" w:sz="4" w:space="0" w:color="auto"/>
        <w:bottom w:val="dashed" w:sz="4" w:space="0" w:color="auto"/>
      </w:pBdr>
      <w:spacing w:before="100" w:beforeAutospacing="1" w:after="100" w:afterAutospacing="1"/>
      <w:ind w:left="0"/>
      <w:textAlignment w:val="top"/>
    </w:pPr>
    <w:rPr>
      <w:rFonts w:ascii="TT Norms Pro" w:hAnsi="TT Norms Pro" w:cs="Calibri"/>
      <w:b/>
      <w:bCs/>
      <w:color w:val="BFBFBF"/>
      <w:sz w:val="16"/>
      <w:szCs w:val="16"/>
      <w:lang w:eastAsia="en-US"/>
    </w:rPr>
  </w:style>
  <w:style w:type="character" w:styleId="Zdraznnintenzivn">
    <w:name w:val="Intense Emphasis"/>
    <w:basedOn w:val="Standardnpsmoodstavce"/>
    <w:uiPriority w:val="21"/>
    <w:qFormat/>
    <w:rsid w:val="001568D6"/>
    <w:rPr>
      <w:i/>
      <w:iCs/>
      <w:color w:val="365F91" w:themeColor="accent1" w:themeShade="BF"/>
    </w:rPr>
  </w:style>
  <w:style w:type="paragraph" w:styleId="Vrazncitt">
    <w:name w:val="Intense Quote"/>
    <w:basedOn w:val="Normln"/>
    <w:next w:val="Normln"/>
    <w:link w:val="VrazncittChar"/>
    <w:uiPriority w:val="30"/>
    <w:qFormat/>
    <w:rsid w:val="001568D6"/>
    <w:pPr>
      <w:pBdr>
        <w:top w:val="single" w:sz="4" w:space="10" w:color="365F91" w:themeColor="accent1" w:themeShade="BF"/>
        <w:bottom w:val="single" w:sz="4" w:space="10" w:color="365F91" w:themeColor="accent1" w:themeShade="BF"/>
      </w:pBdr>
      <w:spacing w:before="360" w:after="360"/>
      <w:ind w:left="864" w:right="864"/>
      <w:jc w:val="center"/>
    </w:pPr>
    <w:rPr>
      <w:rFonts w:ascii="TT Norms Pro" w:hAnsi="TT Norms Pro"/>
      <w:i/>
      <w:iCs/>
      <w:color w:val="365F91" w:themeColor="accent1" w:themeShade="BF"/>
      <w:lang w:eastAsia="en-US"/>
    </w:rPr>
  </w:style>
  <w:style w:type="character" w:customStyle="1" w:styleId="VrazncittChar">
    <w:name w:val="Výrazný citát Char"/>
    <w:basedOn w:val="Standardnpsmoodstavce"/>
    <w:link w:val="Vrazncitt"/>
    <w:uiPriority w:val="30"/>
    <w:rsid w:val="001568D6"/>
    <w:rPr>
      <w:rFonts w:ascii="TT Norms Pro" w:hAnsi="TT Norms Pro"/>
      <w:i/>
      <w:iCs/>
      <w:color w:val="365F91" w:themeColor="accent1" w:themeShade="BF"/>
      <w:sz w:val="18"/>
      <w:szCs w:val="24"/>
      <w:lang w:eastAsia="en-US"/>
    </w:rPr>
  </w:style>
  <w:style w:type="character" w:styleId="Odkazintenzivn">
    <w:name w:val="Intense Reference"/>
    <w:basedOn w:val="Standardnpsmoodstavce"/>
    <w:uiPriority w:val="32"/>
    <w:qFormat/>
    <w:rsid w:val="001568D6"/>
    <w:rPr>
      <w:b/>
      <w:bCs/>
      <w:smallCaps/>
      <w:color w:val="365F91" w:themeColor="accent1" w:themeShade="BF"/>
      <w:spacing w:val="5"/>
    </w:rPr>
  </w:style>
  <w:style w:type="paragraph" w:customStyle="1" w:styleId="normln1">
    <w:name w:val="normální"/>
    <w:basedOn w:val="Normln"/>
    <w:rsid w:val="00AA4CA6"/>
    <w:pPr>
      <w:ind w:left="0"/>
    </w:pPr>
    <w:rPr>
      <w:rFonts w:ascii="Times New Roman" w:hAnsi="Times New Roman"/>
      <w:sz w:val="24"/>
    </w:rPr>
  </w:style>
  <w:style w:type="character" w:customStyle="1" w:styleId="Styl3Char">
    <w:name w:val="Styl3 Char"/>
    <w:link w:val="Styl3"/>
    <w:rsid w:val="00AA4CA6"/>
    <w:rPr>
      <w:rFonts w:ascii="Arial" w:eastAsia="Arial" w:hAnsi="Arial" w:cs="Arial"/>
      <w:bCs/>
      <w:sz w:val="24"/>
      <w:szCs w:val="24"/>
      <w:u w:color="000000"/>
      <w:lang w:eastAsia="ar-SA"/>
    </w:rPr>
  </w:style>
  <w:style w:type="character" w:customStyle="1" w:styleId="lat1">
    <w:name w:val="lat1"/>
    <w:rsid w:val="00997480"/>
    <w:rPr>
      <w:rFonts w:ascii="Arial" w:hAnsi="Arial" w:cs="Arial" w:hint="default"/>
      <w:b w:val="0"/>
      <w:bCs w:val="0"/>
      <w:i/>
      <w:iCs/>
      <w:sz w:val="18"/>
      <w:szCs w:val="18"/>
    </w:rPr>
  </w:style>
  <w:style w:type="paragraph" w:customStyle="1" w:styleId="Normalni-citace">
    <w:name w:val="Normalni - citace"/>
    <w:basedOn w:val="Normln"/>
    <w:link w:val="Normalni-citaceChar"/>
    <w:qFormat/>
    <w:rsid w:val="0019155A"/>
    <w:rPr>
      <w:rFonts w:asciiTheme="minorHAnsi" w:hAnsiTheme="minorHAnsi" w:cstheme="minorHAnsi"/>
      <w:i/>
    </w:rPr>
  </w:style>
  <w:style w:type="character" w:customStyle="1" w:styleId="Normalni-citaceChar">
    <w:name w:val="Normalni - citace Char"/>
    <w:basedOn w:val="Standardnpsmoodstavce"/>
    <w:link w:val="Normalni-citace"/>
    <w:rsid w:val="0019155A"/>
    <w:rPr>
      <w:rFonts w:asciiTheme="minorHAnsi" w:hAnsiTheme="minorHAnsi" w:cstheme="minorHAnsi"/>
      <w:i/>
      <w:sz w:val="18"/>
      <w:szCs w:val="24"/>
    </w:rPr>
  </w:style>
  <w:style w:type="paragraph" w:customStyle="1" w:styleId="normalni-cisla">
    <w:name w:val="normalni-cisla"/>
    <w:basedOn w:val="Normlnslovan"/>
    <w:link w:val="normalni-cislaChar"/>
    <w:qFormat/>
    <w:rsid w:val="00BB300D"/>
    <w:pPr>
      <w:numPr>
        <w:numId w:val="12"/>
      </w:numPr>
    </w:pPr>
  </w:style>
  <w:style w:type="character" w:customStyle="1" w:styleId="normalni-cislaChar">
    <w:name w:val="normalni-cisla Char"/>
    <w:basedOn w:val="NormlnslovanChar"/>
    <w:link w:val="normalni-cisla"/>
    <w:rsid w:val="00BB300D"/>
    <w:rPr>
      <w:sz w:val="18"/>
      <w:szCs w:val="24"/>
    </w:rPr>
  </w:style>
  <w:style w:type="paragraph" w:customStyle="1" w:styleId="vyhodnoceni">
    <w:name w:val="vyhodnoceni"/>
    <w:basedOn w:val="Normln"/>
    <w:qFormat/>
    <w:rsid w:val="005F3739"/>
    <w:pPr>
      <w:autoSpaceDE w:val="0"/>
      <w:autoSpaceDN w:val="0"/>
      <w:adjustRightInd w:val="0"/>
      <w:spacing w:before="0" w:after="0"/>
      <w:ind w:left="0"/>
    </w:pPr>
    <w:rPr>
      <w:rFonts w:ascii="TimesNewRomanPS-ItalicMT" w:eastAsiaTheme="minorHAnsi" w:hAnsi="TimesNewRomanPS-ItalicMT" w:cs="TimesNewRomanPS-ItalicMT"/>
      <w:i/>
      <w:iCs/>
      <w:color w:val="00B0F0"/>
      <w:sz w:val="24"/>
      <w:lang w:eastAsia="en-US"/>
    </w:rPr>
  </w:style>
  <w:style w:type="table" w:styleId="Prosttabulka4">
    <w:name w:val="Plain Table 4"/>
    <w:basedOn w:val="Normlntabulka"/>
    <w:uiPriority w:val="44"/>
    <w:rsid w:val="005F3739"/>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customStyle="1" w:styleId="Textbodu">
    <w:name w:val="Text bodu"/>
    <w:basedOn w:val="Normln"/>
    <w:rsid w:val="005F3739"/>
    <w:pPr>
      <w:numPr>
        <w:ilvl w:val="2"/>
        <w:numId w:val="16"/>
      </w:numPr>
      <w:spacing w:before="0" w:after="0"/>
      <w:outlineLvl w:val="8"/>
    </w:pPr>
    <w:rPr>
      <w:rFonts w:ascii="Times New Roman" w:hAnsi="Times New Roman"/>
      <w:sz w:val="24"/>
      <w:szCs w:val="20"/>
    </w:rPr>
  </w:style>
  <w:style w:type="paragraph" w:customStyle="1" w:styleId="Textpsmene">
    <w:name w:val="Text písmene"/>
    <w:basedOn w:val="Normln"/>
    <w:rsid w:val="005F3739"/>
    <w:pPr>
      <w:numPr>
        <w:ilvl w:val="1"/>
        <w:numId w:val="16"/>
      </w:numPr>
      <w:spacing w:before="0" w:after="0"/>
      <w:outlineLvl w:val="7"/>
    </w:pPr>
    <w:rPr>
      <w:rFonts w:ascii="Times New Roman" w:hAnsi="Times New Roman"/>
      <w:sz w:val="24"/>
      <w:szCs w:val="20"/>
    </w:rPr>
  </w:style>
  <w:style w:type="paragraph" w:customStyle="1" w:styleId="Textodstavce">
    <w:name w:val="Text odstavce"/>
    <w:basedOn w:val="Normln"/>
    <w:rsid w:val="005F3739"/>
    <w:pPr>
      <w:numPr>
        <w:numId w:val="16"/>
      </w:numPr>
      <w:tabs>
        <w:tab w:val="left" w:pos="851"/>
      </w:tabs>
      <w:spacing w:before="120" w:after="120"/>
      <w:outlineLvl w:val="6"/>
    </w:pPr>
    <w:rPr>
      <w:rFonts w:ascii="Times New Roman" w:hAnsi="Times New Roman"/>
      <w:sz w:val="24"/>
      <w:szCs w:val="20"/>
    </w:rPr>
  </w:style>
  <w:style w:type="character" w:customStyle="1" w:styleId="badge">
    <w:name w:val="badge"/>
    <w:basedOn w:val="Standardnpsmoodstavce"/>
    <w:rsid w:val="005F3739"/>
  </w:style>
  <w:style w:type="character" w:customStyle="1" w:styleId="Zkladntext7">
    <w:name w:val="Základní text (7)"/>
    <w:basedOn w:val="Standardnpsmoodstavce"/>
    <w:rsid w:val="005F3739"/>
    <w:rPr>
      <w:rFonts w:ascii="Calibri" w:eastAsia="Calibri" w:hAnsi="Calibri" w:cs="Calibri"/>
      <w:b/>
      <w:bCs/>
      <w:i w:val="0"/>
      <w:iCs w:val="0"/>
      <w:caps w:val="0"/>
      <w:smallCaps w:val="0"/>
      <w:strike w:val="0"/>
      <w:dstrike w:val="0"/>
      <w:color w:val="000000"/>
      <w:spacing w:val="0"/>
      <w:w w:val="100"/>
      <w:position w:val="0"/>
      <w:sz w:val="21"/>
      <w:szCs w:val="21"/>
      <w:u w:val="single"/>
      <w:vertAlign w:val="baseline"/>
      <w:lang w:val="cs-CZ" w:eastAsia="cs-CZ" w:bidi="cs-CZ"/>
    </w:rPr>
  </w:style>
  <w:style w:type="paragraph" w:customStyle="1" w:styleId="Zkladntext1">
    <w:name w:val="Základní text1"/>
    <w:basedOn w:val="Normln"/>
    <w:rsid w:val="005F3739"/>
    <w:pPr>
      <w:widowControl w:val="0"/>
      <w:tabs>
        <w:tab w:val="left" w:pos="851"/>
        <w:tab w:val="left" w:pos="1778"/>
      </w:tabs>
      <w:suppressAutoHyphens/>
      <w:spacing w:before="0" w:after="340"/>
      <w:ind w:left="0"/>
    </w:pPr>
    <w:rPr>
      <w:rFonts w:ascii="Times New Roman" w:hAnsi="Times New Roman"/>
      <w:sz w:val="24"/>
      <w:lang w:eastAsia="ar-SA"/>
    </w:rPr>
  </w:style>
  <w:style w:type="paragraph" w:customStyle="1" w:styleId="Normlntext">
    <w:name w:val="Normální text"/>
    <w:basedOn w:val="Zkladntext1"/>
    <w:rsid w:val="005F3739"/>
  </w:style>
  <w:style w:type="paragraph" w:customStyle="1" w:styleId="NadpisKURSIVOUPODTR">
    <w:name w:val="Nadpis KURSIVOU PODTR."/>
    <w:basedOn w:val="Normln"/>
    <w:rsid w:val="005F3739"/>
    <w:pPr>
      <w:widowControl w:val="0"/>
      <w:numPr>
        <w:numId w:val="15"/>
      </w:numPr>
      <w:suppressAutoHyphens/>
      <w:spacing w:before="805" w:after="907"/>
    </w:pPr>
    <w:rPr>
      <w:rFonts w:ascii="Times New Roman" w:hAnsi="Times New Roman"/>
      <w:sz w:val="36"/>
      <w:u w:val="single"/>
      <w:lang w:eastAsia="ar-SA"/>
    </w:rPr>
  </w:style>
  <w:style w:type="paragraph" w:customStyle="1" w:styleId="Firstlineindent">
    <w:name w:val="First line indent"/>
    <w:basedOn w:val="Normln"/>
    <w:rsid w:val="005F3739"/>
    <w:pPr>
      <w:widowControl w:val="0"/>
      <w:suppressAutoHyphens/>
      <w:spacing w:before="0" w:after="120"/>
      <w:ind w:left="0"/>
    </w:pPr>
    <w:rPr>
      <w:rFonts w:ascii="Times New Roman" w:hAnsi="Times New Roman"/>
      <w:sz w:val="24"/>
      <w:lang w:eastAsia="ar-SA"/>
    </w:rPr>
  </w:style>
  <w:style w:type="paragraph" w:customStyle="1" w:styleId="Odstavecseseznamem2">
    <w:name w:val="Odstavec se seznamem2"/>
    <w:basedOn w:val="Normln"/>
    <w:rsid w:val="005F3739"/>
    <w:pPr>
      <w:suppressAutoHyphens/>
      <w:spacing w:before="0" w:after="0"/>
      <w:ind w:left="720"/>
    </w:pPr>
    <w:rPr>
      <w:lang w:eastAsia="ar-SA"/>
    </w:rPr>
  </w:style>
  <w:style w:type="paragraph" w:customStyle="1" w:styleId="Zkladntext30">
    <w:name w:val="Základní text3"/>
    <w:basedOn w:val="Normln"/>
    <w:rsid w:val="005F3739"/>
    <w:pPr>
      <w:widowControl w:val="0"/>
      <w:tabs>
        <w:tab w:val="left" w:pos="851"/>
        <w:tab w:val="left" w:pos="1778"/>
      </w:tabs>
      <w:suppressAutoHyphens/>
      <w:spacing w:before="0" w:after="340"/>
      <w:ind w:left="0"/>
    </w:pPr>
    <w:rPr>
      <w:rFonts w:ascii="Times New Roman" w:hAnsi="Times New Roman"/>
      <w:sz w:val="24"/>
      <w:lang w:eastAsia="ar-SA"/>
    </w:rPr>
  </w:style>
  <w:style w:type="paragraph" w:customStyle="1" w:styleId="xl77">
    <w:name w:val="xl77"/>
    <w:basedOn w:val="Normln"/>
    <w:rsid w:val="005F3739"/>
    <w:pPr>
      <w:pBdr>
        <w:top w:val="single" w:sz="4" w:space="0" w:color="auto"/>
        <w:bottom w:val="single" w:sz="4" w:space="0" w:color="auto"/>
      </w:pBdr>
      <w:spacing w:before="100" w:beforeAutospacing="1" w:after="100" w:afterAutospacing="1"/>
      <w:ind w:left="0"/>
      <w:jc w:val="left"/>
    </w:pPr>
    <w:rPr>
      <w:rFonts w:ascii="Times New Roman" w:hAnsi="Times New Roman"/>
      <w:sz w:val="16"/>
      <w:szCs w:val="16"/>
    </w:rPr>
  </w:style>
  <w:style w:type="paragraph" w:customStyle="1" w:styleId="xl78">
    <w:name w:val="xl78"/>
    <w:basedOn w:val="Normln"/>
    <w:rsid w:val="005F3739"/>
    <w:pPr>
      <w:pBdr>
        <w:top w:val="single" w:sz="4" w:space="0" w:color="auto"/>
        <w:bottom w:val="single" w:sz="4" w:space="0" w:color="auto"/>
        <w:right w:val="single" w:sz="4" w:space="0" w:color="auto"/>
      </w:pBdr>
      <w:spacing w:before="100" w:beforeAutospacing="1" w:after="100" w:afterAutospacing="1"/>
      <w:ind w:left="0"/>
      <w:jc w:val="left"/>
    </w:pPr>
    <w:rPr>
      <w:rFonts w:ascii="Times New Roman" w:hAnsi="Times New Roman"/>
      <w:sz w:val="16"/>
      <w:szCs w:val="16"/>
    </w:rPr>
  </w:style>
  <w:style w:type="paragraph" w:customStyle="1" w:styleId="xl79">
    <w:name w:val="xl79"/>
    <w:basedOn w:val="Normln"/>
    <w:rsid w:val="005F3739"/>
    <w:pPr>
      <w:pBdr>
        <w:top w:val="single" w:sz="4" w:space="0" w:color="auto"/>
        <w:left w:val="single" w:sz="4" w:space="0" w:color="auto"/>
        <w:bottom w:val="single" w:sz="4" w:space="0" w:color="auto"/>
      </w:pBdr>
      <w:spacing w:before="100" w:beforeAutospacing="1" w:after="100" w:afterAutospacing="1"/>
      <w:ind w:left="0"/>
      <w:jc w:val="left"/>
    </w:pPr>
    <w:rPr>
      <w:rFonts w:ascii="Times New Roman" w:hAnsi="Times New Roman"/>
      <w:b/>
      <w:bCs/>
      <w:sz w:val="16"/>
      <w:szCs w:val="16"/>
    </w:rPr>
  </w:style>
  <w:style w:type="paragraph" w:customStyle="1" w:styleId="xl80">
    <w:name w:val="xl80"/>
    <w:basedOn w:val="Normln"/>
    <w:rsid w:val="005F3739"/>
    <w:pPr>
      <w:pBdr>
        <w:top w:val="single" w:sz="4" w:space="0" w:color="auto"/>
        <w:bottom w:val="single" w:sz="4" w:space="0" w:color="auto"/>
      </w:pBdr>
      <w:spacing w:before="100" w:beforeAutospacing="1" w:after="100" w:afterAutospacing="1"/>
      <w:ind w:left="0"/>
      <w:jc w:val="left"/>
    </w:pPr>
    <w:rPr>
      <w:rFonts w:ascii="Times New Roman" w:hAnsi="Times New Roman"/>
      <w:b/>
      <w:bCs/>
      <w:sz w:val="16"/>
      <w:szCs w:val="16"/>
    </w:rPr>
  </w:style>
  <w:style w:type="paragraph" w:customStyle="1" w:styleId="xl81">
    <w:name w:val="xl81"/>
    <w:basedOn w:val="Normln"/>
    <w:rsid w:val="005F3739"/>
    <w:pPr>
      <w:pBdr>
        <w:top w:val="single" w:sz="4" w:space="0" w:color="auto"/>
        <w:bottom w:val="single" w:sz="4" w:space="0" w:color="auto"/>
        <w:right w:val="single" w:sz="4" w:space="0" w:color="auto"/>
      </w:pBdr>
      <w:spacing w:before="100" w:beforeAutospacing="1" w:after="100" w:afterAutospacing="1"/>
      <w:ind w:left="0"/>
      <w:jc w:val="left"/>
    </w:pPr>
    <w:rPr>
      <w:rFonts w:ascii="Times New Roman" w:hAnsi="Times New Roman"/>
      <w:b/>
      <w:bCs/>
      <w:sz w:val="16"/>
      <w:szCs w:val="16"/>
    </w:rPr>
  </w:style>
  <w:style w:type="paragraph" w:customStyle="1" w:styleId="xl82">
    <w:name w:val="xl82"/>
    <w:basedOn w:val="Normln"/>
    <w:rsid w:val="005F3739"/>
    <w:pPr>
      <w:pBdr>
        <w:top w:val="single" w:sz="4" w:space="0" w:color="auto"/>
        <w:left w:val="single" w:sz="4" w:space="0" w:color="auto"/>
        <w:right w:val="single" w:sz="4" w:space="0" w:color="auto"/>
      </w:pBdr>
      <w:spacing w:before="100" w:beforeAutospacing="1" w:after="100" w:afterAutospacing="1"/>
      <w:ind w:left="0"/>
      <w:jc w:val="center"/>
      <w:textAlignment w:val="top"/>
    </w:pPr>
    <w:rPr>
      <w:rFonts w:ascii="Times New Roman" w:hAnsi="Times New Roman"/>
      <w:sz w:val="16"/>
      <w:szCs w:val="16"/>
    </w:rPr>
  </w:style>
  <w:style w:type="paragraph" w:customStyle="1" w:styleId="xl83">
    <w:name w:val="xl83"/>
    <w:basedOn w:val="Normln"/>
    <w:rsid w:val="005F3739"/>
    <w:pPr>
      <w:pBdr>
        <w:left w:val="single" w:sz="4" w:space="0" w:color="auto"/>
        <w:bottom w:val="single" w:sz="4" w:space="0" w:color="auto"/>
        <w:right w:val="single" w:sz="4" w:space="0" w:color="auto"/>
      </w:pBdr>
      <w:spacing w:before="100" w:beforeAutospacing="1" w:after="100" w:afterAutospacing="1"/>
      <w:ind w:left="0"/>
      <w:jc w:val="center"/>
      <w:textAlignment w:val="top"/>
    </w:pPr>
    <w:rPr>
      <w:rFonts w:ascii="Times New Roman" w:hAnsi="Times New Roman"/>
      <w:sz w:val="16"/>
      <w:szCs w:val="16"/>
    </w:rPr>
  </w:style>
  <w:style w:type="paragraph" w:customStyle="1" w:styleId="xl84">
    <w:name w:val="xl84"/>
    <w:basedOn w:val="Normln"/>
    <w:rsid w:val="005F3739"/>
    <w:pPr>
      <w:pBdr>
        <w:top w:val="single" w:sz="4" w:space="0" w:color="auto"/>
        <w:left w:val="single" w:sz="4" w:space="0" w:color="auto"/>
        <w:right w:val="single" w:sz="4" w:space="0" w:color="auto"/>
      </w:pBdr>
      <w:spacing w:before="100" w:beforeAutospacing="1" w:after="100" w:afterAutospacing="1"/>
      <w:ind w:left="0"/>
      <w:jc w:val="center"/>
      <w:textAlignment w:val="top"/>
    </w:pPr>
    <w:rPr>
      <w:rFonts w:ascii="Times New Roman" w:hAnsi="Times New Roman"/>
      <w:color w:val="010101"/>
      <w:sz w:val="16"/>
      <w:szCs w:val="16"/>
    </w:rPr>
  </w:style>
  <w:style w:type="paragraph" w:customStyle="1" w:styleId="xl85">
    <w:name w:val="xl85"/>
    <w:basedOn w:val="Normln"/>
    <w:rsid w:val="005F3739"/>
    <w:pPr>
      <w:pBdr>
        <w:left w:val="single" w:sz="4" w:space="0" w:color="auto"/>
        <w:bottom w:val="single" w:sz="4" w:space="0" w:color="auto"/>
        <w:right w:val="single" w:sz="4" w:space="0" w:color="auto"/>
      </w:pBdr>
      <w:spacing w:before="100" w:beforeAutospacing="1" w:after="100" w:afterAutospacing="1"/>
      <w:ind w:left="0"/>
      <w:jc w:val="center"/>
      <w:textAlignment w:val="top"/>
    </w:pPr>
    <w:rPr>
      <w:rFonts w:ascii="Times New Roman" w:hAnsi="Times New Roman"/>
      <w:color w:val="010101"/>
      <w:sz w:val="16"/>
      <w:szCs w:val="16"/>
    </w:rPr>
  </w:style>
  <w:style w:type="paragraph" w:customStyle="1" w:styleId="xl86">
    <w:name w:val="xl86"/>
    <w:basedOn w:val="Normln"/>
    <w:rsid w:val="005F3739"/>
    <w:pPr>
      <w:pBdr>
        <w:top w:val="single" w:sz="4" w:space="0" w:color="auto"/>
        <w:left w:val="single" w:sz="4" w:space="0" w:color="auto"/>
        <w:bottom w:val="single" w:sz="4" w:space="0" w:color="auto"/>
        <w:right w:val="single" w:sz="4" w:space="0" w:color="auto"/>
      </w:pBdr>
      <w:spacing w:before="100" w:beforeAutospacing="1" w:after="100" w:afterAutospacing="1"/>
      <w:ind w:left="0"/>
      <w:jc w:val="left"/>
      <w:textAlignment w:val="center"/>
    </w:pPr>
    <w:rPr>
      <w:rFonts w:ascii="Times New Roman" w:hAnsi="Times New Roman"/>
      <w:color w:val="010101"/>
      <w:sz w:val="16"/>
      <w:szCs w:val="16"/>
    </w:rPr>
  </w:style>
  <w:style w:type="paragraph" w:customStyle="1" w:styleId="xl87">
    <w:name w:val="xl87"/>
    <w:basedOn w:val="Normln"/>
    <w:rsid w:val="005F3739"/>
    <w:pPr>
      <w:pBdr>
        <w:top w:val="single" w:sz="4" w:space="0" w:color="auto"/>
        <w:left w:val="single" w:sz="4" w:space="0" w:color="auto"/>
        <w:bottom w:val="single" w:sz="4" w:space="0" w:color="auto"/>
      </w:pBdr>
      <w:spacing w:before="100" w:beforeAutospacing="1" w:after="100" w:afterAutospacing="1"/>
      <w:ind w:left="0"/>
      <w:jc w:val="left"/>
    </w:pPr>
    <w:rPr>
      <w:rFonts w:ascii="Times New Roman" w:hAnsi="Times New Roman"/>
      <w:b/>
      <w:bCs/>
      <w:sz w:val="16"/>
      <w:szCs w:val="16"/>
    </w:rPr>
  </w:style>
  <w:style w:type="paragraph" w:customStyle="1" w:styleId="xl88">
    <w:name w:val="xl88"/>
    <w:basedOn w:val="Normln"/>
    <w:rsid w:val="005F3739"/>
    <w:pPr>
      <w:pBdr>
        <w:top w:val="single" w:sz="4" w:space="0" w:color="auto"/>
        <w:bottom w:val="single" w:sz="4" w:space="0" w:color="auto"/>
        <w:right w:val="single" w:sz="4" w:space="0" w:color="auto"/>
      </w:pBdr>
      <w:spacing w:before="100" w:beforeAutospacing="1" w:after="100" w:afterAutospacing="1"/>
      <w:ind w:left="0"/>
      <w:jc w:val="left"/>
    </w:pPr>
    <w:rPr>
      <w:rFonts w:ascii="Times New Roman" w:hAnsi="Times New Roman"/>
      <w:b/>
      <w:bCs/>
      <w:sz w:val="16"/>
      <w:szCs w:val="16"/>
    </w:rPr>
  </w:style>
  <w:style w:type="paragraph" w:customStyle="1" w:styleId="xl89">
    <w:name w:val="xl89"/>
    <w:basedOn w:val="Normln"/>
    <w:rsid w:val="005F3739"/>
    <w:pPr>
      <w:pBdr>
        <w:top w:val="single" w:sz="4" w:space="0" w:color="auto"/>
        <w:left w:val="single" w:sz="4" w:space="0" w:color="auto"/>
        <w:bottom w:val="single" w:sz="4" w:space="0" w:color="auto"/>
      </w:pBdr>
      <w:spacing w:before="100" w:beforeAutospacing="1" w:after="100" w:afterAutospacing="1"/>
      <w:ind w:left="0"/>
      <w:jc w:val="center"/>
    </w:pPr>
    <w:rPr>
      <w:rFonts w:ascii="Times New Roman" w:hAnsi="Times New Roman"/>
      <w:sz w:val="16"/>
      <w:szCs w:val="16"/>
    </w:rPr>
  </w:style>
  <w:style w:type="paragraph" w:customStyle="1" w:styleId="xl90">
    <w:name w:val="xl90"/>
    <w:basedOn w:val="Normln"/>
    <w:rsid w:val="005F3739"/>
    <w:pPr>
      <w:pBdr>
        <w:top w:val="single" w:sz="4" w:space="0" w:color="auto"/>
        <w:bottom w:val="single" w:sz="4" w:space="0" w:color="auto"/>
      </w:pBdr>
      <w:spacing w:before="100" w:beforeAutospacing="1" w:after="100" w:afterAutospacing="1"/>
      <w:ind w:left="0"/>
      <w:jc w:val="center"/>
    </w:pPr>
    <w:rPr>
      <w:rFonts w:ascii="Times New Roman" w:hAnsi="Times New Roman"/>
      <w:sz w:val="16"/>
      <w:szCs w:val="16"/>
    </w:rPr>
  </w:style>
  <w:style w:type="paragraph" w:customStyle="1" w:styleId="xl91">
    <w:name w:val="xl91"/>
    <w:basedOn w:val="Normln"/>
    <w:rsid w:val="005F3739"/>
    <w:pPr>
      <w:pBdr>
        <w:top w:val="single" w:sz="4" w:space="0" w:color="auto"/>
        <w:bottom w:val="single" w:sz="4" w:space="0" w:color="auto"/>
        <w:right w:val="single" w:sz="4" w:space="0" w:color="auto"/>
      </w:pBdr>
      <w:spacing w:before="100" w:beforeAutospacing="1" w:after="100" w:afterAutospacing="1"/>
      <w:ind w:left="0"/>
      <w:jc w:val="center"/>
    </w:pPr>
    <w:rPr>
      <w:rFonts w:ascii="Times New Roman" w:hAnsi="Times New Roman"/>
      <w:sz w:val="16"/>
      <w:szCs w:val="16"/>
    </w:rPr>
  </w:style>
  <w:style w:type="paragraph" w:customStyle="1" w:styleId="xl92">
    <w:name w:val="xl92"/>
    <w:basedOn w:val="Normln"/>
    <w:rsid w:val="005F3739"/>
    <w:pPr>
      <w:pBdr>
        <w:top w:val="single" w:sz="4" w:space="0" w:color="auto"/>
        <w:left w:val="single" w:sz="4" w:space="0" w:color="auto"/>
        <w:bottom w:val="single" w:sz="4" w:space="0" w:color="auto"/>
        <w:right w:val="single" w:sz="4" w:space="0" w:color="auto"/>
      </w:pBdr>
      <w:spacing w:before="100" w:beforeAutospacing="1" w:after="100" w:afterAutospacing="1"/>
      <w:ind w:left="0"/>
      <w:jc w:val="left"/>
    </w:pPr>
    <w:rPr>
      <w:rFonts w:ascii="Times New Roman" w:hAnsi="Times New Roman"/>
      <w:b/>
      <w:bCs/>
      <w:sz w:val="16"/>
      <w:szCs w:val="16"/>
    </w:rPr>
  </w:style>
  <w:style w:type="paragraph" w:customStyle="1" w:styleId="xl93">
    <w:name w:val="xl93"/>
    <w:basedOn w:val="Normln"/>
    <w:rsid w:val="005F3739"/>
    <w:pPr>
      <w:pBdr>
        <w:top w:val="single" w:sz="4" w:space="0" w:color="auto"/>
        <w:left w:val="single" w:sz="4" w:space="0" w:color="auto"/>
        <w:bottom w:val="single" w:sz="4" w:space="0" w:color="auto"/>
      </w:pBdr>
      <w:spacing w:before="100" w:beforeAutospacing="1" w:after="100" w:afterAutospacing="1"/>
      <w:ind w:left="0"/>
      <w:jc w:val="center"/>
    </w:pPr>
    <w:rPr>
      <w:rFonts w:ascii="Times New Roman" w:hAnsi="Times New Roman"/>
      <w:b/>
      <w:bCs/>
      <w:sz w:val="16"/>
      <w:szCs w:val="16"/>
    </w:rPr>
  </w:style>
  <w:style w:type="paragraph" w:customStyle="1" w:styleId="xl94">
    <w:name w:val="xl94"/>
    <w:basedOn w:val="Normln"/>
    <w:rsid w:val="005F3739"/>
    <w:pPr>
      <w:pBdr>
        <w:top w:val="single" w:sz="4" w:space="0" w:color="auto"/>
        <w:bottom w:val="single" w:sz="4" w:space="0" w:color="auto"/>
      </w:pBdr>
      <w:spacing w:before="100" w:beforeAutospacing="1" w:after="100" w:afterAutospacing="1"/>
      <w:ind w:left="0"/>
      <w:jc w:val="center"/>
    </w:pPr>
    <w:rPr>
      <w:rFonts w:ascii="Times New Roman" w:hAnsi="Times New Roman"/>
      <w:b/>
      <w:bCs/>
      <w:sz w:val="16"/>
      <w:szCs w:val="16"/>
    </w:rPr>
  </w:style>
  <w:style w:type="paragraph" w:customStyle="1" w:styleId="xl95">
    <w:name w:val="xl95"/>
    <w:basedOn w:val="Normln"/>
    <w:rsid w:val="005F3739"/>
    <w:pPr>
      <w:pBdr>
        <w:top w:val="single" w:sz="4" w:space="0" w:color="auto"/>
        <w:bottom w:val="single" w:sz="4" w:space="0" w:color="auto"/>
        <w:right w:val="single" w:sz="4" w:space="0" w:color="auto"/>
      </w:pBdr>
      <w:spacing w:before="100" w:beforeAutospacing="1" w:after="100" w:afterAutospacing="1"/>
      <w:ind w:left="0"/>
      <w:jc w:val="center"/>
    </w:pPr>
    <w:rPr>
      <w:rFonts w:ascii="Times New Roman" w:hAnsi="Times New Roman"/>
      <w:b/>
      <w:bCs/>
      <w:sz w:val="16"/>
      <w:szCs w:val="16"/>
    </w:rPr>
  </w:style>
  <w:style w:type="paragraph" w:customStyle="1" w:styleId="xl96">
    <w:name w:val="xl96"/>
    <w:basedOn w:val="Normln"/>
    <w:rsid w:val="005F3739"/>
    <w:pPr>
      <w:pBdr>
        <w:top w:val="single" w:sz="4" w:space="0" w:color="auto"/>
        <w:left w:val="single" w:sz="4" w:space="0" w:color="auto"/>
        <w:bottom w:val="single" w:sz="4" w:space="0" w:color="auto"/>
        <w:right w:val="single" w:sz="4" w:space="0" w:color="auto"/>
      </w:pBdr>
      <w:spacing w:before="100" w:beforeAutospacing="1" w:after="100" w:afterAutospacing="1"/>
      <w:ind w:left="0"/>
      <w:jc w:val="center"/>
    </w:pPr>
    <w:rPr>
      <w:rFonts w:ascii="Times New Roman" w:hAnsi="Times New Roman"/>
      <w:sz w:val="16"/>
      <w:szCs w:val="16"/>
    </w:rPr>
  </w:style>
  <w:style w:type="paragraph" w:customStyle="1" w:styleId="nove">
    <w:name w:val="nove"/>
    <w:basedOn w:val="Normln"/>
    <w:link w:val="noveChar"/>
    <w:qFormat/>
    <w:rsid w:val="00900D69"/>
    <w:pPr>
      <w:spacing w:before="0" w:after="0"/>
      <w:ind w:left="2552" w:hanging="425"/>
      <w:jc w:val="left"/>
    </w:pPr>
    <w:rPr>
      <w:color w:val="0070C0"/>
    </w:rPr>
  </w:style>
  <w:style w:type="character" w:customStyle="1" w:styleId="noveChar">
    <w:name w:val="nove Char"/>
    <w:basedOn w:val="Standardnpsmoodstavce"/>
    <w:link w:val="nove"/>
    <w:rsid w:val="00900D69"/>
    <w:rPr>
      <w:color w:val="0070C0"/>
      <w:sz w:val="18"/>
      <w:szCs w:val="24"/>
    </w:rPr>
  </w:style>
  <w:style w:type="paragraph" w:customStyle="1" w:styleId="tabulky">
    <w:name w:val="tabulky"/>
    <w:basedOn w:val="Normlnslovan"/>
    <w:link w:val="tabulkyChar"/>
    <w:qFormat/>
    <w:rsid w:val="00103DB8"/>
    <w:pPr>
      <w:ind w:left="0" w:firstLine="0"/>
      <w:contextualSpacing/>
    </w:pPr>
    <w:rPr>
      <w:sz w:val="16"/>
      <w:szCs w:val="16"/>
    </w:rPr>
  </w:style>
  <w:style w:type="character" w:customStyle="1" w:styleId="tabulkyChar">
    <w:name w:val="tabulky Char"/>
    <w:basedOn w:val="NormlnslovanChar"/>
    <w:link w:val="tabulky"/>
    <w:rsid w:val="00103DB8"/>
    <w:rPr>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2314057">
      <w:bodyDiv w:val="1"/>
      <w:marLeft w:val="0"/>
      <w:marRight w:val="0"/>
      <w:marTop w:val="0"/>
      <w:marBottom w:val="0"/>
      <w:divBdr>
        <w:top w:val="none" w:sz="0" w:space="0" w:color="auto"/>
        <w:left w:val="none" w:sz="0" w:space="0" w:color="auto"/>
        <w:bottom w:val="none" w:sz="0" w:space="0" w:color="auto"/>
        <w:right w:val="none" w:sz="0" w:space="0" w:color="auto"/>
      </w:divBdr>
    </w:div>
    <w:div w:id="39936968">
      <w:bodyDiv w:val="1"/>
      <w:marLeft w:val="0"/>
      <w:marRight w:val="0"/>
      <w:marTop w:val="0"/>
      <w:marBottom w:val="0"/>
      <w:divBdr>
        <w:top w:val="none" w:sz="0" w:space="0" w:color="auto"/>
        <w:left w:val="none" w:sz="0" w:space="0" w:color="auto"/>
        <w:bottom w:val="none" w:sz="0" w:space="0" w:color="auto"/>
        <w:right w:val="none" w:sz="0" w:space="0" w:color="auto"/>
      </w:divBdr>
    </w:div>
    <w:div w:id="49152258">
      <w:bodyDiv w:val="1"/>
      <w:marLeft w:val="0"/>
      <w:marRight w:val="0"/>
      <w:marTop w:val="0"/>
      <w:marBottom w:val="0"/>
      <w:divBdr>
        <w:top w:val="none" w:sz="0" w:space="0" w:color="auto"/>
        <w:left w:val="none" w:sz="0" w:space="0" w:color="auto"/>
        <w:bottom w:val="none" w:sz="0" w:space="0" w:color="auto"/>
        <w:right w:val="none" w:sz="0" w:space="0" w:color="auto"/>
      </w:divBdr>
    </w:div>
    <w:div w:id="60567011">
      <w:bodyDiv w:val="1"/>
      <w:marLeft w:val="0"/>
      <w:marRight w:val="0"/>
      <w:marTop w:val="0"/>
      <w:marBottom w:val="0"/>
      <w:divBdr>
        <w:top w:val="none" w:sz="0" w:space="0" w:color="auto"/>
        <w:left w:val="none" w:sz="0" w:space="0" w:color="auto"/>
        <w:bottom w:val="none" w:sz="0" w:space="0" w:color="auto"/>
        <w:right w:val="none" w:sz="0" w:space="0" w:color="auto"/>
      </w:divBdr>
    </w:div>
    <w:div w:id="66852804">
      <w:bodyDiv w:val="1"/>
      <w:marLeft w:val="0"/>
      <w:marRight w:val="0"/>
      <w:marTop w:val="0"/>
      <w:marBottom w:val="0"/>
      <w:divBdr>
        <w:top w:val="none" w:sz="0" w:space="0" w:color="auto"/>
        <w:left w:val="none" w:sz="0" w:space="0" w:color="auto"/>
        <w:bottom w:val="none" w:sz="0" w:space="0" w:color="auto"/>
        <w:right w:val="none" w:sz="0" w:space="0" w:color="auto"/>
      </w:divBdr>
    </w:div>
    <w:div w:id="75782659">
      <w:bodyDiv w:val="1"/>
      <w:marLeft w:val="0"/>
      <w:marRight w:val="0"/>
      <w:marTop w:val="0"/>
      <w:marBottom w:val="0"/>
      <w:divBdr>
        <w:top w:val="none" w:sz="0" w:space="0" w:color="auto"/>
        <w:left w:val="none" w:sz="0" w:space="0" w:color="auto"/>
        <w:bottom w:val="none" w:sz="0" w:space="0" w:color="auto"/>
        <w:right w:val="none" w:sz="0" w:space="0" w:color="auto"/>
      </w:divBdr>
    </w:div>
    <w:div w:id="85153416">
      <w:bodyDiv w:val="1"/>
      <w:marLeft w:val="0"/>
      <w:marRight w:val="0"/>
      <w:marTop w:val="0"/>
      <w:marBottom w:val="0"/>
      <w:divBdr>
        <w:top w:val="none" w:sz="0" w:space="0" w:color="auto"/>
        <w:left w:val="none" w:sz="0" w:space="0" w:color="auto"/>
        <w:bottom w:val="none" w:sz="0" w:space="0" w:color="auto"/>
        <w:right w:val="none" w:sz="0" w:space="0" w:color="auto"/>
      </w:divBdr>
    </w:div>
    <w:div w:id="85804635">
      <w:bodyDiv w:val="1"/>
      <w:marLeft w:val="0"/>
      <w:marRight w:val="0"/>
      <w:marTop w:val="0"/>
      <w:marBottom w:val="0"/>
      <w:divBdr>
        <w:top w:val="none" w:sz="0" w:space="0" w:color="auto"/>
        <w:left w:val="none" w:sz="0" w:space="0" w:color="auto"/>
        <w:bottom w:val="none" w:sz="0" w:space="0" w:color="auto"/>
        <w:right w:val="none" w:sz="0" w:space="0" w:color="auto"/>
      </w:divBdr>
    </w:div>
    <w:div w:id="91322710">
      <w:bodyDiv w:val="1"/>
      <w:marLeft w:val="0"/>
      <w:marRight w:val="0"/>
      <w:marTop w:val="0"/>
      <w:marBottom w:val="0"/>
      <w:divBdr>
        <w:top w:val="none" w:sz="0" w:space="0" w:color="auto"/>
        <w:left w:val="none" w:sz="0" w:space="0" w:color="auto"/>
        <w:bottom w:val="none" w:sz="0" w:space="0" w:color="auto"/>
        <w:right w:val="none" w:sz="0" w:space="0" w:color="auto"/>
      </w:divBdr>
    </w:div>
    <w:div w:id="126165538">
      <w:bodyDiv w:val="1"/>
      <w:marLeft w:val="0"/>
      <w:marRight w:val="0"/>
      <w:marTop w:val="0"/>
      <w:marBottom w:val="0"/>
      <w:divBdr>
        <w:top w:val="none" w:sz="0" w:space="0" w:color="auto"/>
        <w:left w:val="none" w:sz="0" w:space="0" w:color="auto"/>
        <w:bottom w:val="none" w:sz="0" w:space="0" w:color="auto"/>
        <w:right w:val="none" w:sz="0" w:space="0" w:color="auto"/>
      </w:divBdr>
      <w:divsChild>
        <w:div w:id="260603683">
          <w:marLeft w:val="0"/>
          <w:marRight w:val="0"/>
          <w:marTop w:val="0"/>
          <w:marBottom w:val="0"/>
          <w:divBdr>
            <w:top w:val="none" w:sz="0" w:space="0" w:color="auto"/>
            <w:left w:val="none" w:sz="0" w:space="0" w:color="auto"/>
            <w:bottom w:val="none" w:sz="0" w:space="0" w:color="auto"/>
            <w:right w:val="none" w:sz="0" w:space="0" w:color="auto"/>
          </w:divBdr>
        </w:div>
      </w:divsChild>
    </w:div>
    <w:div w:id="172188664">
      <w:bodyDiv w:val="1"/>
      <w:marLeft w:val="0"/>
      <w:marRight w:val="0"/>
      <w:marTop w:val="0"/>
      <w:marBottom w:val="0"/>
      <w:divBdr>
        <w:top w:val="none" w:sz="0" w:space="0" w:color="auto"/>
        <w:left w:val="none" w:sz="0" w:space="0" w:color="auto"/>
        <w:bottom w:val="none" w:sz="0" w:space="0" w:color="auto"/>
        <w:right w:val="none" w:sz="0" w:space="0" w:color="auto"/>
      </w:divBdr>
    </w:div>
    <w:div w:id="224269067">
      <w:bodyDiv w:val="1"/>
      <w:marLeft w:val="0"/>
      <w:marRight w:val="0"/>
      <w:marTop w:val="0"/>
      <w:marBottom w:val="0"/>
      <w:divBdr>
        <w:top w:val="none" w:sz="0" w:space="0" w:color="auto"/>
        <w:left w:val="none" w:sz="0" w:space="0" w:color="auto"/>
        <w:bottom w:val="none" w:sz="0" w:space="0" w:color="auto"/>
        <w:right w:val="none" w:sz="0" w:space="0" w:color="auto"/>
      </w:divBdr>
    </w:div>
    <w:div w:id="226771251">
      <w:bodyDiv w:val="1"/>
      <w:marLeft w:val="0"/>
      <w:marRight w:val="0"/>
      <w:marTop w:val="0"/>
      <w:marBottom w:val="0"/>
      <w:divBdr>
        <w:top w:val="none" w:sz="0" w:space="0" w:color="auto"/>
        <w:left w:val="none" w:sz="0" w:space="0" w:color="auto"/>
        <w:bottom w:val="none" w:sz="0" w:space="0" w:color="auto"/>
        <w:right w:val="none" w:sz="0" w:space="0" w:color="auto"/>
      </w:divBdr>
      <w:divsChild>
        <w:div w:id="118423901">
          <w:marLeft w:val="0"/>
          <w:marRight w:val="0"/>
          <w:marTop w:val="0"/>
          <w:marBottom w:val="0"/>
          <w:divBdr>
            <w:top w:val="none" w:sz="0" w:space="0" w:color="auto"/>
            <w:left w:val="none" w:sz="0" w:space="0" w:color="auto"/>
            <w:bottom w:val="none" w:sz="0" w:space="0" w:color="auto"/>
            <w:right w:val="none" w:sz="0" w:space="0" w:color="auto"/>
          </w:divBdr>
        </w:div>
        <w:div w:id="1336304914">
          <w:marLeft w:val="0"/>
          <w:marRight w:val="0"/>
          <w:marTop w:val="0"/>
          <w:marBottom w:val="0"/>
          <w:divBdr>
            <w:top w:val="none" w:sz="0" w:space="0" w:color="auto"/>
            <w:left w:val="none" w:sz="0" w:space="0" w:color="auto"/>
            <w:bottom w:val="none" w:sz="0" w:space="0" w:color="auto"/>
            <w:right w:val="none" w:sz="0" w:space="0" w:color="auto"/>
          </w:divBdr>
        </w:div>
      </w:divsChild>
    </w:div>
    <w:div w:id="265160418">
      <w:bodyDiv w:val="1"/>
      <w:marLeft w:val="0"/>
      <w:marRight w:val="0"/>
      <w:marTop w:val="0"/>
      <w:marBottom w:val="0"/>
      <w:divBdr>
        <w:top w:val="none" w:sz="0" w:space="0" w:color="auto"/>
        <w:left w:val="none" w:sz="0" w:space="0" w:color="auto"/>
        <w:bottom w:val="none" w:sz="0" w:space="0" w:color="auto"/>
        <w:right w:val="none" w:sz="0" w:space="0" w:color="auto"/>
      </w:divBdr>
    </w:div>
    <w:div w:id="268392041">
      <w:bodyDiv w:val="1"/>
      <w:marLeft w:val="0"/>
      <w:marRight w:val="0"/>
      <w:marTop w:val="0"/>
      <w:marBottom w:val="0"/>
      <w:divBdr>
        <w:top w:val="none" w:sz="0" w:space="0" w:color="auto"/>
        <w:left w:val="none" w:sz="0" w:space="0" w:color="auto"/>
        <w:bottom w:val="none" w:sz="0" w:space="0" w:color="auto"/>
        <w:right w:val="none" w:sz="0" w:space="0" w:color="auto"/>
      </w:divBdr>
    </w:div>
    <w:div w:id="273296572">
      <w:bodyDiv w:val="1"/>
      <w:marLeft w:val="0"/>
      <w:marRight w:val="0"/>
      <w:marTop w:val="0"/>
      <w:marBottom w:val="0"/>
      <w:divBdr>
        <w:top w:val="none" w:sz="0" w:space="0" w:color="auto"/>
        <w:left w:val="none" w:sz="0" w:space="0" w:color="auto"/>
        <w:bottom w:val="none" w:sz="0" w:space="0" w:color="auto"/>
        <w:right w:val="none" w:sz="0" w:space="0" w:color="auto"/>
      </w:divBdr>
    </w:div>
    <w:div w:id="283469348">
      <w:bodyDiv w:val="1"/>
      <w:marLeft w:val="0"/>
      <w:marRight w:val="0"/>
      <w:marTop w:val="0"/>
      <w:marBottom w:val="0"/>
      <w:divBdr>
        <w:top w:val="none" w:sz="0" w:space="0" w:color="auto"/>
        <w:left w:val="none" w:sz="0" w:space="0" w:color="auto"/>
        <w:bottom w:val="none" w:sz="0" w:space="0" w:color="auto"/>
        <w:right w:val="none" w:sz="0" w:space="0" w:color="auto"/>
      </w:divBdr>
    </w:div>
    <w:div w:id="285896151">
      <w:bodyDiv w:val="1"/>
      <w:marLeft w:val="0"/>
      <w:marRight w:val="0"/>
      <w:marTop w:val="0"/>
      <w:marBottom w:val="0"/>
      <w:divBdr>
        <w:top w:val="none" w:sz="0" w:space="0" w:color="auto"/>
        <w:left w:val="none" w:sz="0" w:space="0" w:color="auto"/>
        <w:bottom w:val="none" w:sz="0" w:space="0" w:color="auto"/>
        <w:right w:val="none" w:sz="0" w:space="0" w:color="auto"/>
      </w:divBdr>
    </w:div>
    <w:div w:id="289701876">
      <w:bodyDiv w:val="1"/>
      <w:marLeft w:val="0"/>
      <w:marRight w:val="0"/>
      <w:marTop w:val="0"/>
      <w:marBottom w:val="0"/>
      <w:divBdr>
        <w:top w:val="none" w:sz="0" w:space="0" w:color="auto"/>
        <w:left w:val="none" w:sz="0" w:space="0" w:color="auto"/>
        <w:bottom w:val="none" w:sz="0" w:space="0" w:color="auto"/>
        <w:right w:val="none" w:sz="0" w:space="0" w:color="auto"/>
      </w:divBdr>
    </w:div>
    <w:div w:id="292296739">
      <w:bodyDiv w:val="1"/>
      <w:marLeft w:val="0"/>
      <w:marRight w:val="0"/>
      <w:marTop w:val="0"/>
      <w:marBottom w:val="0"/>
      <w:divBdr>
        <w:top w:val="none" w:sz="0" w:space="0" w:color="auto"/>
        <w:left w:val="none" w:sz="0" w:space="0" w:color="auto"/>
        <w:bottom w:val="none" w:sz="0" w:space="0" w:color="auto"/>
        <w:right w:val="none" w:sz="0" w:space="0" w:color="auto"/>
      </w:divBdr>
    </w:div>
    <w:div w:id="306059515">
      <w:bodyDiv w:val="1"/>
      <w:marLeft w:val="0"/>
      <w:marRight w:val="0"/>
      <w:marTop w:val="0"/>
      <w:marBottom w:val="0"/>
      <w:divBdr>
        <w:top w:val="none" w:sz="0" w:space="0" w:color="auto"/>
        <w:left w:val="none" w:sz="0" w:space="0" w:color="auto"/>
        <w:bottom w:val="none" w:sz="0" w:space="0" w:color="auto"/>
        <w:right w:val="none" w:sz="0" w:space="0" w:color="auto"/>
      </w:divBdr>
    </w:div>
    <w:div w:id="312106558">
      <w:bodyDiv w:val="1"/>
      <w:marLeft w:val="0"/>
      <w:marRight w:val="0"/>
      <w:marTop w:val="0"/>
      <w:marBottom w:val="0"/>
      <w:divBdr>
        <w:top w:val="none" w:sz="0" w:space="0" w:color="auto"/>
        <w:left w:val="none" w:sz="0" w:space="0" w:color="auto"/>
        <w:bottom w:val="none" w:sz="0" w:space="0" w:color="auto"/>
        <w:right w:val="none" w:sz="0" w:space="0" w:color="auto"/>
      </w:divBdr>
    </w:div>
    <w:div w:id="312805991">
      <w:bodyDiv w:val="1"/>
      <w:marLeft w:val="0"/>
      <w:marRight w:val="0"/>
      <w:marTop w:val="0"/>
      <w:marBottom w:val="0"/>
      <w:divBdr>
        <w:top w:val="none" w:sz="0" w:space="0" w:color="auto"/>
        <w:left w:val="none" w:sz="0" w:space="0" w:color="auto"/>
        <w:bottom w:val="none" w:sz="0" w:space="0" w:color="auto"/>
        <w:right w:val="none" w:sz="0" w:space="0" w:color="auto"/>
      </w:divBdr>
    </w:div>
    <w:div w:id="323776412">
      <w:bodyDiv w:val="1"/>
      <w:marLeft w:val="0"/>
      <w:marRight w:val="0"/>
      <w:marTop w:val="0"/>
      <w:marBottom w:val="0"/>
      <w:divBdr>
        <w:top w:val="none" w:sz="0" w:space="0" w:color="auto"/>
        <w:left w:val="none" w:sz="0" w:space="0" w:color="auto"/>
        <w:bottom w:val="none" w:sz="0" w:space="0" w:color="auto"/>
        <w:right w:val="none" w:sz="0" w:space="0" w:color="auto"/>
      </w:divBdr>
    </w:div>
    <w:div w:id="352345854">
      <w:bodyDiv w:val="1"/>
      <w:marLeft w:val="0"/>
      <w:marRight w:val="0"/>
      <w:marTop w:val="0"/>
      <w:marBottom w:val="0"/>
      <w:divBdr>
        <w:top w:val="none" w:sz="0" w:space="0" w:color="auto"/>
        <w:left w:val="none" w:sz="0" w:space="0" w:color="auto"/>
        <w:bottom w:val="none" w:sz="0" w:space="0" w:color="auto"/>
        <w:right w:val="none" w:sz="0" w:space="0" w:color="auto"/>
      </w:divBdr>
    </w:div>
    <w:div w:id="375588308">
      <w:bodyDiv w:val="1"/>
      <w:marLeft w:val="0"/>
      <w:marRight w:val="0"/>
      <w:marTop w:val="0"/>
      <w:marBottom w:val="0"/>
      <w:divBdr>
        <w:top w:val="none" w:sz="0" w:space="0" w:color="auto"/>
        <w:left w:val="none" w:sz="0" w:space="0" w:color="auto"/>
        <w:bottom w:val="none" w:sz="0" w:space="0" w:color="auto"/>
        <w:right w:val="none" w:sz="0" w:space="0" w:color="auto"/>
      </w:divBdr>
    </w:div>
    <w:div w:id="393478959">
      <w:bodyDiv w:val="1"/>
      <w:marLeft w:val="0"/>
      <w:marRight w:val="0"/>
      <w:marTop w:val="0"/>
      <w:marBottom w:val="0"/>
      <w:divBdr>
        <w:top w:val="none" w:sz="0" w:space="0" w:color="auto"/>
        <w:left w:val="none" w:sz="0" w:space="0" w:color="auto"/>
        <w:bottom w:val="none" w:sz="0" w:space="0" w:color="auto"/>
        <w:right w:val="none" w:sz="0" w:space="0" w:color="auto"/>
      </w:divBdr>
    </w:div>
    <w:div w:id="399600976">
      <w:bodyDiv w:val="1"/>
      <w:marLeft w:val="0"/>
      <w:marRight w:val="0"/>
      <w:marTop w:val="0"/>
      <w:marBottom w:val="0"/>
      <w:divBdr>
        <w:top w:val="none" w:sz="0" w:space="0" w:color="auto"/>
        <w:left w:val="none" w:sz="0" w:space="0" w:color="auto"/>
        <w:bottom w:val="none" w:sz="0" w:space="0" w:color="auto"/>
        <w:right w:val="none" w:sz="0" w:space="0" w:color="auto"/>
      </w:divBdr>
    </w:div>
    <w:div w:id="426385918">
      <w:bodyDiv w:val="1"/>
      <w:marLeft w:val="0"/>
      <w:marRight w:val="0"/>
      <w:marTop w:val="0"/>
      <w:marBottom w:val="0"/>
      <w:divBdr>
        <w:top w:val="none" w:sz="0" w:space="0" w:color="auto"/>
        <w:left w:val="none" w:sz="0" w:space="0" w:color="auto"/>
        <w:bottom w:val="none" w:sz="0" w:space="0" w:color="auto"/>
        <w:right w:val="none" w:sz="0" w:space="0" w:color="auto"/>
      </w:divBdr>
    </w:div>
    <w:div w:id="439765153">
      <w:bodyDiv w:val="1"/>
      <w:marLeft w:val="0"/>
      <w:marRight w:val="0"/>
      <w:marTop w:val="0"/>
      <w:marBottom w:val="0"/>
      <w:divBdr>
        <w:top w:val="none" w:sz="0" w:space="0" w:color="auto"/>
        <w:left w:val="none" w:sz="0" w:space="0" w:color="auto"/>
        <w:bottom w:val="none" w:sz="0" w:space="0" w:color="auto"/>
        <w:right w:val="none" w:sz="0" w:space="0" w:color="auto"/>
      </w:divBdr>
    </w:div>
    <w:div w:id="449979363">
      <w:bodyDiv w:val="1"/>
      <w:marLeft w:val="0"/>
      <w:marRight w:val="0"/>
      <w:marTop w:val="0"/>
      <w:marBottom w:val="0"/>
      <w:divBdr>
        <w:top w:val="none" w:sz="0" w:space="0" w:color="auto"/>
        <w:left w:val="none" w:sz="0" w:space="0" w:color="auto"/>
        <w:bottom w:val="none" w:sz="0" w:space="0" w:color="auto"/>
        <w:right w:val="none" w:sz="0" w:space="0" w:color="auto"/>
      </w:divBdr>
    </w:div>
    <w:div w:id="460808870">
      <w:bodyDiv w:val="1"/>
      <w:marLeft w:val="0"/>
      <w:marRight w:val="0"/>
      <w:marTop w:val="0"/>
      <w:marBottom w:val="0"/>
      <w:divBdr>
        <w:top w:val="none" w:sz="0" w:space="0" w:color="auto"/>
        <w:left w:val="none" w:sz="0" w:space="0" w:color="auto"/>
        <w:bottom w:val="none" w:sz="0" w:space="0" w:color="auto"/>
        <w:right w:val="none" w:sz="0" w:space="0" w:color="auto"/>
      </w:divBdr>
    </w:div>
    <w:div w:id="465706710">
      <w:bodyDiv w:val="1"/>
      <w:marLeft w:val="0"/>
      <w:marRight w:val="0"/>
      <w:marTop w:val="0"/>
      <w:marBottom w:val="0"/>
      <w:divBdr>
        <w:top w:val="none" w:sz="0" w:space="0" w:color="auto"/>
        <w:left w:val="none" w:sz="0" w:space="0" w:color="auto"/>
        <w:bottom w:val="none" w:sz="0" w:space="0" w:color="auto"/>
        <w:right w:val="none" w:sz="0" w:space="0" w:color="auto"/>
      </w:divBdr>
    </w:div>
    <w:div w:id="471752314">
      <w:bodyDiv w:val="1"/>
      <w:marLeft w:val="0"/>
      <w:marRight w:val="0"/>
      <w:marTop w:val="0"/>
      <w:marBottom w:val="0"/>
      <w:divBdr>
        <w:top w:val="none" w:sz="0" w:space="0" w:color="auto"/>
        <w:left w:val="none" w:sz="0" w:space="0" w:color="auto"/>
        <w:bottom w:val="none" w:sz="0" w:space="0" w:color="auto"/>
        <w:right w:val="none" w:sz="0" w:space="0" w:color="auto"/>
      </w:divBdr>
    </w:div>
    <w:div w:id="472720086">
      <w:bodyDiv w:val="1"/>
      <w:marLeft w:val="0"/>
      <w:marRight w:val="0"/>
      <w:marTop w:val="0"/>
      <w:marBottom w:val="0"/>
      <w:divBdr>
        <w:top w:val="none" w:sz="0" w:space="0" w:color="auto"/>
        <w:left w:val="none" w:sz="0" w:space="0" w:color="auto"/>
        <w:bottom w:val="none" w:sz="0" w:space="0" w:color="auto"/>
        <w:right w:val="none" w:sz="0" w:space="0" w:color="auto"/>
      </w:divBdr>
    </w:div>
    <w:div w:id="474571458">
      <w:bodyDiv w:val="1"/>
      <w:marLeft w:val="0"/>
      <w:marRight w:val="0"/>
      <w:marTop w:val="0"/>
      <w:marBottom w:val="0"/>
      <w:divBdr>
        <w:top w:val="none" w:sz="0" w:space="0" w:color="auto"/>
        <w:left w:val="none" w:sz="0" w:space="0" w:color="auto"/>
        <w:bottom w:val="none" w:sz="0" w:space="0" w:color="auto"/>
        <w:right w:val="none" w:sz="0" w:space="0" w:color="auto"/>
      </w:divBdr>
    </w:div>
    <w:div w:id="485904780">
      <w:bodyDiv w:val="1"/>
      <w:marLeft w:val="0"/>
      <w:marRight w:val="0"/>
      <w:marTop w:val="0"/>
      <w:marBottom w:val="0"/>
      <w:divBdr>
        <w:top w:val="none" w:sz="0" w:space="0" w:color="auto"/>
        <w:left w:val="none" w:sz="0" w:space="0" w:color="auto"/>
        <w:bottom w:val="none" w:sz="0" w:space="0" w:color="auto"/>
        <w:right w:val="none" w:sz="0" w:space="0" w:color="auto"/>
      </w:divBdr>
    </w:div>
    <w:div w:id="494151485">
      <w:bodyDiv w:val="1"/>
      <w:marLeft w:val="0"/>
      <w:marRight w:val="0"/>
      <w:marTop w:val="0"/>
      <w:marBottom w:val="0"/>
      <w:divBdr>
        <w:top w:val="none" w:sz="0" w:space="0" w:color="auto"/>
        <w:left w:val="none" w:sz="0" w:space="0" w:color="auto"/>
        <w:bottom w:val="none" w:sz="0" w:space="0" w:color="auto"/>
        <w:right w:val="none" w:sz="0" w:space="0" w:color="auto"/>
      </w:divBdr>
    </w:div>
    <w:div w:id="508640771">
      <w:bodyDiv w:val="1"/>
      <w:marLeft w:val="0"/>
      <w:marRight w:val="0"/>
      <w:marTop w:val="0"/>
      <w:marBottom w:val="0"/>
      <w:divBdr>
        <w:top w:val="none" w:sz="0" w:space="0" w:color="auto"/>
        <w:left w:val="none" w:sz="0" w:space="0" w:color="auto"/>
        <w:bottom w:val="none" w:sz="0" w:space="0" w:color="auto"/>
        <w:right w:val="none" w:sz="0" w:space="0" w:color="auto"/>
      </w:divBdr>
    </w:div>
    <w:div w:id="512457923">
      <w:bodyDiv w:val="1"/>
      <w:marLeft w:val="0"/>
      <w:marRight w:val="0"/>
      <w:marTop w:val="0"/>
      <w:marBottom w:val="0"/>
      <w:divBdr>
        <w:top w:val="none" w:sz="0" w:space="0" w:color="auto"/>
        <w:left w:val="none" w:sz="0" w:space="0" w:color="auto"/>
        <w:bottom w:val="none" w:sz="0" w:space="0" w:color="auto"/>
        <w:right w:val="none" w:sz="0" w:space="0" w:color="auto"/>
      </w:divBdr>
    </w:div>
    <w:div w:id="523979501">
      <w:bodyDiv w:val="1"/>
      <w:marLeft w:val="0"/>
      <w:marRight w:val="0"/>
      <w:marTop w:val="0"/>
      <w:marBottom w:val="0"/>
      <w:divBdr>
        <w:top w:val="none" w:sz="0" w:space="0" w:color="auto"/>
        <w:left w:val="none" w:sz="0" w:space="0" w:color="auto"/>
        <w:bottom w:val="none" w:sz="0" w:space="0" w:color="auto"/>
        <w:right w:val="none" w:sz="0" w:space="0" w:color="auto"/>
      </w:divBdr>
    </w:div>
    <w:div w:id="538665864">
      <w:bodyDiv w:val="1"/>
      <w:marLeft w:val="0"/>
      <w:marRight w:val="0"/>
      <w:marTop w:val="0"/>
      <w:marBottom w:val="0"/>
      <w:divBdr>
        <w:top w:val="none" w:sz="0" w:space="0" w:color="auto"/>
        <w:left w:val="none" w:sz="0" w:space="0" w:color="auto"/>
        <w:bottom w:val="none" w:sz="0" w:space="0" w:color="auto"/>
        <w:right w:val="none" w:sz="0" w:space="0" w:color="auto"/>
      </w:divBdr>
    </w:div>
    <w:div w:id="539127174">
      <w:bodyDiv w:val="1"/>
      <w:marLeft w:val="0"/>
      <w:marRight w:val="0"/>
      <w:marTop w:val="0"/>
      <w:marBottom w:val="0"/>
      <w:divBdr>
        <w:top w:val="none" w:sz="0" w:space="0" w:color="auto"/>
        <w:left w:val="none" w:sz="0" w:space="0" w:color="auto"/>
        <w:bottom w:val="none" w:sz="0" w:space="0" w:color="auto"/>
        <w:right w:val="none" w:sz="0" w:space="0" w:color="auto"/>
      </w:divBdr>
    </w:div>
    <w:div w:id="539710799">
      <w:bodyDiv w:val="1"/>
      <w:marLeft w:val="0"/>
      <w:marRight w:val="0"/>
      <w:marTop w:val="0"/>
      <w:marBottom w:val="0"/>
      <w:divBdr>
        <w:top w:val="none" w:sz="0" w:space="0" w:color="auto"/>
        <w:left w:val="none" w:sz="0" w:space="0" w:color="auto"/>
        <w:bottom w:val="none" w:sz="0" w:space="0" w:color="auto"/>
        <w:right w:val="none" w:sz="0" w:space="0" w:color="auto"/>
      </w:divBdr>
    </w:div>
    <w:div w:id="542597831">
      <w:bodyDiv w:val="1"/>
      <w:marLeft w:val="0"/>
      <w:marRight w:val="0"/>
      <w:marTop w:val="0"/>
      <w:marBottom w:val="0"/>
      <w:divBdr>
        <w:top w:val="none" w:sz="0" w:space="0" w:color="auto"/>
        <w:left w:val="none" w:sz="0" w:space="0" w:color="auto"/>
        <w:bottom w:val="none" w:sz="0" w:space="0" w:color="auto"/>
        <w:right w:val="none" w:sz="0" w:space="0" w:color="auto"/>
      </w:divBdr>
    </w:div>
    <w:div w:id="550534551">
      <w:bodyDiv w:val="1"/>
      <w:marLeft w:val="0"/>
      <w:marRight w:val="0"/>
      <w:marTop w:val="0"/>
      <w:marBottom w:val="0"/>
      <w:divBdr>
        <w:top w:val="none" w:sz="0" w:space="0" w:color="auto"/>
        <w:left w:val="none" w:sz="0" w:space="0" w:color="auto"/>
        <w:bottom w:val="none" w:sz="0" w:space="0" w:color="auto"/>
        <w:right w:val="none" w:sz="0" w:space="0" w:color="auto"/>
      </w:divBdr>
    </w:div>
    <w:div w:id="571549565">
      <w:bodyDiv w:val="1"/>
      <w:marLeft w:val="0"/>
      <w:marRight w:val="0"/>
      <w:marTop w:val="0"/>
      <w:marBottom w:val="0"/>
      <w:divBdr>
        <w:top w:val="none" w:sz="0" w:space="0" w:color="auto"/>
        <w:left w:val="none" w:sz="0" w:space="0" w:color="auto"/>
        <w:bottom w:val="none" w:sz="0" w:space="0" w:color="auto"/>
        <w:right w:val="none" w:sz="0" w:space="0" w:color="auto"/>
      </w:divBdr>
    </w:div>
    <w:div w:id="577862109">
      <w:bodyDiv w:val="1"/>
      <w:marLeft w:val="0"/>
      <w:marRight w:val="0"/>
      <w:marTop w:val="0"/>
      <w:marBottom w:val="0"/>
      <w:divBdr>
        <w:top w:val="none" w:sz="0" w:space="0" w:color="auto"/>
        <w:left w:val="none" w:sz="0" w:space="0" w:color="auto"/>
        <w:bottom w:val="none" w:sz="0" w:space="0" w:color="auto"/>
        <w:right w:val="none" w:sz="0" w:space="0" w:color="auto"/>
      </w:divBdr>
    </w:div>
    <w:div w:id="622736523">
      <w:bodyDiv w:val="1"/>
      <w:marLeft w:val="0"/>
      <w:marRight w:val="0"/>
      <w:marTop w:val="0"/>
      <w:marBottom w:val="0"/>
      <w:divBdr>
        <w:top w:val="none" w:sz="0" w:space="0" w:color="auto"/>
        <w:left w:val="none" w:sz="0" w:space="0" w:color="auto"/>
        <w:bottom w:val="none" w:sz="0" w:space="0" w:color="auto"/>
        <w:right w:val="none" w:sz="0" w:space="0" w:color="auto"/>
      </w:divBdr>
    </w:div>
    <w:div w:id="625163210">
      <w:bodyDiv w:val="1"/>
      <w:marLeft w:val="0"/>
      <w:marRight w:val="0"/>
      <w:marTop w:val="0"/>
      <w:marBottom w:val="0"/>
      <w:divBdr>
        <w:top w:val="none" w:sz="0" w:space="0" w:color="auto"/>
        <w:left w:val="none" w:sz="0" w:space="0" w:color="auto"/>
        <w:bottom w:val="none" w:sz="0" w:space="0" w:color="auto"/>
        <w:right w:val="none" w:sz="0" w:space="0" w:color="auto"/>
      </w:divBdr>
    </w:div>
    <w:div w:id="626083277">
      <w:bodyDiv w:val="1"/>
      <w:marLeft w:val="0"/>
      <w:marRight w:val="0"/>
      <w:marTop w:val="0"/>
      <w:marBottom w:val="0"/>
      <w:divBdr>
        <w:top w:val="none" w:sz="0" w:space="0" w:color="auto"/>
        <w:left w:val="none" w:sz="0" w:space="0" w:color="auto"/>
        <w:bottom w:val="none" w:sz="0" w:space="0" w:color="auto"/>
        <w:right w:val="none" w:sz="0" w:space="0" w:color="auto"/>
      </w:divBdr>
      <w:divsChild>
        <w:div w:id="76635586">
          <w:marLeft w:val="1138"/>
          <w:marRight w:val="0"/>
          <w:marTop w:val="134"/>
          <w:marBottom w:val="0"/>
          <w:divBdr>
            <w:top w:val="none" w:sz="0" w:space="0" w:color="auto"/>
            <w:left w:val="none" w:sz="0" w:space="0" w:color="auto"/>
            <w:bottom w:val="none" w:sz="0" w:space="0" w:color="auto"/>
            <w:right w:val="none" w:sz="0" w:space="0" w:color="auto"/>
          </w:divBdr>
        </w:div>
        <w:div w:id="675424273">
          <w:marLeft w:val="1138"/>
          <w:marRight w:val="0"/>
          <w:marTop w:val="134"/>
          <w:marBottom w:val="0"/>
          <w:divBdr>
            <w:top w:val="none" w:sz="0" w:space="0" w:color="auto"/>
            <w:left w:val="none" w:sz="0" w:space="0" w:color="auto"/>
            <w:bottom w:val="none" w:sz="0" w:space="0" w:color="auto"/>
            <w:right w:val="none" w:sz="0" w:space="0" w:color="auto"/>
          </w:divBdr>
        </w:div>
        <w:div w:id="1598321029">
          <w:marLeft w:val="1138"/>
          <w:marRight w:val="0"/>
          <w:marTop w:val="134"/>
          <w:marBottom w:val="0"/>
          <w:divBdr>
            <w:top w:val="none" w:sz="0" w:space="0" w:color="auto"/>
            <w:left w:val="none" w:sz="0" w:space="0" w:color="auto"/>
            <w:bottom w:val="none" w:sz="0" w:space="0" w:color="auto"/>
            <w:right w:val="none" w:sz="0" w:space="0" w:color="auto"/>
          </w:divBdr>
        </w:div>
        <w:div w:id="1641769347">
          <w:marLeft w:val="1138"/>
          <w:marRight w:val="0"/>
          <w:marTop w:val="134"/>
          <w:marBottom w:val="0"/>
          <w:divBdr>
            <w:top w:val="none" w:sz="0" w:space="0" w:color="auto"/>
            <w:left w:val="none" w:sz="0" w:space="0" w:color="auto"/>
            <w:bottom w:val="none" w:sz="0" w:space="0" w:color="auto"/>
            <w:right w:val="none" w:sz="0" w:space="0" w:color="auto"/>
          </w:divBdr>
        </w:div>
        <w:div w:id="1650207632">
          <w:marLeft w:val="1138"/>
          <w:marRight w:val="0"/>
          <w:marTop w:val="134"/>
          <w:marBottom w:val="0"/>
          <w:divBdr>
            <w:top w:val="none" w:sz="0" w:space="0" w:color="auto"/>
            <w:left w:val="none" w:sz="0" w:space="0" w:color="auto"/>
            <w:bottom w:val="none" w:sz="0" w:space="0" w:color="auto"/>
            <w:right w:val="none" w:sz="0" w:space="0" w:color="auto"/>
          </w:divBdr>
        </w:div>
        <w:div w:id="1746101027">
          <w:marLeft w:val="1138"/>
          <w:marRight w:val="0"/>
          <w:marTop w:val="134"/>
          <w:marBottom w:val="0"/>
          <w:divBdr>
            <w:top w:val="none" w:sz="0" w:space="0" w:color="auto"/>
            <w:left w:val="none" w:sz="0" w:space="0" w:color="auto"/>
            <w:bottom w:val="none" w:sz="0" w:space="0" w:color="auto"/>
            <w:right w:val="none" w:sz="0" w:space="0" w:color="auto"/>
          </w:divBdr>
        </w:div>
        <w:div w:id="1986012329">
          <w:marLeft w:val="1138"/>
          <w:marRight w:val="0"/>
          <w:marTop w:val="134"/>
          <w:marBottom w:val="0"/>
          <w:divBdr>
            <w:top w:val="none" w:sz="0" w:space="0" w:color="auto"/>
            <w:left w:val="none" w:sz="0" w:space="0" w:color="auto"/>
            <w:bottom w:val="none" w:sz="0" w:space="0" w:color="auto"/>
            <w:right w:val="none" w:sz="0" w:space="0" w:color="auto"/>
          </w:divBdr>
        </w:div>
      </w:divsChild>
    </w:div>
    <w:div w:id="626475165">
      <w:bodyDiv w:val="1"/>
      <w:marLeft w:val="0"/>
      <w:marRight w:val="0"/>
      <w:marTop w:val="0"/>
      <w:marBottom w:val="0"/>
      <w:divBdr>
        <w:top w:val="none" w:sz="0" w:space="0" w:color="auto"/>
        <w:left w:val="none" w:sz="0" w:space="0" w:color="auto"/>
        <w:bottom w:val="none" w:sz="0" w:space="0" w:color="auto"/>
        <w:right w:val="none" w:sz="0" w:space="0" w:color="auto"/>
      </w:divBdr>
    </w:div>
    <w:div w:id="630862661">
      <w:bodyDiv w:val="1"/>
      <w:marLeft w:val="0"/>
      <w:marRight w:val="0"/>
      <w:marTop w:val="0"/>
      <w:marBottom w:val="0"/>
      <w:divBdr>
        <w:top w:val="none" w:sz="0" w:space="0" w:color="auto"/>
        <w:left w:val="none" w:sz="0" w:space="0" w:color="auto"/>
        <w:bottom w:val="none" w:sz="0" w:space="0" w:color="auto"/>
        <w:right w:val="none" w:sz="0" w:space="0" w:color="auto"/>
      </w:divBdr>
      <w:divsChild>
        <w:div w:id="190000809">
          <w:marLeft w:val="0"/>
          <w:marRight w:val="0"/>
          <w:marTop w:val="0"/>
          <w:marBottom w:val="0"/>
          <w:divBdr>
            <w:top w:val="none" w:sz="0" w:space="0" w:color="auto"/>
            <w:left w:val="none" w:sz="0" w:space="0" w:color="auto"/>
            <w:bottom w:val="none" w:sz="0" w:space="0" w:color="auto"/>
            <w:right w:val="none" w:sz="0" w:space="0" w:color="auto"/>
          </w:divBdr>
        </w:div>
        <w:div w:id="333916397">
          <w:marLeft w:val="0"/>
          <w:marRight w:val="0"/>
          <w:marTop w:val="0"/>
          <w:marBottom w:val="0"/>
          <w:divBdr>
            <w:top w:val="none" w:sz="0" w:space="0" w:color="auto"/>
            <w:left w:val="none" w:sz="0" w:space="0" w:color="auto"/>
            <w:bottom w:val="none" w:sz="0" w:space="0" w:color="auto"/>
            <w:right w:val="none" w:sz="0" w:space="0" w:color="auto"/>
          </w:divBdr>
        </w:div>
        <w:div w:id="669529398">
          <w:marLeft w:val="0"/>
          <w:marRight w:val="0"/>
          <w:marTop w:val="0"/>
          <w:marBottom w:val="0"/>
          <w:divBdr>
            <w:top w:val="none" w:sz="0" w:space="0" w:color="auto"/>
            <w:left w:val="none" w:sz="0" w:space="0" w:color="auto"/>
            <w:bottom w:val="none" w:sz="0" w:space="0" w:color="auto"/>
            <w:right w:val="none" w:sz="0" w:space="0" w:color="auto"/>
          </w:divBdr>
        </w:div>
        <w:div w:id="669676154">
          <w:marLeft w:val="0"/>
          <w:marRight w:val="0"/>
          <w:marTop w:val="0"/>
          <w:marBottom w:val="0"/>
          <w:divBdr>
            <w:top w:val="none" w:sz="0" w:space="0" w:color="auto"/>
            <w:left w:val="none" w:sz="0" w:space="0" w:color="auto"/>
            <w:bottom w:val="none" w:sz="0" w:space="0" w:color="auto"/>
            <w:right w:val="none" w:sz="0" w:space="0" w:color="auto"/>
          </w:divBdr>
        </w:div>
        <w:div w:id="707611671">
          <w:marLeft w:val="0"/>
          <w:marRight w:val="0"/>
          <w:marTop w:val="0"/>
          <w:marBottom w:val="0"/>
          <w:divBdr>
            <w:top w:val="none" w:sz="0" w:space="0" w:color="auto"/>
            <w:left w:val="none" w:sz="0" w:space="0" w:color="auto"/>
            <w:bottom w:val="none" w:sz="0" w:space="0" w:color="auto"/>
            <w:right w:val="none" w:sz="0" w:space="0" w:color="auto"/>
          </w:divBdr>
        </w:div>
        <w:div w:id="1474326001">
          <w:marLeft w:val="0"/>
          <w:marRight w:val="0"/>
          <w:marTop w:val="0"/>
          <w:marBottom w:val="0"/>
          <w:divBdr>
            <w:top w:val="none" w:sz="0" w:space="0" w:color="auto"/>
            <w:left w:val="none" w:sz="0" w:space="0" w:color="auto"/>
            <w:bottom w:val="none" w:sz="0" w:space="0" w:color="auto"/>
            <w:right w:val="none" w:sz="0" w:space="0" w:color="auto"/>
          </w:divBdr>
        </w:div>
        <w:div w:id="1535194286">
          <w:marLeft w:val="0"/>
          <w:marRight w:val="0"/>
          <w:marTop w:val="0"/>
          <w:marBottom w:val="0"/>
          <w:divBdr>
            <w:top w:val="none" w:sz="0" w:space="0" w:color="auto"/>
            <w:left w:val="none" w:sz="0" w:space="0" w:color="auto"/>
            <w:bottom w:val="none" w:sz="0" w:space="0" w:color="auto"/>
            <w:right w:val="none" w:sz="0" w:space="0" w:color="auto"/>
          </w:divBdr>
        </w:div>
        <w:div w:id="1645037262">
          <w:marLeft w:val="0"/>
          <w:marRight w:val="0"/>
          <w:marTop w:val="0"/>
          <w:marBottom w:val="0"/>
          <w:divBdr>
            <w:top w:val="none" w:sz="0" w:space="0" w:color="auto"/>
            <w:left w:val="none" w:sz="0" w:space="0" w:color="auto"/>
            <w:bottom w:val="none" w:sz="0" w:space="0" w:color="auto"/>
            <w:right w:val="none" w:sz="0" w:space="0" w:color="auto"/>
          </w:divBdr>
        </w:div>
        <w:div w:id="1694918981">
          <w:marLeft w:val="0"/>
          <w:marRight w:val="0"/>
          <w:marTop w:val="0"/>
          <w:marBottom w:val="0"/>
          <w:divBdr>
            <w:top w:val="none" w:sz="0" w:space="0" w:color="auto"/>
            <w:left w:val="none" w:sz="0" w:space="0" w:color="auto"/>
            <w:bottom w:val="none" w:sz="0" w:space="0" w:color="auto"/>
            <w:right w:val="none" w:sz="0" w:space="0" w:color="auto"/>
          </w:divBdr>
        </w:div>
        <w:div w:id="1909536312">
          <w:marLeft w:val="0"/>
          <w:marRight w:val="0"/>
          <w:marTop w:val="0"/>
          <w:marBottom w:val="0"/>
          <w:divBdr>
            <w:top w:val="none" w:sz="0" w:space="0" w:color="auto"/>
            <w:left w:val="none" w:sz="0" w:space="0" w:color="auto"/>
            <w:bottom w:val="none" w:sz="0" w:space="0" w:color="auto"/>
            <w:right w:val="none" w:sz="0" w:space="0" w:color="auto"/>
          </w:divBdr>
        </w:div>
      </w:divsChild>
    </w:div>
    <w:div w:id="635455752">
      <w:bodyDiv w:val="1"/>
      <w:marLeft w:val="0"/>
      <w:marRight w:val="0"/>
      <w:marTop w:val="0"/>
      <w:marBottom w:val="0"/>
      <w:divBdr>
        <w:top w:val="none" w:sz="0" w:space="0" w:color="auto"/>
        <w:left w:val="none" w:sz="0" w:space="0" w:color="auto"/>
        <w:bottom w:val="none" w:sz="0" w:space="0" w:color="auto"/>
        <w:right w:val="none" w:sz="0" w:space="0" w:color="auto"/>
      </w:divBdr>
    </w:div>
    <w:div w:id="650522335">
      <w:bodyDiv w:val="1"/>
      <w:marLeft w:val="0"/>
      <w:marRight w:val="0"/>
      <w:marTop w:val="0"/>
      <w:marBottom w:val="0"/>
      <w:divBdr>
        <w:top w:val="none" w:sz="0" w:space="0" w:color="auto"/>
        <w:left w:val="none" w:sz="0" w:space="0" w:color="auto"/>
        <w:bottom w:val="none" w:sz="0" w:space="0" w:color="auto"/>
        <w:right w:val="none" w:sz="0" w:space="0" w:color="auto"/>
      </w:divBdr>
    </w:div>
    <w:div w:id="668563731">
      <w:bodyDiv w:val="1"/>
      <w:marLeft w:val="0"/>
      <w:marRight w:val="0"/>
      <w:marTop w:val="0"/>
      <w:marBottom w:val="0"/>
      <w:divBdr>
        <w:top w:val="none" w:sz="0" w:space="0" w:color="auto"/>
        <w:left w:val="none" w:sz="0" w:space="0" w:color="auto"/>
        <w:bottom w:val="none" w:sz="0" w:space="0" w:color="auto"/>
        <w:right w:val="none" w:sz="0" w:space="0" w:color="auto"/>
      </w:divBdr>
    </w:div>
    <w:div w:id="684751796">
      <w:bodyDiv w:val="1"/>
      <w:marLeft w:val="0"/>
      <w:marRight w:val="0"/>
      <w:marTop w:val="0"/>
      <w:marBottom w:val="0"/>
      <w:divBdr>
        <w:top w:val="none" w:sz="0" w:space="0" w:color="auto"/>
        <w:left w:val="none" w:sz="0" w:space="0" w:color="auto"/>
        <w:bottom w:val="none" w:sz="0" w:space="0" w:color="auto"/>
        <w:right w:val="none" w:sz="0" w:space="0" w:color="auto"/>
      </w:divBdr>
    </w:div>
    <w:div w:id="686756673">
      <w:bodyDiv w:val="1"/>
      <w:marLeft w:val="0"/>
      <w:marRight w:val="0"/>
      <w:marTop w:val="0"/>
      <w:marBottom w:val="0"/>
      <w:divBdr>
        <w:top w:val="none" w:sz="0" w:space="0" w:color="auto"/>
        <w:left w:val="none" w:sz="0" w:space="0" w:color="auto"/>
        <w:bottom w:val="none" w:sz="0" w:space="0" w:color="auto"/>
        <w:right w:val="none" w:sz="0" w:space="0" w:color="auto"/>
      </w:divBdr>
    </w:div>
    <w:div w:id="697321180">
      <w:bodyDiv w:val="1"/>
      <w:marLeft w:val="0"/>
      <w:marRight w:val="0"/>
      <w:marTop w:val="0"/>
      <w:marBottom w:val="0"/>
      <w:divBdr>
        <w:top w:val="none" w:sz="0" w:space="0" w:color="auto"/>
        <w:left w:val="none" w:sz="0" w:space="0" w:color="auto"/>
        <w:bottom w:val="none" w:sz="0" w:space="0" w:color="auto"/>
        <w:right w:val="none" w:sz="0" w:space="0" w:color="auto"/>
      </w:divBdr>
    </w:div>
    <w:div w:id="721438727">
      <w:bodyDiv w:val="1"/>
      <w:marLeft w:val="0"/>
      <w:marRight w:val="0"/>
      <w:marTop w:val="0"/>
      <w:marBottom w:val="0"/>
      <w:divBdr>
        <w:top w:val="none" w:sz="0" w:space="0" w:color="auto"/>
        <w:left w:val="none" w:sz="0" w:space="0" w:color="auto"/>
        <w:bottom w:val="none" w:sz="0" w:space="0" w:color="auto"/>
        <w:right w:val="none" w:sz="0" w:space="0" w:color="auto"/>
      </w:divBdr>
    </w:div>
    <w:div w:id="730034556">
      <w:bodyDiv w:val="1"/>
      <w:marLeft w:val="0"/>
      <w:marRight w:val="0"/>
      <w:marTop w:val="0"/>
      <w:marBottom w:val="0"/>
      <w:divBdr>
        <w:top w:val="none" w:sz="0" w:space="0" w:color="auto"/>
        <w:left w:val="none" w:sz="0" w:space="0" w:color="auto"/>
        <w:bottom w:val="none" w:sz="0" w:space="0" w:color="auto"/>
        <w:right w:val="none" w:sz="0" w:space="0" w:color="auto"/>
      </w:divBdr>
    </w:div>
    <w:div w:id="735401269">
      <w:bodyDiv w:val="1"/>
      <w:marLeft w:val="0"/>
      <w:marRight w:val="0"/>
      <w:marTop w:val="0"/>
      <w:marBottom w:val="0"/>
      <w:divBdr>
        <w:top w:val="none" w:sz="0" w:space="0" w:color="auto"/>
        <w:left w:val="none" w:sz="0" w:space="0" w:color="auto"/>
        <w:bottom w:val="none" w:sz="0" w:space="0" w:color="auto"/>
        <w:right w:val="none" w:sz="0" w:space="0" w:color="auto"/>
      </w:divBdr>
    </w:div>
    <w:div w:id="739140062">
      <w:bodyDiv w:val="1"/>
      <w:marLeft w:val="0"/>
      <w:marRight w:val="0"/>
      <w:marTop w:val="0"/>
      <w:marBottom w:val="0"/>
      <w:divBdr>
        <w:top w:val="none" w:sz="0" w:space="0" w:color="auto"/>
        <w:left w:val="none" w:sz="0" w:space="0" w:color="auto"/>
        <w:bottom w:val="none" w:sz="0" w:space="0" w:color="auto"/>
        <w:right w:val="none" w:sz="0" w:space="0" w:color="auto"/>
      </w:divBdr>
      <w:divsChild>
        <w:div w:id="251474918">
          <w:marLeft w:val="1166"/>
          <w:marRight w:val="0"/>
          <w:marTop w:val="106"/>
          <w:marBottom w:val="0"/>
          <w:divBdr>
            <w:top w:val="none" w:sz="0" w:space="0" w:color="auto"/>
            <w:left w:val="none" w:sz="0" w:space="0" w:color="auto"/>
            <w:bottom w:val="none" w:sz="0" w:space="0" w:color="auto"/>
            <w:right w:val="none" w:sz="0" w:space="0" w:color="auto"/>
          </w:divBdr>
        </w:div>
        <w:div w:id="587664258">
          <w:marLeft w:val="1166"/>
          <w:marRight w:val="0"/>
          <w:marTop w:val="106"/>
          <w:marBottom w:val="0"/>
          <w:divBdr>
            <w:top w:val="none" w:sz="0" w:space="0" w:color="auto"/>
            <w:left w:val="none" w:sz="0" w:space="0" w:color="auto"/>
            <w:bottom w:val="none" w:sz="0" w:space="0" w:color="auto"/>
            <w:right w:val="none" w:sz="0" w:space="0" w:color="auto"/>
          </w:divBdr>
        </w:div>
        <w:div w:id="637953658">
          <w:marLeft w:val="1166"/>
          <w:marRight w:val="0"/>
          <w:marTop w:val="106"/>
          <w:marBottom w:val="0"/>
          <w:divBdr>
            <w:top w:val="none" w:sz="0" w:space="0" w:color="auto"/>
            <w:left w:val="none" w:sz="0" w:space="0" w:color="auto"/>
            <w:bottom w:val="none" w:sz="0" w:space="0" w:color="auto"/>
            <w:right w:val="none" w:sz="0" w:space="0" w:color="auto"/>
          </w:divBdr>
        </w:div>
        <w:div w:id="1064832939">
          <w:marLeft w:val="1166"/>
          <w:marRight w:val="0"/>
          <w:marTop w:val="106"/>
          <w:marBottom w:val="0"/>
          <w:divBdr>
            <w:top w:val="none" w:sz="0" w:space="0" w:color="auto"/>
            <w:left w:val="none" w:sz="0" w:space="0" w:color="auto"/>
            <w:bottom w:val="none" w:sz="0" w:space="0" w:color="auto"/>
            <w:right w:val="none" w:sz="0" w:space="0" w:color="auto"/>
          </w:divBdr>
        </w:div>
      </w:divsChild>
    </w:div>
    <w:div w:id="750346393">
      <w:bodyDiv w:val="1"/>
      <w:marLeft w:val="0"/>
      <w:marRight w:val="0"/>
      <w:marTop w:val="0"/>
      <w:marBottom w:val="0"/>
      <w:divBdr>
        <w:top w:val="none" w:sz="0" w:space="0" w:color="auto"/>
        <w:left w:val="none" w:sz="0" w:space="0" w:color="auto"/>
        <w:bottom w:val="none" w:sz="0" w:space="0" w:color="auto"/>
        <w:right w:val="none" w:sz="0" w:space="0" w:color="auto"/>
      </w:divBdr>
    </w:div>
    <w:div w:id="770662263">
      <w:bodyDiv w:val="1"/>
      <w:marLeft w:val="0"/>
      <w:marRight w:val="0"/>
      <w:marTop w:val="0"/>
      <w:marBottom w:val="0"/>
      <w:divBdr>
        <w:top w:val="none" w:sz="0" w:space="0" w:color="auto"/>
        <w:left w:val="none" w:sz="0" w:space="0" w:color="auto"/>
        <w:bottom w:val="none" w:sz="0" w:space="0" w:color="auto"/>
        <w:right w:val="none" w:sz="0" w:space="0" w:color="auto"/>
      </w:divBdr>
    </w:div>
    <w:div w:id="787352160">
      <w:bodyDiv w:val="1"/>
      <w:marLeft w:val="0"/>
      <w:marRight w:val="0"/>
      <w:marTop w:val="0"/>
      <w:marBottom w:val="0"/>
      <w:divBdr>
        <w:top w:val="none" w:sz="0" w:space="0" w:color="auto"/>
        <w:left w:val="none" w:sz="0" w:space="0" w:color="auto"/>
        <w:bottom w:val="none" w:sz="0" w:space="0" w:color="auto"/>
        <w:right w:val="none" w:sz="0" w:space="0" w:color="auto"/>
      </w:divBdr>
      <w:divsChild>
        <w:div w:id="1488861473">
          <w:marLeft w:val="0"/>
          <w:marRight w:val="0"/>
          <w:marTop w:val="0"/>
          <w:marBottom w:val="0"/>
          <w:divBdr>
            <w:top w:val="none" w:sz="0" w:space="0" w:color="auto"/>
            <w:left w:val="none" w:sz="0" w:space="0" w:color="auto"/>
            <w:bottom w:val="none" w:sz="0" w:space="0" w:color="auto"/>
            <w:right w:val="none" w:sz="0" w:space="0" w:color="auto"/>
          </w:divBdr>
        </w:div>
        <w:div w:id="1579286947">
          <w:marLeft w:val="0"/>
          <w:marRight w:val="0"/>
          <w:marTop w:val="0"/>
          <w:marBottom w:val="0"/>
          <w:divBdr>
            <w:top w:val="none" w:sz="0" w:space="0" w:color="auto"/>
            <w:left w:val="none" w:sz="0" w:space="0" w:color="auto"/>
            <w:bottom w:val="none" w:sz="0" w:space="0" w:color="auto"/>
            <w:right w:val="none" w:sz="0" w:space="0" w:color="auto"/>
          </w:divBdr>
        </w:div>
      </w:divsChild>
    </w:div>
    <w:div w:id="793138795">
      <w:bodyDiv w:val="1"/>
      <w:marLeft w:val="0"/>
      <w:marRight w:val="0"/>
      <w:marTop w:val="0"/>
      <w:marBottom w:val="0"/>
      <w:divBdr>
        <w:top w:val="none" w:sz="0" w:space="0" w:color="auto"/>
        <w:left w:val="none" w:sz="0" w:space="0" w:color="auto"/>
        <w:bottom w:val="none" w:sz="0" w:space="0" w:color="auto"/>
        <w:right w:val="none" w:sz="0" w:space="0" w:color="auto"/>
      </w:divBdr>
      <w:divsChild>
        <w:div w:id="323775678">
          <w:marLeft w:val="0"/>
          <w:marRight w:val="0"/>
          <w:marTop w:val="0"/>
          <w:marBottom w:val="0"/>
          <w:divBdr>
            <w:top w:val="none" w:sz="0" w:space="0" w:color="auto"/>
            <w:left w:val="none" w:sz="0" w:space="0" w:color="auto"/>
            <w:bottom w:val="none" w:sz="0" w:space="0" w:color="auto"/>
            <w:right w:val="none" w:sz="0" w:space="0" w:color="auto"/>
          </w:divBdr>
        </w:div>
        <w:div w:id="1544947784">
          <w:marLeft w:val="0"/>
          <w:marRight w:val="0"/>
          <w:marTop w:val="0"/>
          <w:marBottom w:val="0"/>
          <w:divBdr>
            <w:top w:val="none" w:sz="0" w:space="0" w:color="auto"/>
            <w:left w:val="none" w:sz="0" w:space="0" w:color="auto"/>
            <w:bottom w:val="none" w:sz="0" w:space="0" w:color="auto"/>
            <w:right w:val="none" w:sz="0" w:space="0" w:color="auto"/>
          </w:divBdr>
        </w:div>
      </w:divsChild>
    </w:div>
    <w:div w:id="796870477">
      <w:bodyDiv w:val="1"/>
      <w:marLeft w:val="0"/>
      <w:marRight w:val="0"/>
      <w:marTop w:val="0"/>
      <w:marBottom w:val="0"/>
      <w:divBdr>
        <w:top w:val="none" w:sz="0" w:space="0" w:color="auto"/>
        <w:left w:val="none" w:sz="0" w:space="0" w:color="auto"/>
        <w:bottom w:val="none" w:sz="0" w:space="0" w:color="auto"/>
        <w:right w:val="none" w:sz="0" w:space="0" w:color="auto"/>
      </w:divBdr>
    </w:div>
    <w:div w:id="805975927">
      <w:bodyDiv w:val="1"/>
      <w:marLeft w:val="0"/>
      <w:marRight w:val="0"/>
      <w:marTop w:val="0"/>
      <w:marBottom w:val="0"/>
      <w:divBdr>
        <w:top w:val="none" w:sz="0" w:space="0" w:color="auto"/>
        <w:left w:val="none" w:sz="0" w:space="0" w:color="auto"/>
        <w:bottom w:val="none" w:sz="0" w:space="0" w:color="auto"/>
        <w:right w:val="none" w:sz="0" w:space="0" w:color="auto"/>
      </w:divBdr>
    </w:div>
    <w:div w:id="823744522">
      <w:bodyDiv w:val="1"/>
      <w:marLeft w:val="0"/>
      <w:marRight w:val="0"/>
      <w:marTop w:val="0"/>
      <w:marBottom w:val="0"/>
      <w:divBdr>
        <w:top w:val="none" w:sz="0" w:space="0" w:color="auto"/>
        <w:left w:val="none" w:sz="0" w:space="0" w:color="auto"/>
        <w:bottom w:val="none" w:sz="0" w:space="0" w:color="auto"/>
        <w:right w:val="none" w:sz="0" w:space="0" w:color="auto"/>
      </w:divBdr>
      <w:divsChild>
        <w:div w:id="1234924650">
          <w:marLeft w:val="0"/>
          <w:marRight w:val="0"/>
          <w:marTop w:val="120"/>
          <w:marBottom w:val="0"/>
          <w:divBdr>
            <w:top w:val="none" w:sz="0" w:space="0" w:color="auto"/>
            <w:left w:val="none" w:sz="0" w:space="0" w:color="auto"/>
            <w:bottom w:val="none" w:sz="0" w:space="0" w:color="auto"/>
            <w:right w:val="none" w:sz="0" w:space="0" w:color="auto"/>
          </w:divBdr>
        </w:div>
      </w:divsChild>
    </w:div>
    <w:div w:id="824470198">
      <w:bodyDiv w:val="1"/>
      <w:marLeft w:val="0"/>
      <w:marRight w:val="0"/>
      <w:marTop w:val="0"/>
      <w:marBottom w:val="0"/>
      <w:divBdr>
        <w:top w:val="none" w:sz="0" w:space="0" w:color="auto"/>
        <w:left w:val="none" w:sz="0" w:space="0" w:color="auto"/>
        <w:bottom w:val="none" w:sz="0" w:space="0" w:color="auto"/>
        <w:right w:val="none" w:sz="0" w:space="0" w:color="auto"/>
      </w:divBdr>
    </w:div>
    <w:div w:id="827021216">
      <w:bodyDiv w:val="1"/>
      <w:marLeft w:val="0"/>
      <w:marRight w:val="0"/>
      <w:marTop w:val="0"/>
      <w:marBottom w:val="0"/>
      <w:divBdr>
        <w:top w:val="none" w:sz="0" w:space="0" w:color="auto"/>
        <w:left w:val="none" w:sz="0" w:space="0" w:color="auto"/>
        <w:bottom w:val="none" w:sz="0" w:space="0" w:color="auto"/>
        <w:right w:val="none" w:sz="0" w:space="0" w:color="auto"/>
      </w:divBdr>
    </w:div>
    <w:div w:id="828062575">
      <w:bodyDiv w:val="1"/>
      <w:marLeft w:val="0"/>
      <w:marRight w:val="0"/>
      <w:marTop w:val="0"/>
      <w:marBottom w:val="0"/>
      <w:divBdr>
        <w:top w:val="none" w:sz="0" w:space="0" w:color="auto"/>
        <w:left w:val="none" w:sz="0" w:space="0" w:color="auto"/>
        <w:bottom w:val="none" w:sz="0" w:space="0" w:color="auto"/>
        <w:right w:val="none" w:sz="0" w:space="0" w:color="auto"/>
      </w:divBdr>
    </w:div>
    <w:div w:id="852376045">
      <w:bodyDiv w:val="1"/>
      <w:marLeft w:val="0"/>
      <w:marRight w:val="0"/>
      <w:marTop w:val="0"/>
      <w:marBottom w:val="0"/>
      <w:divBdr>
        <w:top w:val="none" w:sz="0" w:space="0" w:color="auto"/>
        <w:left w:val="none" w:sz="0" w:space="0" w:color="auto"/>
        <w:bottom w:val="none" w:sz="0" w:space="0" w:color="auto"/>
        <w:right w:val="none" w:sz="0" w:space="0" w:color="auto"/>
      </w:divBdr>
    </w:div>
    <w:div w:id="867841391">
      <w:bodyDiv w:val="1"/>
      <w:marLeft w:val="0"/>
      <w:marRight w:val="0"/>
      <w:marTop w:val="0"/>
      <w:marBottom w:val="0"/>
      <w:divBdr>
        <w:top w:val="none" w:sz="0" w:space="0" w:color="auto"/>
        <w:left w:val="none" w:sz="0" w:space="0" w:color="auto"/>
        <w:bottom w:val="none" w:sz="0" w:space="0" w:color="auto"/>
        <w:right w:val="none" w:sz="0" w:space="0" w:color="auto"/>
      </w:divBdr>
    </w:div>
    <w:div w:id="869609860">
      <w:bodyDiv w:val="1"/>
      <w:marLeft w:val="0"/>
      <w:marRight w:val="0"/>
      <w:marTop w:val="0"/>
      <w:marBottom w:val="0"/>
      <w:divBdr>
        <w:top w:val="none" w:sz="0" w:space="0" w:color="auto"/>
        <w:left w:val="none" w:sz="0" w:space="0" w:color="auto"/>
        <w:bottom w:val="none" w:sz="0" w:space="0" w:color="auto"/>
        <w:right w:val="none" w:sz="0" w:space="0" w:color="auto"/>
      </w:divBdr>
      <w:divsChild>
        <w:div w:id="934244131">
          <w:marLeft w:val="965"/>
          <w:marRight w:val="0"/>
          <w:marTop w:val="0"/>
          <w:marBottom w:val="0"/>
          <w:divBdr>
            <w:top w:val="none" w:sz="0" w:space="0" w:color="auto"/>
            <w:left w:val="none" w:sz="0" w:space="0" w:color="auto"/>
            <w:bottom w:val="none" w:sz="0" w:space="0" w:color="auto"/>
            <w:right w:val="none" w:sz="0" w:space="0" w:color="auto"/>
          </w:divBdr>
        </w:div>
      </w:divsChild>
    </w:div>
    <w:div w:id="882711670">
      <w:bodyDiv w:val="1"/>
      <w:marLeft w:val="0"/>
      <w:marRight w:val="0"/>
      <w:marTop w:val="0"/>
      <w:marBottom w:val="0"/>
      <w:divBdr>
        <w:top w:val="none" w:sz="0" w:space="0" w:color="auto"/>
        <w:left w:val="none" w:sz="0" w:space="0" w:color="auto"/>
        <w:bottom w:val="none" w:sz="0" w:space="0" w:color="auto"/>
        <w:right w:val="none" w:sz="0" w:space="0" w:color="auto"/>
      </w:divBdr>
      <w:divsChild>
        <w:div w:id="408121424">
          <w:marLeft w:val="0"/>
          <w:marRight w:val="0"/>
          <w:marTop w:val="0"/>
          <w:marBottom w:val="0"/>
          <w:divBdr>
            <w:top w:val="none" w:sz="0" w:space="0" w:color="auto"/>
            <w:left w:val="none" w:sz="0" w:space="0" w:color="auto"/>
            <w:bottom w:val="none" w:sz="0" w:space="0" w:color="auto"/>
            <w:right w:val="none" w:sz="0" w:space="0" w:color="auto"/>
          </w:divBdr>
        </w:div>
        <w:div w:id="1232354319">
          <w:marLeft w:val="0"/>
          <w:marRight w:val="0"/>
          <w:marTop w:val="0"/>
          <w:marBottom w:val="0"/>
          <w:divBdr>
            <w:top w:val="none" w:sz="0" w:space="0" w:color="auto"/>
            <w:left w:val="none" w:sz="0" w:space="0" w:color="auto"/>
            <w:bottom w:val="none" w:sz="0" w:space="0" w:color="auto"/>
            <w:right w:val="none" w:sz="0" w:space="0" w:color="auto"/>
          </w:divBdr>
        </w:div>
      </w:divsChild>
    </w:div>
    <w:div w:id="884487301">
      <w:bodyDiv w:val="1"/>
      <w:marLeft w:val="0"/>
      <w:marRight w:val="0"/>
      <w:marTop w:val="0"/>
      <w:marBottom w:val="0"/>
      <w:divBdr>
        <w:top w:val="none" w:sz="0" w:space="0" w:color="auto"/>
        <w:left w:val="none" w:sz="0" w:space="0" w:color="auto"/>
        <w:bottom w:val="none" w:sz="0" w:space="0" w:color="auto"/>
        <w:right w:val="none" w:sz="0" w:space="0" w:color="auto"/>
      </w:divBdr>
    </w:div>
    <w:div w:id="885410141">
      <w:bodyDiv w:val="1"/>
      <w:marLeft w:val="0"/>
      <w:marRight w:val="0"/>
      <w:marTop w:val="0"/>
      <w:marBottom w:val="0"/>
      <w:divBdr>
        <w:top w:val="none" w:sz="0" w:space="0" w:color="auto"/>
        <w:left w:val="none" w:sz="0" w:space="0" w:color="auto"/>
        <w:bottom w:val="none" w:sz="0" w:space="0" w:color="auto"/>
        <w:right w:val="none" w:sz="0" w:space="0" w:color="auto"/>
      </w:divBdr>
    </w:div>
    <w:div w:id="919219750">
      <w:bodyDiv w:val="1"/>
      <w:marLeft w:val="0"/>
      <w:marRight w:val="0"/>
      <w:marTop w:val="0"/>
      <w:marBottom w:val="0"/>
      <w:divBdr>
        <w:top w:val="none" w:sz="0" w:space="0" w:color="auto"/>
        <w:left w:val="none" w:sz="0" w:space="0" w:color="auto"/>
        <w:bottom w:val="none" w:sz="0" w:space="0" w:color="auto"/>
        <w:right w:val="none" w:sz="0" w:space="0" w:color="auto"/>
      </w:divBdr>
      <w:divsChild>
        <w:div w:id="1307976981">
          <w:marLeft w:val="0"/>
          <w:marRight w:val="0"/>
          <w:marTop w:val="0"/>
          <w:marBottom w:val="0"/>
          <w:divBdr>
            <w:top w:val="none" w:sz="0" w:space="0" w:color="auto"/>
            <w:left w:val="none" w:sz="0" w:space="0" w:color="auto"/>
            <w:bottom w:val="none" w:sz="0" w:space="0" w:color="auto"/>
            <w:right w:val="none" w:sz="0" w:space="0" w:color="auto"/>
          </w:divBdr>
        </w:div>
        <w:div w:id="1898394252">
          <w:marLeft w:val="0"/>
          <w:marRight w:val="0"/>
          <w:marTop w:val="0"/>
          <w:marBottom w:val="0"/>
          <w:divBdr>
            <w:top w:val="none" w:sz="0" w:space="0" w:color="auto"/>
            <w:left w:val="none" w:sz="0" w:space="0" w:color="auto"/>
            <w:bottom w:val="none" w:sz="0" w:space="0" w:color="auto"/>
            <w:right w:val="none" w:sz="0" w:space="0" w:color="auto"/>
          </w:divBdr>
        </w:div>
      </w:divsChild>
    </w:div>
    <w:div w:id="950555209">
      <w:bodyDiv w:val="1"/>
      <w:marLeft w:val="0"/>
      <w:marRight w:val="0"/>
      <w:marTop w:val="0"/>
      <w:marBottom w:val="0"/>
      <w:divBdr>
        <w:top w:val="none" w:sz="0" w:space="0" w:color="auto"/>
        <w:left w:val="none" w:sz="0" w:space="0" w:color="auto"/>
        <w:bottom w:val="none" w:sz="0" w:space="0" w:color="auto"/>
        <w:right w:val="none" w:sz="0" w:space="0" w:color="auto"/>
      </w:divBdr>
    </w:div>
    <w:div w:id="977610689">
      <w:bodyDiv w:val="1"/>
      <w:marLeft w:val="0"/>
      <w:marRight w:val="0"/>
      <w:marTop w:val="0"/>
      <w:marBottom w:val="0"/>
      <w:divBdr>
        <w:top w:val="none" w:sz="0" w:space="0" w:color="auto"/>
        <w:left w:val="none" w:sz="0" w:space="0" w:color="auto"/>
        <w:bottom w:val="none" w:sz="0" w:space="0" w:color="auto"/>
        <w:right w:val="none" w:sz="0" w:space="0" w:color="auto"/>
      </w:divBdr>
      <w:divsChild>
        <w:div w:id="10498875">
          <w:marLeft w:val="418"/>
          <w:marRight w:val="0"/>
          <w:marTop w:val="106"/>
          <w:marBottom w:val="0"/>
          <w:divBdr>
            <w:top w:val="none" w:sz="0" w:space="0" w:color="auto"/>
            <w:left w:val="none" w:sz="0" w:space="0" w:color="auto"/>
            <w:bottom w:val="none" w:sz="0" w:space="0" w:color="auto"/>
            <w:right w:val="none" w:sz="0" w:space="0" w:color="auto"/>
          </w:divBdr>
        </w:div>
        <w:div w:id="545138861">
          <w:marLeft w:val="418"/>
          <w:marRight w:val="0"/>
          <w:marTop w:val="106"/>
          <w:marBottom w:val="0"/>
          <w:divBdr>
            <w:top w:val="none" w:sz="0" w:space="0" w:color="auto"/>
            <w:left w:val="none" w:sz="0" w:space="0" w:color="auto"/>
            <w:bottom w:val="none" w:sz="0" w:space="0" w:color="auto"/>
            <w:right w:val="none" w:sz="0" w:space="0" w:color="auto"/>
          </w:divBdr>
        </w:div>
        <w:div w:id="603611272">
          <w:marLeft w:val="0"/>
          <w:marRight w:val="0"/>
          <w:marTop w:val="106"/>
          <w:marBottom w:val="0"/>
          <w:divBdr>
            <w:top w:val="none" w:sz="0" w:space="0" w:color="auto"/>
            <w:left w:val="none" w:sz="0" w:space="0" w:color="auto"/>
            <w:bottom w:val="none" w:sz="0" w:space="0" w:color="auto"/>
            <w:right w:val="none" w:sz="0" w:space="0" w:color="auto"/>
          </w:divBdr>
        </w:div>
        <w:div w:id="896822627">
          <w:marLeft w:val="418"/>
          <w:marRight w:val="0"/>
          <w:marTop w:val="106"/>
          <w:marBottom w:val="0"/>
          <w:divBdr>
            <w:top w:val="none" w:sz="0" w:space="0" w:color="auto"/>
            <w:left w:val="none" w:sz="0" w:space="0" w:color="auto"/>
            <w:bottom w:val="none" w:sz="0" w:space="0" w:color="auto"/>
            <w:right w:val="none" w:sz="0" w:space="0" w:color="auto"/>
          </w:divBdr>
        </w:div>
        <w:div w:id="1153569918">
          <w:marLeft w:val="418"/>
          <w:marRight w:val="0"/>
          <w:marTop w:val="106"/>
          <w:marBottom w:val="0"/>
          <w:divBdr>
            <w:top w:val="none" w:sz="0" w:space="0" w:color="auto"/>
            <w:left w:val="none" w:sz="0" w:space="0" w:color="auto"/>
            <w:bottom w:val="none" w:sz="0" w:space="0" w:color="auto"/>
            <w:right w:val="none" w:sz="0" w:space="0" w:color="auto"/>
          </w:divBdr>
        </w:div>
        <w:div w:id="1239941378">
          <w:marLeft w:val="418"/>
          <w:marRight w:val="0"/>
          <w:marTop w:val="106"/>
          <w:marBottom w:val="0"/>
          <w:divBdr>
            <w:top w:val="none" w:sz="0" w:space="0" w:color="auto"/>
            <w:left w:val="none" w:sz="0" w:space="0" w:color="auto"/>
            <w:bottom w:val="none" w:sz="0" w:space="0" w:color="auto"/>
            <w:right w:val="none" w:sz="0" w:space="0" w:color="auto"/>
          </w:divBdr>
        </w:div>
        <w:div w:id="1252928247">
          <w:marLeft w:val="0"/>
          <w:marRight w:val="0"/>
          <w:marTop w:val="106"/>
          <w:marBottom w:val="0"/>
          <w:divBdr>
            <w:top w:val="none" w:sz="0" w:space="0" w:color="auto"/>
            <w:left w:val="none" w:sz="0" w:space="0" w:color="auto"/>
            <w:bottom w:val="none" w:sz="0" w:space="0" w:color="auto"/>
            <w:right w:val="none" w:sz="0" w:space="0" w:color="auto"/>
          </w:divBdr>
        </w:div>
        <w:div w:id="1280645908">
          <w:marLeft w:val="0"/>
          <w:marRight w:val="0"/>
          <w:marTop w:val="106"/>
          <w:marBottom w:val="0"/>
          <w:divBdr>
            <w:top w:val="none" w:sz="0" w:space="0" w:color="auto"/>
            <w:left w:val="none" w:sz="0" w:space="0" w:color="auto"/>
            <w:bottom w:val="none" w:sz="0" w:space="0" w:color="auto"/>
            <w:right w:val="none" w:sz="0" w:space="0" w:color="auto"/>
          </w:divBdr>
        </w:div>
        <w:div w:id="1453787124">
          <w:marLeft w:val="418"/>
          <w:marRight w:val="0"/>
          <w:marTop w:val="106"/>
          <w:marBottom w:val="0"/>
          <w:divBdr>
            <w:top w:val="none" w:sz="0" w:space="0" w:color="auto"/>
            <w:left w:val="none" w:sz="0" w:space="0" w:color="auto"/>
            <w:bottom w:val="none" w:sz="0" w:space="0" w:color="auto"/>
            <w:right w:val="none" w:sz="0" w:space="0" w:color="auto"/>
          </w:divBdr>
        </w:div>
        <w:div w:id="1596591558">
          <w:marLeft w:val="0"/>
          <w:marRight w:val="0"/>
          <w:marTop w:val="106"/>
          <w:marBottom w:val="0"/>
          <w:divBdr>
            <w:top w:val="none" w:sz="0" w:space="0" w:color="auto"/>
            <w:left w:val="none" w:sz="0" w:space="0" w:color="auto"/>
            <w:bottom w:val="none" w:sz="0" w:space="0" w:color="auto"/>
            <w:right w:val="none" w:sz="0" w:space="0" w:color="auto"/>
          </w:divBdr>
        </w:div>
      </w:divsChild>
    </w:div>
    <w:div w:id="977999557">
      <w:bodyDiv w:val="1"/>
      <w:marLeft w:val="0"/>
      <w:marRight w:val="0"/>
      <w:marTop w:val="0"/>
      <w:marBottom w:val="0"/>
      <w:divBdr>
        <w:top w:val="none" w:sz="0" w:space="0" w:color="auto"/>
        <w:left w:val="none" w:sz="0" w:space="0" w:color="auto"/>
        <w:bottom w:val="none" w:sz="0" w:space="0" w:color="auto"/>
        <w:right w:val="none" w:sz="0" w:space="0" w:color="auto"/>
      </w:divBdr>
    </w:div>
    <w:div w:id="982269729">
      <w:bodyDiv w:val="1"/>
      <w:marLeft w:val="0"/>
      <w:marRight w:val="0"/>
      <w:marTop w:val="0"/>
      <w:marBottom w:val="0"/>
      <w:divBdr>
        <w:top w:val="none" w:sz="0" w:space="0" w:color="auto"/>
        <w:left w:val="none" w:sz="0" w:space="0" w:color="auto"/>
        <w:bottom w:val="none" w:sz="0" w:space="0" w:color="auto"/>
        <w:right w:val="none" w:sz="0" w:space="0" w:color="auto"/>
      </w:divBdr>
    </w:div>
    <w:div w:id="1003238957">
      <w:bodyDiv w:val="1"/>
      <w:marLeft w:val="0"/>
      <w:marRight w:val="0"/>
      <w:marTop w:val="0"/>
      <w:marBottom w:val="0"/>
      <w:divBdr>
        <w:top w:val="none" w:sz="0" w:space="0" w:color="auto"/>
        <w:left w:val="none" w:sz="0" w:space="0" w:color="auto"/>
        <w:bottom w:val="none" w:sz="0" w:space="0" w:color="auto"/>
        <w:right w:val="none" w:sz="0" w:space="0" w:color="auto"/>
      </w:divBdr>
    </w:div>
    <w:div w:id="1004435344">
      <w:bodyDiv w:val="1"/>
      <w:marLeft w:val="0"/>
      <w:marRight w:val="0"/>
      <w:marTop w:val="0"/>
      <w:marBottom w:val="0"/>
      <w:divBdr>
        <w:top w:val="none" w:sz="0" w:space="0" w:color="auto"/>
        <w:left w:val="none" w:sz="0" w:space="0" w:color="auto"/>
        <w:bottom w:val="none" w:sz="0" w:space="0" w:color="auto"/>
        <w:right w:val="none" w:sz="0" w:space="0" w:color="auto"/>
      </w:divBdr>
    </w:div>
    <w:div w:id="1008366803">
      <w:bodyDiv w:val="1"/>
      <w:marLeft w:val="0"/>
      <w:marRight w:val="0"/>
      <w:marTop w:val="0"/>
      <w:marBottom w:val="0"/>
      <w:divBdr>
        <w:top w:val="none" w:sz="0" w:space="0" w:color="auto"/>
        <w:left w:val="none" w:sz="0" w:space="0" w:color="auto"/>
        <w:bottom w:val="none" w:sz="0" w:space="0" w:color="auto"/>
        <w:right w:val="none" w:sz="0" w:space="0" w:color="auto"/>
      </w:divBdr>
    </w:div>
    <w:div w:id="1015037458">
      <w:bodyDiv w:val="1"/>
      <w:marLeft w:val="0"/>
      <w:marRight w:val="0"/>
      <w:marTop w:val="0"/>
      <w:marBottom w:val="0"/>
      <w:divBdr>
        <w:top w:val="none" w:sz="0" w:space="0" w:color="auto"/>
        <w:left w:val="none" w:sz="0" w:space="0" w:color="auto"/>
        <w:bottom w:val="none" w:sz="0" w:space="0" w:color="auto"/>
        <w:right w:val="none" w:sz="0" w:space="0" w:color="auto"/>
      </w:divBdr>
    </w:div>
    <w:div w:id="1038748153">
      <w:bodyDiv w:val="1"/>
      <w:marLeft w:val="0"/>
      <w:marRight w:val="0"/>
      <w:marTop w:val="0"/>
      <w:marBottom w:val="0"/>
      <w:divBdr>
        <w:top w:val="none" w:sz="0" w:space="0" w:color="auto"/>
        <w:left w:val="none" w:sz="0" w:space="0" w:color="auto"/>
        <w:bottom w:val="none" w:sz="0" w:space="0" w:color="auto"/>
        <w:right w:val="none" w:sz="0" w:space="0" w:color="auto"/>
      </w:divBdr>
    </w:div>
    <w:div w:id="1043136968">
      <w:bodyDiv w:val="1"/>
      <w:marLeft w:val="0"/>
      <w:marRight w:val="0"/>
      <w:marTop w:val="0"/>
      <w:marBottom w:val="0"/>
      <w:divBdr>
        <w:top w:val="none" w:sz="0" w:space="0" w:color="auto"/>
        <w:left w:val="none" w:sz="0" w:space="0" w:color="auto"/>
        <w:bottom w:val="none" w:sz="0" w:space="0" w:color="auto"/>
        <w:right w:val="none" w:sz="0" w:space="0" w:color="auto"/>
      </w:divBdr>
    </w:div>
    <w:div w:id="1046836426">
      <w:bodyDiv w:val="1"/>
      <w:marLeft w:val="0"/>
      <w:marRight w:val="0"/>
      <w:marTop w:val="0"/>
      <w:marBottom w:val="0"/>
      <w:divBdr>
        <w:top w:val="none" w:sz="0" w:space="0" w:color="auto"/>
        <w:left w:val="none" w:sz="0" w:space="0" w:color="auto"/>
        <w:bottom w:val="none" w:sz="0" w:space="0" w:color="auto"/>
        <w:right w:val="none" w:sz="0" w:space="0" w:color="auto"/>
      </w:divBdr>
    </w:div>
    <w:div w:id="1052771773">
      <w:bodyDiv w:val="1"/>
      <w:marLeft w:val="0"/>
      <w:marRight w:val="0"/>
      <w:marTop w:val="0"/>
      <w:marBottom w:val="0"/>
      <w:divBdr>
        <w:top w:val="none" w:sz="0" w:space="0" w:color="auto"/>
        <w:left w:val="none" w:sz="0" w:space="0" w:color="auto"/>
        <w:bottom w:val="none" w:sz="0" w:space="0" w:color="auto"/>
        <w:right w:val="none" w:sz="0" w:space="0" w:color="auto"/>
      </w:divBdr>
    </w:div>
    <w:div w:id="1055277727">
      <w:bodyDiv w:val="1"/>
      <w:marLeft w:val="0"/>
      <w:marRight w:val="0"/>
      <w:marTop w:val="0"/>
      <w:marBottom w:val="0"/>
      <w:divBdr>
        <w:top w:val="none" w:sz="0" w:space="0" w:color="auto"/>
        <w:left w:val="none" w:sz="0" w:space="0" w:color="auto"/>
        <w:bottom w:val="none" w:sz="0" w:space="0" w:color="auto"/>
        <w:right w:val="none" w:sz="0" w:space="0" w:color="auto"/>
      </w:divBdr>
    </w:div>
    <w:div w:id="1065908432">
      <w:bodyDiv w:val="1"/>
      <w:marLeft w:val="0"/>
      <w:marRight w:val="0"/>
      <w:marTop w:val="0"/>
      <w:marBottom w:val="0"/>
      <w:divBdr>
        <w:top w:val="none" w:sz="0" w:space="0" w:color="auto"/>
        <w:left w:val="none" w:sz="0" w:space="0" w:color="auto"/>
        <w:bottom w:val="none" w:sz="0" w:space="0" w:color="auto"/>
        <w:right w:val="none" w:sz="0" w:space="0" w:color="auto"/>
      </w:divBdr>
    </w:div>
    <w:div w:id="1109469288">
      <w:bodyDiv w:val="1"/>
      <w:marLeft w:val="0"/>
      <w:marRight w:val="0"/>
      <w:marTop w:val="0"/>
      <w:marBottom w:val="0"/>
      <w:divBdr>
        <w:top w:val="none" w:sz="0" w:space="0" w:color="auto"/>
        <w:left w:val="none" w:sz="0" w:space="0" w:color="auto"/>
        <w:bottom w:val="none" w:sz="0" w:space="0" w:color="auto"/>
        <w:right w:val="none" w:sz="0" w:space="0" w:color="auto"/>
      </w:divBdr>
    </w:div>
    <w:div w:id="1123160718">
      <w:bodyDiv w:val="1"/>
      <w:marLeft w:val="0"/>
      <w:marRight w:val="0"/>
      <w:marTop w:val="0"/>
      <w:marBottom w:val="0"/>
      <w:divBdr>
        <w:top w:val="none" w:sz="0" w:space="0" w:color="auto"/>
        <w:left w:val="none" w:sz="0" w:space="0" w:color="auto"/>
        <w:bottom w:val="none" w:sz="0" w:space="0" w:color="auto"/>
        <w:right w:val="none" w:sz="0" w:space="0" w:color="auto"/>
      </w:divBdr>
    </w:div>
    <w:div w:id="1126777528">
      <w:bodyDiv w:val="1"/>
      <w:marLeft w:val="0"/>
      <w:marRight w:val="0"/>
      <w:marTop w:val="0"/>
      <w:marBottom w:val="0"/>
      <w:divBdr>
        <w:top w:val="none" w:sz="0" w:space="0" w:color="auto"/>
        <w:left w:val="none" w:sz="0" w:space="0" w:color="auto"/>
        <w:bottom w:val="none" w:sz="0" w:space="0" w:color="auto"/>
        <w:right w:val="none" w:sz="0" w:space="0" w:color="auto"/>
      </w:divBdr>
    </w:div>
    <w:div w:id="1153060149">
      <w:bodyDiv w:val="1"/>
      <w:marLeft w:val="0"/>
      <w:marRight w:val="0"/>
      <w:marTop w:val="0"/>
      <w:marBottom w:val="0"/>
      <w:divBdr>
        <w:top w:val="none" w:sz="0" w:space="0" w:color="auto"/>
        <w:left w:val="none" w:sz="0" w:space="0" w:color="auto"/>
        <w:bottom w:val="none" w:sz="0" w:space="0" w:color="auto"/>
        <w:right w:val="none" w:sz="0" w:space="0" w:color="auto"/>
      </w:divBdr>
    </w:div>
    <w:div w:id="1166895772">
      <w:bodyDiv w:val="1"/>
      <w:marLeft w:val="0"/>
      <w:marRight w:val="0"/>
      <w:marTop w:val="0"/>
      <w:marBottom w:val="0"/>
      <w:divBdr>
        <w:top w:val="none" w:sz="0" w:space="0" w:color="auto"/>
        <w:left w:val="none" w:sz="0" w:space="0" w:color="auto"/>
        <w:bottom w:val="none" w:sz="0" w:space="0" w:color="auto"/>
        <w:right w:val="none" w:sz="0" w:space="0" w:color="auto"/>
      </w:divBdr>
    </w:div>
    <w:div w:id="1178738369">
      <w:bodyDiv w:val="1"/>
      <w:marLeft w:val="0"/>
      <w:marRight w:val="0"/>
      <w:marTop w:val="0"/>
      <w:marBottom w:val="0"/>
      <w:divBdr>
        <w:top w:val="none" w:sz="0" w:space="0" w:color="auto"/>
        <w:left w:val="none" w:sz="0" w:space="0" w:color="auto"/>
        <w:bottom w:val="none" w:sz="0" w:space="0" w:color="auto"/>
        <w:right w:val="none" w:sz="0" w:space="0" w:color="auto"/>
      </w:divBdr>
    </w:div>
    <w:div w:id="1196236410">
      <w:bodyDiv w:val="1"/>
      <w:marLeft w:val="0"/>
      <w:marRight w:val="0"/>
      <w:marTop w:val="0"/>
      <w:marBottom w:val="0"/>
      <w:divBdr>
        <w:top w:val="none" w:sz="0" w:space="0" w:color="auto"/>
        <w:left w:val="none" w:sz="0" w:space="0" w:color="auto"/>
        <w:bottom w:val="none" w:sz="0" w:space="0" w:color="auto"/>
        <w:right w:val="none" w:sz="0" w:space="0" w:color="auto"/>
      </w:divBdr>
    </w:div>
    <w:div w:id="1206524570">
      <w:bodyDiv w:val="1"/>
      <w:marLeft w:val="0"/>
      <w:marRight w:val="0"/>
      <w:marTop w:val="0"/>
      <w:marBottom w:val="0"/>
      <w:divBdr>
        <w:top w:val="none" w:sz="0" w:space="0" w:color="auto"/>
        <w:left w:val="none" w:sz="0" w:space="0" w:color="auto"/>
        <w:bottom w:val="none" w:sz="0" w:space="0" w:color="auto"/>
        <w:right w:val="none" w:sz="0" w:space="0" w:color="auto"/>
      </w:divBdr>
    </w:div>
    <w:div w:id="1208109281">
      <w:bodyDiv w:val="1"/>
      <w:marLeft w:val="0"/>
      <w:marRight w:val="0"/>
      <w:marTop w:val="0"/>
      <w:marBottom w:val="0"/>
      <w:divBdr>
        <w:top w:val="none" w:sz="0" w:space="0" w:color="auto"/>
        <w:left w:val="none" w:sz="0" w:space="0" w:color="auto"/>
        <w:bottom w:val="none" w:sz="0" w:space="0" w:color="auto"/>
        <w:right w:val="none" w:sz="0" w:space="0" w:color="auto"/>
      </w:divBdr>
    </w:div>
    <w:div w:id="1209995038">
      <w:bodyDiv w:val="1"/>
      <w:marLeft w:val="0"/>
      <w:marRight w:val="0"/>
      <w:marTop w:val="0"/>
      <w:marBottom w:val="0"/>
      <w:divBdr>
        <w:top w:val="none" w:sz="0" w:space="0" w:color="auto"/>
        <w:left w:val="none" w:sz="0" w:space="0" w:color="auto"/>
        <w:bottom w:val="none" w:sz="0" w:space="0" w:color="auto"/>
        <w:right w:val="none" w:sz="0" w:space="0" w:color="auto"/>
      </w:divBdr>
    </w:div>
    <w:div w:id="1218971890">
      <w:bodyDiv w:val="1"/>
      <w:marLeft w:val="0"/>
      <w:marRight w:val="0"/>
      <w:marTop w:val="0"/>
      <w:marBottom w:val="0"/>
      <w:divBdr>
        <w:top w:val="none" w:sz="0" w:space="0" w:color="auto"/>
        <w:left w:val="none" w:sz="0" w:space="0" w:color="auto"/>
        <w:bottom w:val="none" w:sz="0" w:space="0" w:color="auto"/>
        <w:right w:val="none" w:sz="0" w:space="0" w:color="auto"/>
      </w:divBdr>
    </w:div>
    <w:div w:id="1228419628">
      <w:bodyDiv w:val="1"/>
      <w:marLeft w:val="0"/>
      <w:marRight w:val="0"/>
      <w:marTop w:val="0"/>
      <w:marBottom w:val="0"/>
      <w:divBdr>
        <w:top w:val="none" w:sz="0" w:space="0" w:color="auto"/>
        <w:left w:val="none" w:sz="0" w:space="0" w:color="auto"/>
        <w:bottom w:val="none" w:sz="0" w:space="0" w:color="auto"/>
        <w:right w:val="none" w:sz="0" w:space="0" w:color="auto"/>
      </w:divBdr>
    </w:div>
    <w:div w:id="1230116401">
      <w:bodyDiv w:val="1"/>
      <w:marLeft w:val="0"/>
      <w:marRight w:val="0"/>
      <w:marTop w:val="0"/>
      <w:marBottom w:val="0"/>
      <w:divBdr>
        <w:top w:val="none" w:sz="0" w:space="0" w:color="auto"/>
        <w:left w:val="none" w:sz="0" w:space="0" w:color="auto"/>
        <w:bottom w:val="none" w:sz="0" w:space="0" w:color="auto"/>
        <w:right w:val="none" w:sz="0" w:space="0" w:color="auto"/>
      </w:divBdr>
    </w:div>
    <w:div w:id="1236014399">
      <w:bodyDiv w:val="1"/>
      <w:marLeft w:val="0"/>
      <w:marRight w:val="0"/>
      <w:marTop w:val="0"/>
      <w:marBottom w:val="0"/>
      <w:divBdr>
        <w:top w:val="none" w:sz="0" w:space="0" w:color="auto"/>
        <w:left w:val="none" w:sz="0" w:space="0" w:color="auto"/>
        <w:bottom w:val="none" w:sz="0" w:space="0" w:color="auto"/>
        <w:right w:val="none" w:sz="0" w:space="0" w:color="auto"/>
      </w:divBdr>
    </w:div>
    <w:div w:id="1240557987">
      <w:bodyDiv w:val="1"/>
      <w:marLeft w:val="0"/>
      <w:marRight w:val="0"/>
      <w:marTop w:val="0"/>
      <w:marBottom w:val="0"/>
      <w:divBdr>
        <w:top w:val="none" w:sz="0" w:space="0" w:color="auto"/>
        <w:left w:val="none" w:sz="0" w:space="0" w:color="auto"/>
        <w:bottom w:val="none" w:sz="0" w:space="0" w:color="auto"/>
        <w:right w:val="none" w:sz="0" w:space="0" w:color="auto"/>
      </w:divBdr>
    </w:div>
    <w:div w:id="1269582819">
      <w:bodyDiv w:val="1"/>
      <w:marLeft w:val="0"/>
      <w:marRight w:val="0"/>
      <w:marTop w:val="0"/>
      <w:marBottom w:val="0"/>
      <w:divBdr>
        <w:top w:val="none" w:sz="0" w:space="0" w:color="auto"/>
        <w:left w:val="none" w:sz="0" w:space="0" w:color="auto"/>
        <w:bottom w:val="none" w:sz="0" w:space="0" w:color="auto"/>
        <w:right w:val="none" w:sz="0" w:space="0" w:color="auto"/>
      </w:divBdr>
    </w:div>
    <w:div w:id="1289705288">
      <w:bodyDiv w:val="1"/>
      <w:marLeft w:val="0"/>
      <w:marRight w:val="0"/>
      <w:marTop w:val="0"/>
      <w:marBottom w:val="0"/>
      <w:divBdr>
        <w:top w:val="none" w:sz="0" w:space="0" w:color="auto"/>
        <w:left w:val="none" w:sz="0" w:space="0" w:color="auto"/>
        <w:bottom w:val="none" w:sz="0" w:space="0" w:color="auto"/>
        <w:right w:val="none" w:sz="0" w:space="0" w:color="auto"/>
      </w:divBdr>
    </w:div>
    <w:div w:id="1311861271">
      <w:bodyDiv w:val="1"/>
      <w:marLeft w:val="0"/>
      <w:marRight w:val="0"/>
      <w:marTop w:val="0"/>
      <w:marBottom w:val="0"/>
      <w:divBdr>
        <w:top w:val="none" w:sz="0" w:space="0" w:color="auto"/>
        <w:left w:val="none" w:sz="0" w:space="0" w:color="auto"/>
        <w:bottom w:val="none" w:sz="0" w:space="0" w:color="auto"/>
        <w:right w:val="none" w:sz="0" w:space="0" w:color="auto"/>
      </w:divBdr>
    </w:div>
    <w:div w:id="1314409005">
      <w:bodyDiv w:val="1"/>
      <w:marLeft w:val="0"/>
      <w:marRight w:val="0"/>
      <w:marTop w:val="0"/>
      <w:marBottom w:val="0"/>
      <w:divBdr>
        <w:top w:val="none" w:sz="0" w:space="0" w:color="auto"/>
        <w:left w:val="none" w:sz="0" w:space="0" w:color="auto"/>
        <w:bottom w:val="none" w:sz="0" w:space="0" w:color="auto"/>
        <w:right w:val="none" w:sz="0" w:space="0" w:color="auto"/>
      </w:divBdr>
    </w:div>
    <w:div w:id="1319650966">
      <w:bodyDiv w:val="1"/>
      <w:marLeft w:val="0"/>
      <w:marRight w:val="0"/>
      <w:marTop w:val="0"/>
      <w:marBottom w:val="0"/>
      <w:divBdr>
        <w:top w:val="none" w:sz="0" w:space="0" w:color="auto"/>
        <w:left w:val="none" w:sz="0" w:space="0" w:color="auto"/>
        <w:bottom w:val="none" w:sz="0" w:space="0" w:color="auto"/>
        <w:right w:val="none" w:sz="0" w:space="0" w:color="auto"/>
      </w:divBdr>
    </w:div>
    <w:div w:id="1319961518">
      <w:bodyDiv w:val="1"/>
      <w:marLeft w:val="0"/>
      <w:marRight w:val="0"/>
      <w:marTop w:val="0"/>
      <w:marBottom w:val="0"/>
      <w:divBdr>
        <w:top w:val="none" w:sz="0" w:space="0" w:color="auto"/>
        <w:left w:val="none" w:sz="0" w:space="0" w:color="auto"/>
        <w:bottom w:val="none" w:sz="0" w:space="0" w:color="auto"/>
        <w:right w:val="none" w:sz="0" w:space="0" w:color="auto"/>
      </w:divBdr>
    </w:div>
    <w:div w:id="1327972068">
      <w:bodyDiv w:val="1"/>
      <w:marLeft w:val="0"/>
      <w:marRight w:val="0"/>
      <w:marTop w:val="0"/>
      <w:marBottom w:val="0"/>
      <w:divBdr>
        <w:top w:val="none" w:sz="0" w:space="0" w:color="auto"/>
        <w:left w:val="none" w:sz="0" w:space="0" w:color="auto"/>
        <w:bottom w:val="none" w:sz="0" w:space="0" w:color="auto"/>
        <w:right w:val="none" w:sz="0" w:space="0" w:color="auto"/>
      </w:divBdr>
      <w:divsChild>
        <w:div w:id="37706585">
          <w:marLeft w:val="547"/>
          <w:marRight w:val="0"/>
          <w:marTop w:val="96"/>
          <w:marBottom w:val="0"/>
          <w:divBdr>
            <w:top w:val="none" w:sz="0" w:space="0" w:color="auto"/>
            <w:left w:val="none" w:sz="0" w:space="0" w:color="auto"/>
            <w:bottom w:val="none" w:sz="0" w:space="0" w:color="auto"/>
            <w:right w:val="none" w:sz="0" w:space="0" w:color="auto"/>
          </w:divBdr>
        </w:div>
        <w:div w:id="524683826">
          <w:marLeft w:val="547"/>
          <w:marRight w:val="0"/>
          <w:marTop w:val="96"/>
          <w:marBottom w:val="0"/>
          <w:divBdr>
            <w:top w:val="none" w:sz="0" w:space="0" w:color="auto"/>
            <w:left w:val="none" w:sz="0" w:space="0" w:color="auto"/>
            <w:bottom w:val="none" w:sz="0" w:space="0" w:color="auto"/>
            <w:right w:val="none" w:sz="0" w:space="0" w:color="auto"/>
          </w:divBdr>
        </w:div>
        <w:div w:id="828981909">
          <w:marLeft w:val="547"/>
          <w:marRight w:val="0"/>
          <w:marTop w:val="96"/>
          <w:marBottom w:val="0"/>
          <w:divBdr>
            <w:top w:val="none" w:sz="0" w:space="0" w:color="auto"/>
            <w:left w:val="none" w:sz="0" w:space="0" w:color="auto"/>
            <w:bottom w:val="none" w:sz="0" w:space="0" w:color="auto"/>
            <w:right w:val="none" w:sz="0" w:space="0" w:color="auto"/>
          </w:divBdr>
        </w:div>
        <w:div w:id="861087894">
          <w:marLeft w:val="547"/>
          <w:marRight w:val="0"/>
          <w:marTop w:val="96"/>
          <w:marBottom w:val="0"/>
          <w:divBdr>
            <w:top w:val="none" w:sz="0" w:space="0" w:color="auto"/>
            <w:left w:val="none" w:sz="0" w:space="0" w:color="auto"/>
            <w:bottom w:val="none" w:sz="0" w:space="0" w:color="auto"/>
            <w:right w:val="none" w:sz="0" w:space="0" w:color="auto"/>
          </w:divBdr>
        </w:div>
        <w:div w:id="929314432">
          <w:marLeft w:val="547"/>
          <w:marRight w:val="0"/>
          <w:marTop w:val="96"/>
          <w:marBottom w:val="0"/>
          <w:divBdr>
            <w:top w:val="none" w:sz="0" w:space="0" w:color="auto"/>
            <w:left w:val="none" w:sz="0" w:space="0" w:color="auto"/>
            <w:bottom w:val="none" w:sz="0" w:space="0" w:color="auto"/>
            <w:right w:val="none" w:sz="0" w:space="0" w:color="auto"/>
          </w:divBdr>
        </w:div>
        <w:div w:id="1006128788">
          <w:marLeft w:val="547"/>
          <w:marRight w:val="0"/>
          <w:marTop w:val="96"/>
          <w:marBottom w:val="0"/>
          <w:divBdr>
            <w:top w:val="none" w:sz="0" w:space="0" w:color="auto"/>
            <w:left w:val="none" w:sz="0" w:space="0" w:color="auto"/>
            <w:bottom w:val="none" w:sz="0" w:space="0" w:color="auto"/>
            <w:right w:val="none" w:sz="0" w:space="0" w:color="auto"/>
          </w:divBdr>
        </w:div>
        <w:div w:id="1217547333">
          <w:marLeft w:val="547"/>
          <w:marRight w:val="0"/>
          <w:marTop w:val="96"/>
          <w:marBottom w:val="0"/>
          <w:divBdr>
            <w:top w:val="none" w:sz="0" w:space="0" w:color="auto"/>
            <w:left w:val="none" w:sz="0" w:space="0" w:color="auto"/>
            <w:bottom w:val="none" w:sz="0" w:space="0" w:color="auto"/>
            <w:right w:val="none" w:sz="0" w:space="0" w:color="auto"/>
          </w:divBdr>
        </w:div>
        <w:div w:id="1237982559">
          <w:marLeft w:val="547"/>
          <w:marRight w:val="0"/>
          <w:marTop w:val="96"/>
          <w:marBottom w:val="0"/>
          <w:divBdr>
            <w:top w:val="none" w:sz="0" w:space="0" w:color="auto"/>
            <w:left w:val="none" w:sz="0" w:space="0" w:color="auto"/>
            <w:bottom w:val="none" w:sz="0" w:space="0" w:color="auto"/>
            <w:right w:val="none" w:sz="0" w:space="0" w:color="auto"/>
          </w:divBdr>
        </w:div>
      </w:divsChild>
    </w:div>
    <w:div w:id="1332444045">
      <w:bodyDiv w:val="1"/>
      <w:marLeft w:val="0"/>
      <w:marRight w:val="0"/>
      <w:marTop w:val="0"/>
      <w:marBottom w:val="0"/>
      <w:divBdr>
        <w:top w:val="none" w:sz="0" w:space="0" w:color="auto"/>
        <w:left w:val="none" w:sz="0" w:space="0" w:color="auto"/>
        <w:bottom w:val="none" w:sz="0" w:space="0" w:color="auto"/>
        <w:right w:val="none" w:sz="0" w:space="0" w:color="auto"/>
      </w:divBdr>
    </w:div>
    <w:div w:id="1346858535">
      <w:bodyDiv w:val="1"/>
      <w:marLeft w:val="0"/>
      <w:marRight w:val="0"/>
      <w:marTop w:val="0"/>
      <w:marBottom w:val="0"/>
      <w:divBdr>
        <w:top w:val="none" w:sz="0" w:space="0" w:color="auto"/>
        <w:left w:val="none" w:sz="0" w:space="0" w:color="auto"/>
        <w:bottom w:val="none" w:sz="0" w:space="0" w:color="auto"/>
        <w:right w:val="none" w:sz="0" w:space="0" w:color="auto"/>
      </w:divBdr>
    </w:div>
    <w:div w:id="1384985153">
      <w:bodyDiv w:val="1"/>
      <w:marLeft w:val="0"/>
      <w:marRight w:val="0"/>
      <w:marTop w:val="0"/>
      <w:marBottom w:val="0"/>
      <w:divBdr>
        <w:top w:val="none" w:sz="0" w:space="0" w:color="auto"/>
        <w:left w:val="none" w:sz="0" w:space="0" w:color="auto"/>
        <w:bottom w:val="none" w:sz="0" w:space="0" w:color="auto"/>
        <w:right w:val="none" w:sz="0" w:space="0" w:color="auto"/>
      </w:divBdr>
    </w:div>
    <w:div w:id="1398242284">
      <w:bodyDiv w:val="1"/>
      <w:marLeft w:val="0"/>
      <w:marRight w:val="0"/>
      <w:marTop w:val="0"/>
      <w:marBottom w:val="0"/>
      <w:divBdr>
        <w:top w:val="none" w:sz="0" w:space="0" w:color="auto"/>
        <w:left w:val="none" w:sz="0" w:space="0" w:color="auto"/>
        <w:bottom w:val="none" w:sz="0" w:space="0" w:color="auto"/>
        <w:right w:val="none" w:sz="0" w:space="0" w:color="auto"/>
      </w:divBdr>
    </w:div>
    <w:div w:id="1402798182">
      <w:bodyDiv w:val="1"/>
      <w:marLeft w:val="0"/>
      <w:marRight w:val="0"/>
      <w:marTop w:val="0"/>
      <w:marBottom w:val="0"/>
      <w:divBdr>
        <w:top w:val="none" w:sz="0" w:space="0" w:color="auto"/>
        <w:left w:val="none" w:sz="0" w:space="0" w:color="auto"/>
        <w:bottom w:val="none" w:sz="0" w:space="0" w:color="auto"/>
        <w:right w:val="none" w:sz="0" w:space="0" w:color="auto"/>
      </w:divBdr>
    </w:div>
    <w:div w:id="1473910026">
      <w:bodyDiv w:val="1"/>
      <w:marLeft w:val="0"/>
      <w:marRight w:val="0"/>
      <w:marTop w:val="0"/>
      <w:marBottom w:val="0"/>
      <w:divBdr>
        <w:top w:val="none" w:sz="0" w:space="0" w:color="auto"/>
        <w:left w:val="none" w:sz="0" w:space="0" w:color="auto"/>
        <w:bottom w:val="none" w:sz="0" w:space="0" w:color="auto"/>
        <w:right w:val="none" w:sz="0" w:space="0" w:color="auto"/>
      </w:divBdr>
    </w:div>
    <w:div w:id="1490439097">
      <w:bodyDiv w:val="1"/>
      <w:marLeft w:val="0"/>
      <w:marRight w:val="0"/>
      <w:marTop w:val="0"/>
      <w:marBottom w:val="0"/>
      <w:divBdr>
        <w:top w:val="none" w:sz="0" w:space="0" w:color="auto"/>
        <w:left w:val="none" w:sz="0" w:space="0" w:color="auto"/>
        <w:bottom w:val="none" w:sz="0" w:space="0" w:color="auto"/>
        <w:right w:val="none" w:sz="0" w:space="0" w:color="auto"/>
      </w:divBdr>
    </w:div>
    <w:div w:id="1504972632">
      <w:bodyDiv w:val="1"/>
      <w:marLeft w:val="0"/>
      <w:marRight w:val="0"/>
      <w:marTop w:val="0"/>
      <w:marBottom w:val="0"/>
      <w:divBdr>
        <w:top w:val="none" w:sz="0" w:space="0" w:color="auto"/>
        <w:left w:val="none" w:sz="0" w:space="0" w:color="auto"/>
        <w:bottom w:val="none" w:sz="0" w:space="0" w:color="auto"/>
        <w:right w:val="none" w:sz="0" w:space="0" w:color="auto"/>
      </w:divBdr>
    </w:div>
    <w:div w:id="1512573423">
      <w:bodyDiv w:val="1"/>
      <w:marLeft w:val="0"/>
      <w:marRight w:val="0"/>
      <w:marTop w:val="0"/>
      <w:marBottom w:val="0"/>
      <w:divBdr>
        <w:top w:val="none" w:sz="0" w:space="0" w:color="auto"/>
        <w:left w:val="none" w:sz="0" w:space="0" w:color="auto"/>
        <w:bottom w:val="none" w:sz="0" w:space="0" w:color="auto"/>
        <w:right w:val="none" w:sz="0" w:space="0" w:color="auto"/>
      </w:divBdr>
      <w:divsChild>
        <w:div w:id="503277311">
          <w:marLeft w:val="965"/>
          <w:marRight w:val="0"/>
          <w:marTop w:val="96"/>
          <w:marBottom w:val="0"/>
          <w:divBdr>
            <w:top w:val="none" w:sz="0" w:space="0" w:color="auto"/>
            <w:left w:val="none" w:sz="0" w:space="0" w:color="auto"/>
            <w:bottom w:val="none" w:sz="0" w:space="0" w:color="auto"/>
            <w:right w:val="none" w:sz="0" w:space="0" w:color="auto"/>
          </w:divBdr>
        </w:div>
      </w:divsChild>
    </w:div>
    <w:div w:id="1564757216">
      <w:bodyDiv w:val="1"/>
      <w:marLeft w:val="0"/>
      <w:marRight w:val="0"/>
      <w:marTop w:val="0"/>
      <w:marBottom w:val="0"/>
      <w:divBdr>
        <w:top w:val="none" w:sz="0" w:space="0" w:color="auto"/>
        <w:left w:val="none" w:sz="0" w:space="0" w:color="auto"/>
        <w:bottom w:val="none" w:sz="0" w:space="0" w:color="auto"/>
        <w:right w:val="none" w:sz="0" w:space="0" w:color="auto"/>
      </w:divBdr>
    </w:div>
    <w:div w:id="1566376314">
      <w:bodyDiv w:val="1"/>
      <w:marLeft w:val="0"/>
      <w:marRight w:val="0"/>
      <w:marTop w:val="0"/>
      <w:marBottom w:val="0"/>
      <w:divBdr>
        <w:top w:val="none" w:sz="0" w:space="0" w:color="auto"/>
        <w:left w:val="none" w:sz="0" w:space="0" w:color="auto"/>
        <w:bottom w:val="none" w:sz="0" w:space="0" w:color="auto"/>
        <w:right w:val="none" w:sz="0" w:space="0" w:color="auto"/>
      </w:divBdr>
    </w:div>
    <w:div w:id="1569538763">
      <w:bodyDiv w:val="1"/>
      <w:marLeft w:val="0"/>
      <w:marRight w:val="0"/>
      <w:marTop w:val="0"/>
      <w:marBottom w:val="0"/>
      <w:divBdr>
        <w:top w:val="none" w:sz="0" w:space="0" w:color="auto"/>
        <w:left w:val="none" w:sz="0" w:space="0" w:color="auto"/>
        <w:bottom w:val="none" w:sz="0" w:space="0" w:color="auto"/>
        <w:right w:val="none" w:sz="0" w:space="0" w:color="auto"/>
      </w:divBdr>
    </w:div>
    <w:div w:id="1600020629">
      <w:bodyDiv w:val="1"/>
      <w:marLeft w:val="0"/>
      <w:marRight w:val="0"/>
      <w:marTop w:val="0"/>
      <w:marBottom w:val="0"/>
      <w:divBdr>
        <w:top w:val="none" w:sz="0" w:space="0" w:color="auto"/>
        <w:left w:val="none" w:sz="0" w:space="0" w:color="auto"/>
        <w:bottom w:val="none" w:sz="0" w:space="0" w:color="auto"/>
        <w:right w:val="none" w:sz="0" w:space="0" w:color="auto"/>
      </w:divBdr>
    </w:div>
    <w:div w:id="1634024303">
      <w:bodyDiv w:val="1"/>
      <w:marLeft w:val="0"/>
      <w:marRight w:val="0"/>
      <w:marTop w:val="0"/>
      <w:marBottom w:val="0"/>
      <w:divBdr>
        <w:top w:val="none" w:sz="0" w:space="0" w:color="auto"/>
        <w:left w:val="none" w:sz="0" w:space="0" w:color="auto"/>
        <w:bottom w:val="none" w:sz="0" w:space="0" w:color="auto"/>
        <w:right w:val="none" w:sz="0" w:space="0" w:color="auto"/>
      </w:divBdr>
    </w:div>
    <w:div w:id="1672836523">
      <w:bodyDiv w:val="1"/>
      <w:marLeft w:val="0"/>
      <w:marRight w:val="0"/>
      <w:marTop w:val="0"/>
      <w:marBottom w:val="0"/>
      <w:divBdr>
        <w:top w:val="none" w:sz="0" w:space="0" w:color="auto"/>
        <w:left w:val="none" w:sz="0" w:space="0" w:color="auto"/>
        <w:bottom w:val="none" w:sz="0" w:space="0" w:color="auto"/>
        <w:right w:val="none" w:sz="0" w:space="0" w:color="auto"/>
      </w:divBdr>
    </w:div>
    <w:div w:id="1675455162">
      <w:bodyDiv w:val="1"/>
      <w:marLeft w:val="0"/>
      <w:marRight w:val="0"/>
      <w:marTop w:val="0"/>
      <w:marBottom w:val="0"/>
      <w:divBdr>
        <w:top w:val="none" w:sz="0" w:space="0" w:color="auto"/>
        <w:left w:val="none" w:sz="0" w:space="0" w:color="auto"/>
        <w:bottom w:val="none" w:sz="0" w:space="0" w:color="auto"/>
        <w:right w:val="none" w:sz="0" w:space="0" w:color="auto"/>
      </w:divBdr>
      <w:divsChild>
        <w:div w:id="1561860918">
          <w:marLeft w:val="965"/>
          <w:marRight w:val="0"/>
          <w:marTop w:val="0"/>
          <w:marBottom w:val="0"/>
          <w:divBdr>
            <w:top w:val="none" w:sz="0" w:space="0" w:color="auto"/>
            <w:left w:val="none" w:sz="0" w:space="0" w:color="auto"/>
            <w:bottom w:val="none" w:sz="0" w:space="0" w:color="auto"/>
            <w:right w:val="none" w:sz="0" w:space="0" w:color="auto"/>
          </w:divBdr>
        </w:div>
      </w:divsChild>
    </w:div>
    <w:div w:id="1684235943">
      <w:bodyDiv w:val="1"/>
      <w:marLeft w:val="0"/>
      <w:marRight w:val="0"/>
      <w:marTop w:val="0"/>
      <w:marBottom w:val="0"/>
      <w:divBdr>
        <w:top w:val="none" w:sz="0" w:space="0" w:color="auto"/>
        <w:left w:val="none" w:sz="0" w:space="0" w:color="auto"/>
        <w:bottom w:val="none" w:sz="0" w:space="0" w:color="auto"/>
        <w:right w:val="none" w:sz="0" w:space="0" w:color="auto"/>
      </w:divBdr>
    </w:div>
    <w:div w:id="1742831496">
      <w:bodyDiv w:val="1"/>
      <w:marLeft w:val="0"/>
      <w:marRight w:val="0"/>
      <w:marTop w:val="0"/>
      <w:marBottom w:val="0"/>
      <w:divBdr>
        <w:top w:val="none" w:sz="0" w:space="0" w:color="auto"/>
        <w:left w:val="none" w:sz="0" w:space="0" w:color="auto"/>
        <w:bottom w:val="none" w:sz="0" w:space="0" w:color="auto"/>
        <w:right w:val="none" w:sz="0" w:space="0" w:color="auto"/>
      </w:divBdr>
    </w:div>
    <w:div w:id="1761022894">
      <w:bodyDiv w:val="1"/>
      <w:marLeft w:val="0"/>
      <w:marRight w:val="0"/>
      <w:marTop w:val="0"/>
      <w:marBottom w:val="0"/>
      <w:divBdr>
        <w:top w:val="none" w:sz="0" w:space="0" w:color="auto"/>
        <w:left w:val="none" w:sz="0" w:space="0" w:color="auto"/>
        <w:bottom w:val="none" w:sz="0" w:space="0" w:color="auto"/>
        <w:right w:val="none" w:sz="0" w:space="0" w:color="auto"/>
      </w:divBdr>
    </w:div>
    <w:div w:id="1778332880">
      <w:bodyDiv w:val="1"/>
      <w:marLeft w:val="0"/>
      <w:marRight w:val="0"/>
      <w:marTop w:val="0"/>
      <w:marBottom w:val="0"/>
      <w:divBdr>
        <w:top w:val="none" w:sz="0" w:space="0" w:color="auto"/>
        <w:left w:val="none" w:sz="0" w:space="0" w:color="auto"/>
        <w:bottom w:val="none" w:sz="0" w:space="0" w:color="auto"/>
        <w:right w:val="none" w:sz="0" w:space="0" w:color="auto"/>
      </w:divBdr>
    </w:div>
    <w:div w:id="1779107005">
      <w:bodyDiv w:val="1"/>
      <w:marLeft w:val="0"/>
      <w:marRight w:val="0"/>
      <w:marTop w:val="0"/>
      <w:marBottom w:val="0"/>
      <w:divBdr>
        <w:top w:val="none" w:sz="0" w:space="0" w:color="auto"/>
        <w:left w:val="none" w:sz="0" w:space="0" w:color="auto"/>
        <w:bottom w:val="none" w:sz="0" w:space="0" w:color="auto"/>
        <w:right w:val="none" w:sz="0" w:space="0" w:color="auto"/>
      </w:divBdr>
    </w:div>
    <w:div w:id="1782844439">
      <w:bodyDiv w:val="1"/>
      <w:marLeft w:val="0"/>
      <w:marRight w:val="0"/>
      <w:marTop w:val="0"/>
      <w:marBottom w:val="0"/>
      <w:divBdr>
        <w:top w:val="none" w:sz="0" w:space="0" w:color="auto"/>
        <w:left w:val="none" w:sz="0" w:space="0" w:color="auto"/>
        <w:bottom w:val="none" w:sz="0" w:space="0" w:color="auto"/>
        <w:right w:val="none" w:sz="0" w:space="0" w:color="auto"/>
      </w:divBdr>
    </w:div>
    <w:div w:id="1795518583">
      <w:bodyDiv w:val="1"/>
      <w:marLeft w:val="0"/>
      <w:marRight w:val="0"/>
      <w:marTop w:val="0"/>
      <w:marBottom w:val="0"/>
      <w:divBdr>
        <w:top w:val="none" w:sz="0" w:space="0" w:color="auto"/>
        <w:left w:val="none" w:sz="0" w:space="0" w:color="auto"/>
        <w:bottom w:val="none" w:sz="0" w:space="0" w:color="auto"/>
        <w:right w:val="none" w:sz="0" w:space="0" w:color="auto"/>
      </w:divBdr>
    </w:div>
    <w:div w:id="1848788118">
      <w:bodyDiv w:val="1"/>
      <w:marLeft w:val="0"/>
      <w:marRight w:val="0"/>
      <w:marTop w:val="0"/>
      <w:marBottom w:val="0"/>
      <w:divBdr>
        <w:top w:val="none" w:sz="0" w:space="0" w:color="auto"/>
        <w:left w:val="none" w:sz="0" w:space="0" w:color="auto"/>
        <w:bottom w:val="none" w:sz="0" w:space="0" w:color="auto"/>
        <w:right w:val="none" w:sz="0" w:space="0" w:color="auto"/>
      </w:divBdr>
    </w:div>
    <w:div w:id="1851751429">
      <w:bodyDiv w:val="1"/>
      <w:marLeft w:val="0"/>
      <w:marRight w:val="0"/>
      <w:marTop w:val="0"/>
      <w:marBottom w:val="0"/>
      <w:divBdr>
        <w:top w:val="none" w:sz="0" w:space="0" w:color="auto"/>
        <w:left w:val="none" w:sz="0" w:space="0" w:color="auto"/>
        <w:bottom w:val="none" w:sz="0" w:space="0" w:color="auto"/>
        <w:right w:val="none" w:sz="0" w:space="0" w:color="auto"/>
      </w:divBdr>
    </w:div>
    <w:div w:id="1858225350">
      <w:bodyDiv w:val="1"/>
      <w:marLeft w:val="0"/>
      <w:marRight w:val="0"/>
      <w:marTop w:val="0"/>
      <w:marBottom w:val="0"/>
      <w:divBdr>
        <w:top w:val="none" w:sz="0" w:space="0" w:color="auto"/>
        <w:left w:val="none" w:sz="0" w:space="0" w:color="auto"/>
        <w:bottom w:val="none" w:sz="0" w:space="0" w:color="auto"/>
        <w:right w:val="none" w:sz="0" w:space="0" w:color="auto"/>
      </w:divBdr>
    </w:div>
    <w:div w:id="1859388824">
      <w:bodyDiv w:val="1"/>
      <w:marLeft w:val="0"/>
      <w:marRight w:val="0"/>
      <w:marTop w:val="0"/>
      <w:marBottom w:val="0"/>
      <w:divBdr>
        <w:top w:val="none" w:sz="0" w:space="0" w:color="auto"/>
        <w:left w:val="none" w:sz="0" w:space="0" w:color="auto"/>
        <w:bottom w:val="none" w:sz="0" w:space="0" w:color="auto"/>
        <w:right w:val="none" w:sz="0" w:space="0" w:color="auto"/>
      </w:divBdr>
    </w:div>
    <w:div w:id="1863936725">
      <w:bodyDiv w:val="1"/>
      <w:marLeft w:val="0"/>
      <w:marRight w:val="0"/>
      <w:marTop w:val="0"/>
      <w:marBottom w:val="0"/>
      <w:divBdr>
        <w:top w:val="none" w:sz="0" w:space="0" w:color="auto"/>
        <w:left w:val="none" w:sz="0" w:space="0" w:color="auto"/>
        <w:bottom w:val="none" w:sz="0" w:space="0" w:color="auto"/>
        <w:right w:val="none" w:sz="0" w:space="0" w:color="auto"/>
      </w:divBdr>
    </w:div>
    <w:div w:id="1880433109">
      <w:bodyDiv w:val="1"/>
      <w:marLeft w:val="0"/>
      <w:marRight w:val="0"/>
      <w:marTop w:val="0"/>
      <w:marBottom w:val="0"/>
      <w:divBdr>
        <w:top w:val="none" w:sz="0" w:space="0" w:color="auto"/>
        <w:left w:val="none" w:sz="0" w:space="0" w:color="auto"/>
        <w:bottom w:val="none" w:sz="0" w:space="0" w:color="auto"/>
        <w:right w:val="none" w:sz="0" w:space="0" w:color="auto"/>
      </w:divBdr>
    </w:div>
    <w:div w:id="1883204274">
      <w:bodyDiv w:val="1"/>
      <w:marLeft w:val="0"/>
      <w:marRight w:val="0"/>
      <w:marTop w:val="0"/>
      <w:marBottom w:val="0"/>
      <w:divBdr>
        <w:top w:val="none" w:sz="0" w:space="0" w:color="auto"/>
        <w:left w:val="none" w:sz="0" w:space="0" w:color="auto"/>
        <w:bottom w:val="none" w:sz="0" w:space="0" w:color="auto"/>
        <w:right w:val="none" w:sz="0" w:space="0" w:color="auto"/>
      </w:divBdr>
    </w:div>
    <w:div w:id="1886522402">
      <w:bodyDiv w:val="1"/>
      <w:marLeft w:val="0"/>
      <w:marRight w:val="0"/>
      <w:marTop w:val="0"/>
      <w:marBottom w:val="0"/>
      <w:divBdr>
        <w:top w:val="none" w:sz="0" w:space="0" w:color="auto"/>
        <w:left w:val="none" w:sz="0" w:space="0" w:color="auto"/>
        <w:bottom w:val="none" w:sz="0" w:space="0" w:color="auto"/>
        <w:right w:val="none" w:sz="0" w:space="0" w:color="auto"/>
      </w:divBdr>
    </w:div>
    <w:div w:id="1893493321">
      <w:bodyDiv w:val="1"/>
      <w:marLeft w:val="0"/>
      <w:marRight w:val="0"/>
      <w:marTop w:val="0"/>
      <w:marBottom w:val="0"/>
      <w:divBdr>
        <w:top w:val="none" w:sz="0" w:space="0" w:color="auto"/>
        <w:left w:val="none" w:sz="0" w:space="0" w:color="auto"/>
        <w:bottom w:val="none" w:sz="0" w:space="0" w:color="auto"/>
        <w:right w:val="none" w:sz="0" w:space="0" w:color="auto"/>
      </w:divBdr>
    </w:div>
    <w:div w:id="1917588910">
      <w:bodyDiv w:val="1"/>
      <w:marLeft w:val="0"/>
      <w:marRight w:val="0"/>
      <w:marTop w:val="0"/>
      <w:marBottom w:val="0"/>
      <w:divBdr>
        <w:top w:val="none" w:sz="0" w:space="0" w:color="auto"/>
        <w:left w:val="none" w:sz="0" w:space="0" w:color="auto"/>
        <w:bottom w:val="none" w:sz="0" w:space="0" w:color="auto"/>
        <w:right w:val="none" w:sz="0" w:space="0" w:color="auto"/>
      </w:divBdr>
    </w:div>
    <w:div w:id="1939485605">
      <w:bodyDiv w:val="1"/>
      <w:marLeft w:val="0"/>
      <w:marRight w:val="0"/>
      <w:marTop w:val="0"/>
      <w:marBottom w:val="0"/>
      <w:divBdr>
        <w:top w:val="none" w:sz="0" w:space="0" w:color="auto"/>
        <w:left w:val="none" w:sz="0" w:space="0" w:color="auto"/>
        <w:bottom w:val="none" w:sz="0" w:space="0" w:color="auto"/>
        <w:right w:val="none" w:sz="0" w:space="0" w:color="auto"/>
      </w:divBdr>
    </w:div>
    <w:div w:id="1958294415">
      <w:bodyDiv w:val="1"/>
      <w:marLeft w:val="0"/>
      <w:marRight w:val="0"/>
      <w:marTop w:val="0"/>
      <w:marBottom w:val="0"/>
      <w:divBdr>
        <w:top w:val="none" w:sz="0" w:space="0" w:color="auto"/>
        <w:left w:val="none" w:sz="0" w:space="0" w:color="auto"/>
        <w:bottom w:val="none" w:sz="0" w:space="0" w:color="auto"/>
        <w:right w:val="none" w:sz="0" w:space="0" w:color="auto"/>
      </w:divBdr>
    </w:div>
    <w:div w:id="1971013947">
      <w:bodyDiv w:val="1"/>
      <w:marLeft w:val="0"/>
      <w:marRight w:val="0"/>
      <w:marTop w:val="0"/>
      <w:marBottom w:val="0"/>
      <w:divBdr>
        <w:top w:val="none" w:sz="0" w:space="0" w:color="auto"/>
        <w:left w:val="none" w:sz="0" w:space="0" w:color="auto"/>
        <w:bottom w:val="none" w:sz="0" w:space="0" w:color="auto"/>
        <w:right w:val="none" w:sz="0" w:space="0" w:color="auto"/>
      </w:divBdr>
    </w:div>
    <w:div w:id="1977444537">
      <w:bodyDiv w:val="1"/>
      <w:marLeft w:val="0"/>
      <w:marRight w:val="0"/>
      <w:marTop w:val="0"/>
      <w:marBottom w:val="0"/>
      <w:divBdr>
        <w:top w:val="none" w:sz="0" w:space="0" w:color="auto"/>
        <w:left w:val="none" w:sz="0" w:space="0" w:color="auto"/>
        <w:bottom w:val="none" w:sz="0" w:space="0" w:color="auto"/>
        <w:right w:val="none" w:sz="0" w:space="0" w:color="auto"/>
      </w:divBdr>
    </w:div>
    <w:div w:id="2016759138">
      <w:bodyDiv w:val="1"/>
      <w:marLeft w:val="0"/>
      <w:marRight w:val="0"/>
      <w:marTop w:val="0"/>
      <w:marBottom w:val="0"/>
      <w:divBdr>
        <w:top w:val="none" w:sz="0" w:space="0" w:color="auto"/>
        <w:left w:val="none" w:sz="0" w:space="0" w:color="auto"/>
        <w:bottom w:val="none" w:sz="0" w:space="0" w:color="auto"/>
        <w:right w:val="none" w:sz="0" w:space="0" w:color="auto"/>
      </w:divBdr>
    </w:div>
    <w:div w:id="2021657171">
      <w:bodyDiv w:val="1"/>
      <w:marLeft w:val="0"/>
      <w:marRight w:val="0"/>
      <w:marTop w:val="0"/>
      <w:marBottom w:val="0"/>
      <w:divBdr>
        <w:top w:val="none" w:sz="0" w:space="0" w:color="auto"/>
        <w:left w:val="none" w:sz="0" w:space="0" w:color="auto"/>
        <w:bottom w:val="none" w:sz="0" w:space="0" w:color="auto"/>
        <w:right w:val="none" w:sz="0" w:space="0" w:color="auto"/>
      </w:divBdr>
    </w:div>
    <w:div w:id="2023824487">
      <w:bodyDiv w:val="1"/>
      <w:marLeft w:val="0"/>
      <w:marRight w:val="0"/>
      <w:marTop w:val="0"/>
      <w:marBottom w:val="0"/>
      <w:divBdr>
        <w:top w:val="none" w:sz="0" w:space="0" w:color="auto"/>
        <w:left w:val="none" w:sz="0" w:space="0" w:color="auto"/>
        <w:bottom w:val="none" w:sz="0" w:space="0" w:color="auto"/>
        <w:right w:val="none" w:sz="0" w:space="0" w:color="auto"/>
      </w:divBdr>
    </w:div>
    <w:div w:id="2037660694">
      <w:bodyDiv w:val="1"/>
      <w:marLeft w:val="0"/>
      <w:marRight w:val="0"/>
      <w:marTop w:val="0"/>
      <w:marBottom w:val="0"/>
      <w:divBdr>
        <w:top w:val="none" w:sz="0" w:space="0" w:color="auto"/>
        <w:left w:val="none" w:sz="0" w:space="0" w:color="auto"/>
        <w:bottom w:val="none" w:sz="0" w:space="0" w:color="auto"/>
        <w:right w:val="none" w:sz="0" w:space="0" w:color="auto"/>
      </w:divBdr>
    </w:div>
    <w:div w:id="2050757433">
      <w:bodyDiv w:val="1"/>
      <w:marLeft w:val="0"/>
      <w:marRight w:val="0"/>
      <w:marTop w:val="0"/>
      <w:marBottom w:val="0"/>
      <w:divBdr>
        <w:top w:val="none" w:sz="0" w:space="0" w:color="auto"/>
        <w:left w:val="none" w:sz="0" w:space="0" w:color="auto"/>
        <w:bottom w:val="none" w:sz="0" w:space="0" w:color="auto"/>
        <w:right w:val="none" w:sz="0" w:space="0" w:color="auto"/>
      </w:divBdr>
    </w:div>
    <w:div w:id="2070764592">
      <w:bodyDiv w:val="1"/>
      <w:marLeft w:val="0"/>
      <w:marRight w:val="0"/>
      <w:marTop w:val="0"/>
      <w:marBottom w:val="0"/>
      <w:divBdr>
        <w:top w:val="none" w:sz="0" w:space="0" w:color="auto"/>
        <w:left w:val="none" w:sz="0" w:space="0" w:color="auto"/>
        <w:bottom w:val="none" w:sz="0" w:space="0" w:color="auto"/>
        <w:right w:val="none" w:sz="0" w:space="0" w:color="auto"/>
      </w:divBdr>
    </w:div>
    <w:div w:id="2074547990">
      <w:bodyDiv w:val="1"/>
      <w:marLeft w:val="0"/>
      <w:marRight w:val="0"/>
      <w:marTop w:val="0"/>
      <w:marBottom w:val="0"/>
      <w:divBdr>
        <w:top w:val="none" w:sz="0" w:space="0" w:color="auto"/>
        <w:left w:val="none" w:sz="0" w:space="0" w:color="auto"/>
        <w:bottom w:val="none" w:sz="0" w:space="0" w:color="auto"/>
        <w:right w:val="none" w:sz="0" w:space="0" w:color="auto"/>
      </w:divBdr>
    </w:div>
    <w:div w:id="2075007546">
      <w:bodyDiv w:val="1"/>
      <w:marLeft w:val="0"/>
      <w:marRight w:val="0"/>
      <w:marTop w:val="0"/>
      <w:marBottom w:val="0"/>
      <w:divBdr>
        <w:top w:val="none" w:sz="0" w:space="0" w:color="auto"/>
        <w:left w:val="none" w:sz="0" w:space="0" w:color="auto"/>
        <w:bottom w:val="none" w:sz="0" w:space="0" w:color="auto"/>
        <w:right w:val="none" w:sz="0" w:space="0" w:color="auto"/>
      </w:divBdr>
    </w:div>
    <w:div w:id="2080596093">
      <w:bodyDiv w:val="1"/>
      <w:marLeft w:val="0"/>
      <w:marRight w:val="0"/>
      <w:marTop w:val="0"/>
      <w:marBottom w:val="0"/>
      <w:divBdr>
        <w:top w:val="none" w:sz="0" w:space="0" w:color="auto"/>
        <w:left w:val="none" w:sz="0" w:space="0" w:color="auto"/>
        <w:bottom w:val="none" w:sz="0" w:space="0" w:color="auto"/>
        <w:right w:val="none" w:sz="0" w:space="0" w:color="auto"/>
      </w:divBdr>
    </w:div>
    <w:div w:id="2084595520">
      <w:bodyDiv w:val="1"/>
      <w:marLeft w:val="0"/>
      <w:marRight w:val="0"/>
      <w:marTop w:val="0"/>
      <w:marBottom w:val="0"/>
      <w:divBdr>
        <w:top w:val="none" w:sz="0" w:space="0" w:color="auto"/>
        <w:left w:val="none" w:sz="0" w:space="0" w:color="auto"/>
        <w:bottom w:val="none" w:sz="0" w:space="0" w:color="auto"/>
        <w:right w:val="none" w:sz="0" w:space="0" w:color="auto"/>
      </w:divBdr>
    </w:div>
    <w:div w:id="211655929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tif"/><Relationship Id="rId13" Type="http://schemas.openxmlformats.org/officeDocument/2006/relationships/hyperlink" Target="https://www.zakonyprolidi.cz/cs/2021-283" TargetMode="External"/><Relationship Id="rId18" Type="http://schemas.openxmlformats.org/officeDocument/2006/relationships/image" Target="media/image7.jpeg"/><Relationship Id="rId26" Type="http://schemas.openxmlformats.org/officeDocument/2006/relationships/image" Target="media/image15.jpeg"/><Relationship Id="rId3" Type="http://schemas.openxmlformats.org/officeDocument/2006/relationships/styles" Target="styles.xml"/><Relationship Id="rId21" Type="http://schemas.openxmlformats.org/officeDocument/2006/relationships/image" Target="media/image10.jpeg"/><Relationship Id="rId7" Type="http://schemas.openxmlformats.org/officeDocument/2006/relationships/endnotes" Target="endnotes.xml"/><Relationship Id="rId12" Type="http://schemas.openxmlformats.org/officeDocument/2006/relationships/image" Target="media/image2.jpeg"/><Relationship Id="rId17" Type="http://schemas.openxmlformats.org/officeDocument/2006/relationships/image" Target="media/image6.jpeg"/><Relationship Id="rId25" Type="http://schemas.openxmlformats.org/officeDocument/2006/relationships/image" Target="media/image14.jpeg"/><Relationship Id="rId2" Type="http://schemas.openxmlformats.org/officeDocument/2006/relationships/numbering" Target="numbering.xml"/><Relationship Id="rId16" Type="http://schemas.openxmlformats.org/officeDocument/2006/relationships/image" Target="media/image5.jpeg"/><Relationship Id="rId20" Type="http://schemas.openxmlformats.org/officeDocument/2006/relationships/image" Target="media/image9.jpeg"/><Relationship Id="rId29" Type="http://schemas.openxmlformats.org/officeDocument/2006/relationships/header" Target="header5.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3.xml"/><Relationship Id="rId24" Type="http://schemas.openxmlformats.org/officeDocument/2006/relationships/image" Target="media/image13.jpeg"/><Relationship Id="rId5" Type="http://schemas.openxmlformats.org/officeDocument/2006/relationships/webSettings" Target="webSettings.xml"/><Relationship Id="rId15" Type="http://schemas.openxmlformats.org/officeDocument/2006/relationships/image" Target="media/image4.jpeg"/><Relationship Id="rId23" Type="http://schemas.openxmlformats.org/officeDocument/2006/relationships/image" Target="media/image12.jpeg"/><Relationship Id="rId28" Type="http://schemas.openxmlformats.org/officeDocument/2006/relationships/header" Target="header4.xml"/><Relationship Id="rId10" Type="http://schemas.openxmlformats.org/officeDocument/2006/relationships/header" Target="header2.xml"/><Relationship Id="rId19" Type="http://schemas.openxmlformats.org/officeDocument/2006/relationships/image" Target="media/image8.jpeg"/><Relationship Id="rId3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image" Target="media/image3.jpg"/><Relationship Id="rId22" Type="http://schemas.openxmlformats.org/officeDocument/2006/relationships/image" Target="media/image11.jpeg"/><Relationship Id="rId27" Type="http://schemas.openxmlformats.org/officeDocument/2006/relationships/hyperlink" Target="https://www.olkraj.cz/zasady-uzemniho-rozvoje-olomouckeho-kraje-uplne-zneni-po-aktualizaci-c-5-cl-5767.html" TargetMode="External"/><Relationship Id="rId30" Type="http://schemas.openxmlformats.org/officeDocument/2006/relationships/fontTable" Target="fontTable.xml"/></Relationships>
</file>

<file path=word/theme/theme1.xml><?xml version="1.0" encoding="utf-8"?>
<a:theme xmlns:a="http://schemas.openxmlformats.org/drawingml/2006/main" name="Motiv sady Office">
  <a:themeElements>
    <a:clrScheme name="Kancelář">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celář">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Kancelář">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GB.XSL" StyleName="GB7714"/>
</file>

<file path=customXml/itemProps1.xml><?xml version="1.0" encoding="utf-8"?>
<ds:datastoreItem xmlns:ds="http://schemas.openxmlformats.org/officeDocument/2006/customXml" ds:itemID="{44B2D3AA-D369-47F6-9F25-46D54E53547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9999</TotalTime>
  <Pages>117</Pages>
  <Words>54767</Words>
  <Characters>323131</Characters>
  <Application>Microsoft Office Word</Application>
  <DocSecurity>0</DocSecurity>
  <Lines>2692</Lines>
  <Paragraphs>754</Paragraphs>
  <ScaleCrop>false</ScaleCrop>
  <HeadingPairs>
    <vt:vector size="4" baseType="variant">
      <vt:variant>
        <vt:lpstr>Název</vt:lpstr>
      </vt:variant>
      <vt:variant>
        <vt:i4>1</vt:i4>
      </vt:variant>
      <vt:variant>
        <vt:lpstr>Názov</vt:lpstr>
      </vt:variant>
      <vt:variant>
        <vt:i4>1</vt:i4>
      </vt:variant>
    </vt:vector>
  </HeadingPairs>
  <TitlesOfParts>
    <vt:vector size="2" baseType="lpstr">
      <vt:lpstr>Plzeň - vnitřní město</vt:lpstr>
      <vt:lpstr>Plzeň - vnitřní město</vt:lpstr>
    </vt:vector>
  </TitlesOfParts>
  <Company/>
  <LinksUpToDate>false</LinksUpToDate>
  <CharactersWithSpaces>377144</CharactersWithSpaces>
  <SharedDoc>false</SharedDoc>
  <HLinks>
    <vt:vector size="444" baseType="variant">
      <vt:variant>
        <vt:i4>2949166</vt:i4>
      </vt:variant>
      <vt:variant>
        <vt:i4>465</vt:i4>
      </vt:variant>
      <vt:variant>
        <vt:i4>0</vt:i4>
      </vt:variant>
      <vt:variant>
        <vt:i4>5</vt:i4>
      </vt:variant>
      <vt:variant>
        <vt:lpwstr>http://knihovna.nelahozeves.cz/katalog/</vt:lpwstr>
      </vt:variant>
      <vt:variant>
        <vt:lpwstr/>
      </vt:variant>
      <vt:variant>
        <vt:i4>1376271</vt:i4>
      </vt:variant>
      <vt:variant>
        <vt:i4>462</vt:i4>
      </vt:variant>
      <vt:variant>
        <vt:i4>0</vt:i4>
      </vt:variant>
      <vt:variant>
        <vt:i4>5</vt:i4>
      </vt:variant>
      <vt:variant>
        <vt:lpwstr>http://www.nelahozeves.info/centrum-volnocasovych-aktivit</vt:lpwstr>
      </vt:variant>
      <vt:variant>
        <vt:lpwstr/>
      </vt:variant>
      <vt:variant>
        <vt:i4>7733350</vt:i4>
      </vt:variant>
      <vt:variant>
        <vt:i4>459</vt:i4>
      </vt:variant>
      <vt:variant>
        <vt:i4>0</vt:i4>
      </vt:variant>
      <vt:variant>
        <vt:i4>5</vt:i4>
      </vt:variant>
      <vt:variant>
        <vt:lpwstr>http://www.nelahozeves.info/zakladni-skola-nelahozeves</vt:lpwstr>
      </vt:variant>
      <vt:variant>
        <vt:lpwstr/>
      </vt:variant>
      <vt:variant>
        <vt:i4>6225931</vt:i4>
      </vt:variant>
      <vt:variant>
        <vt:i4>420</vt:i4>
      </vt:variant>
      <vt:variant>
        <vt:i4>0</vt:i4>
      </vt:variant>
      <vt:variant>
        <vt:i4>5</vt:i4>
      </vt:variant>
      <vt:variant>
        <vt:lpwstr>javascript:OrderBy('', 'typ asc')</vt:lpwstr>
      </vt:variant>
      <vt:variant>
        <vt:lpwstr/>
      </vt:variant>
      <vt:variant>
        <vt:i4>262224</vt:i4>
      </vt:variant>
      <vt:variant>
        <vt:i4>417</vt:i4>
      </vt:variant>
      <vt:variant>
        <vt:i4>0</vt:i4>
      </vt:variant>
      <vt:variant>
        <vt:i4>5</vt:i4>
      </vt:variant>
      <vt:variant>
        <vt:lpwstr>javascript:OrderBy('', 'nazlok desc')</vt:lpwstr>
      </vt:variant>
      <vt:variant>
        <vt:lpwstr/>
      </vt:variant>
      <vt:variant>
        <vt:i4>3145791</vt:i4>
      </vt:variant>
      <vt:variant>
        <vt:i4>414</vt:i4>
      </vt:variant>
      <vt:variant>
        <vt:i4>0</vt:i4>
      </vt:variant>
      <vt:variant>
        <vt:i4>5</vt:i4>
      </vt:variant>
      <vt:variant>
        <vt:lpwstr>javascript:OrderBy('', 'porcsas desc')</vt:lpwstr>
      </vt:variant>
      <vt:variant>
        <vt:lpwstr/>
      </vt:variant>
      <vt:variant>
        <vt:i4>6225931</vt:i4>
      </vt:variant>
      <vt:variant>
        <vt:i4>411</vt:i4>
      </vt:variant>
      <vt:variant>
        <vt:i4>0</vt:i4>
      </vt:variant>
      <vt:variant>
        <vt:i4>5</vt:i4>
      </vt:variant>
      <vt:variant>
        <vt:lpwstr>javascript:OrderBy('', 'typ asc')</vt:lpwstr>
      </vt:variant>
      <vt:variant>
        <vt:lpwstr/>
      </vt:variant>
      <vt:variant>
        <vt:i4>262224</vt:i4>
      </vt:variant>
      <vt:variant>
        <vt:i4>408</vt:i4>
      </vt:variant>
      <vt:variant>
        <vt:i4>0</vt:i4>
      </vt:variant>
      <vt:variant>
        <vt:i4>5</vt:i4>
      </vt:variant>
      <vt:variant>
        <vt:lpwstr>javascript:OrderBy('', 'nazlok desc')</vt:lpwstr>
      </vt:variant>
      <vt:variant>
        <vt:lpwstr/>
      </vt:variant>
      <vt:variant>
        <vt:i4>3145791</vt:i4>
      </vt:variant>
      <vt:variant>
        <vt:i4>405</vt:i4>
      </vt:variant>
      <vt:variant>
        <vt:i4>0</vt:i4>
      </vt:variant>
      <vt:variant>
        <vt:i4>5</vt:i4>
      </vt:variant>
      <vt:variant>
        <vt:lpwstr>javascript:OrderBy('', 'porcsas desc')</vt:lpwstr>
      </vt:variant>
      <vt:variant>
        <vt:lpwstr/>
      </vt:variant>
      <vt:variant>
        <vt:i4>4063357</vt:i4>
      </vt:variant>
      <vt:variant>
        <vt:i4>402</vt:i4>
      </vt:variant>
      <vt:variant>
        <vt:i4>0</vt:i4>
      </vt:variant>
      <vt:variant>
        <vt:i4>5</vt:i4>
      </vt:variant>
      <vt:variant>
        <vt:lpwstr>http://cs.wikipedia.org/wiki/Giovanni_Battista_Alliprandi</vt:lpwstr>
      </vt:variant>
      <vt:variant>
        <vt:lpwstr/>
      </vt:variant>
      <vt:variant>
        <vt:i4>1835060</vt:i4>
      </vt:variant>
      <vt:variant>
        <vt:i4>380</vt:i4>
      </vt:variant>
      <vt:variant>
        <vt:i4>0</vt:i4>
      </vt:variant>
      <vt:variant>
        <vt:i4>5</vt:i4>
      </vt:variant>
      <vt:variant>
        <vt:lpwstr/>
      </vt:variant>
      <vt:variant>
        <vt:lpwstr>_Toc382162302</vt:lpwstr>
      </vt:variant>
      <vt:variant>
        <vt:i4>1835060</vt:i4>
      </vt:variant>
      <vt:variant>
        <vt:i4>374</vt:i4>
      </vt:variant>
      <vt:variant>
        <vt:i4>0</vt:i4>
      </vt:variant>
      <vt:variant>
        <vt:i4>5</vt:i4>
      </vt:variant>
      <vt:variant>
        <vt:lpwstr/>
      </vt:variant>
      <vt:variant>
        <vt:lpwstr>_Toc382162301</vt:lpwstr>
      </vt:variant>
      <vt:variant>
        <vt:i4>1835060</vt:i4>
      </vt:variant>
      <vt:variant>
        <vt:i4>368</vt:i4>
      </vt:variant>
      <vt:variant>
        <vt:i4>0</vt:i4>
      </vt:variant>
      <vt:variant>
        <vt:i4>5</vt:i4>
      </vt:variant>
      <vt:variant>
        <vt:lpwstr/>
      </vt:variant>
      <vt:variant>
        <vt:lpwstr>_Toc382162300</vt:lpwstr>
      </vt:variant>
      <vt:variant>
        <vt:i4>1376309</vt:i4>
      </vt:variant>
      <vt:variant>
        <vt:i4>362</vt:i4>
      </vt:variant>
      <vt:variant>
        <vt:i4>0</vt:i4>
      </vt:variant>
      <vt:variant>
        <vt:i4>5</vt:i4>
      </vt:variant>
      <vt:variant>
        <vt:lpwstr/>
      </vt:variant>
      <vt:variant>
        <vt:lpwstr>_Toc382162299</vt:lpwstr>
      </vt:variant>
      <vt:variant>
        <vt:i4>1376309</vt:i4>
      </vt:variant>
      <vt:variant>
        <vt:i4>356</vt:i4>
      </vt:variant>
      <vt:variant>
        <vt:i4>0</vt:i4>
      </vt:variant>
      <vt:variant>
        <vt:i4>5</vt:i4>
      </vt:variant>
      <vt:variant>
        <vt:lpwstr/>
      </vt:variant>
      <vt:variant>
        <vt:lpwstr>_Toc382162298</vt:lpwstr>
      </vt:variant>
      <vt:variant>
        <vt:i4>1376309</vt:i4>
      </vt:variant>
      <vt:variant>
        <vt:i4>350</vt:i4>
      </vt:variant>
      <vt:variant>
        <vt:i4>0</vt:i4>
      </vt:variant>
      <vt:variant>
        <vt:i4>5</vt:i4>
      </vt:variant>
      <vt:variant>
        <vt:lpwstr/>
      </vt:variant>
      <vt:variant>
        <vt:lpwstr>_Toc382162297</vt:lpwstr>
      </vt:variant>
      <vt:variant>
        <vt:i4>1376309</vt:i4>
      </vt:variant>
      <vt:variant>
        <vt:i4>344</vt:i4>
      </vt:variant>
      <vt:variant>
        <vt:i4>0</vt:i4>
      </vt:variant>
      <vt:variant>
        <vt:i4>5</vt:i4>
      </vt:variant>
      <vt:variant>
        <vt:lpwstr/>
      </vt:variant>
      <vt:variant>
        <vt:lpwstr>_Toc382162296</vt:lpwstr>
      </vt:variant>
      <vt:variant>
        <vt:i4>1376309</vt:i4>
      </vt:variant>
      <vt:variant>
        <vt:i4>338</vt:i4>
      </vt:variant>
      <vt:variant>
        <vt:i4>0</vt:i4>
      </vt:variant>
      <vt:variant>
        <vt:i4>5</vt:i4>
      </vt:variant>
      <vt:variant>
        <vt:lpwstr/>
      </vt:variant>
      <vt:variant>
        <vt:lpwstr>_Toc382162295</vt:lpwstr>
      </vt:variant>
      <vt:variant>
        <vt:i4>1376309</vt:i4>
      </vt:variant>
      <vt:variant>
        <vt:i4>332</vt:i4>
      </vt:variant>
      <vt:variant>
        <vt:i4>0</vt:i4>
      </vt:variant>
      <vt:variant>
        <vt:i4>5</vt:i4>
      </vt:variant>
      <vt:variant>
        <vt:lpwstr/>
      </vt:variant>
      <vt:variant>
        <vt:lpwstr>_Toc382162294</vt:lpwstr>
      </vt:variant>
      <vt:variant>
        <vt:i4>1376309</vt:i4>
      </vt:variant>
      <vt:variant>
        <vt:i4>326</vt:i4>
      </vt:variant>
      <vt:variant>
        <vt:i4>0</vt:i4>
      </vt:variant>
      <vt:variant>
        <vt:i4>5</vt:i4>
      </vt:variant>
      <vt:variant>
        <vt:lpwstr/>
      </vt:variant>
      <vt:variant>
        <vt:lpwstr>_Toc382162293</vt:lpwstr>
      </vt:variant>
      <vt:variant>
        <vt:i4>1376309</vt:i4>
      </vt:variant>
      <vt:variant>
        <vt:i4>320</vt:i4>
      </vt:variant>
      <vt:variant>
        <vt:i4>0</vt:i4>
      </vt:variant>
      <vt:variant>
        <vt:i4>5</vt:i4>
      </vt:variant>
      <vt:variant>
        <vt:lpwstr/>
      </vt:variant>
      <vt:variant>
        <vt:lpwstr>_Toc382162292</vt:lpwstr>
      </vt:variant>
      <vt:variant>
        <vt:i4>1376309</vt:i4>
      </vt:variant>
      <vt:variant>
        <vt:i4>314</vt:i4>
      </vt:variant>
      <vt:variant>
        <vt:i4>0</vt:i4>
      </vt:variant>
      <vt:variant>
        <vt:i4>5</vt:i4>
      </vt:variant>
      <vt:variant>
        <vt:lpwstr/>
      </vt:variant>
      <vt:variant>
        <vt:lpwstr>_Toc382162291</vt:lpwstr>
      </vt:variant>
      <vt:variant>
        <vt:i4>1376309</vt:i4>
      </vt:variant>
      <vt:variant>
        <vt:i4>308</vt:i4>
      </vt:variant>
      <vt:variant>
        <vt:i4>0</vt:i4>
      </vt:variant>
      <vt:variant>
        <vt:i4>5</vt:i4>
      </vt:variant>
      <vt:variant>
        <vt:lpwstr/>
      </vt:variant>
      <vt:variant>
        <vt:lpwstr>_Toc382162290</vt:lpwstr>
      </vt:variant>
      <vt:variant>
        <vt:i4>1310773</vt:i4>
      </vt:variant>
      <vt:variant>
        <vt:i4>302</vt:i4>
      </vt:variant>
      <vt:variant>
        <vt:i4>0</vt:i4>
      </vt:variant>
      <vt:variant>
        <vt:i4>5</vt:i4>
      </vt:variant>
      <vt:variant>
        <vt:lpwstr/>
      </vt:variant>
      <vt:variant>
        <vt:lpwstr>_Toc382162289</vt:lpwstr>
      </vt:variant>
      <vt:variant>
        <vt:i4>1310773</vt:i4>
      </vt:variant>
      <vt:variant>
        <vt:i4>296</vt:i4>
      </vt:variant>
      <vt:variant>
        <vt:i4>0</vt:i4>
      </vt:variant>
      <vt:variant>
        <vt:i4>5</vt:i4>
      </vt:variant>
      <vt:variant>
        <vt:lpwstr/>
      </vt:variant>
      <vt:variant>
        <vt:lpwstr>_Toc382162288</vt:lpwstr>
      </vt:variant>
      <vt:variant>
        <vt:i4>1310773</vt:i4>
      </vt:variant>
      <vt:variant>
        <vt:i4>290</vt:i4>
      </vt:variant>
      <vt:variant>
        <vt:i4>0</vt:i4>
      </vt:variant>
      <vt:variant>
        <vt:i4>5</vt:i4>
      </vt:variant>
      <vt:variant>
        <vt:lpwstr/>
      </vt:variant>
      <vt:variant>
        <vt:lpwstr>_Toc382162287</vt:lpwstr>
      </vt:variant>
      <vt:variant>
        <vt:i4>1310773</vt:i4>
      </vt:variant>
      <vt:variant>
        <vt:i4>284</vt:i4>
      </vt:variant>
      <vt:variant>
        <vt:i4>0</vt:i4>
      </vt:variant>
      <vt:variant>
        <vt:i4>5</vt:i4>
      </vt:variant>
      <vt:variant>
        <vt:lpwstr/>
      </vt:variant>
      <vt:variant>
        <vt:lpwstr>_Toc382162286</vt:lpwstr>
      </vt:variant>
      <vt:variant>
        <vt:i4>1310773</vt:i4>
      </vt:variant>
      <vt:variant>
        <vt:i4>278</vt:i4>
      </vt:variant>
      <vt:variant>
        <vt:i4>0</vt:i4>
      </vt:variant>
      <vt:variant>
        <vt:i4>5</vt:i4>
      </vt:variant>
      <vt:variant>
        <vt:lpwstr/>
      </vt:variant>
      <vt:variant>
        <vt:lpwstr>_Toc382162285</vt:lpwstr>
      </vt:variant>
      <vt:variant>
        <vt:i4>1310773</vt:i4>
      </vt:variant>
      <vt:variant>
        <vt:i4>272</vt:i4>
      </vt:variant>
      <vt:variant>
        <vt:i4>0</vt:i4>
      </vt:variant>
      <vt:variant>
        <vt:i4>5</vt:i4>
      </vt:variant>
      <vt:variant>
        <vt:lpwstr/>
      </vt:variant>
      <vt:variant>
        <vt:lpwstr>_Toc382162284</vt:lpwstr>
      </vt:variant>
      <vt:variant>
        <vt:i4>1310773</vt:i4>
      </vt:variant>
      <vt:variant>
        <vt:i4>266</vt:i4>
      </vt:variant>
      <vt:variant>
        <vt:i4>0</vt:i4>
      </vt:variant>
      <vt:variant>
        <vt:i4>5</vt:i4>
      </vt:variant>
      <vt:variant>
        <vt:lpwstr/>
      </vt:variant>
      <vt:variant>
        <vt:lpwstr>_Toc382162283</vt:lpwstr>
      </vt:variant>
      <vt:variant>
        <vt:i4>1310773</vt:i4>
      </vt:variant>
      <vt:variant>
        <vt:i4>260</vt:i4>
      </vt:variant>
      <vt:variant>
        <vt:i4>0</vt:i4>
      </vt:variant>
      <vt:variant>
        <vt:i4>5</vt:i4>
      </vt:variant>
      <vt:variant>
        <vt:lpwstr/>
      </vt:variant>
      <vt:variant>
        <vt:lpwstr>_Toc382162282</vt:lpwstr>
      </vt:variant>
      <vt:variant>
        <vt:i4>1310773</vt:i4>
      </vt:variant>
      <vt:variant>
        <vt:i4>254</vt:i4>
      </vt:variant>
      <vt:variant>
        <vt:i4>0</vt:i4>
      </vt:variant>
      <vt:variant>
        <vt:i4>5</vt:i4>
      </vt:variant>
      <vt:variant>
        <vt:lpwstr/>
      </vt:variant>
      <vt:variant>
        <vt:lpwstr>_Toc382162281</vt:lpwstr>
      </vt:variant>
      <vt:variant>
        <vt:i4>1310773</vt:i4>
      </vt:variant>
      <vt:variant>
        <vt:i4>248</vt:i4>
      </vt:variant>
      <vt:variant>
        <vt:i4>0</vt:i4>
      </vt:variant>
      <vt:variant>
        <vt:i4>5</vt:i4>
      </vt:variant>
      <vt:variant>
        <vt:lpwstr/>
      </vt:variant>
      <vt:variant>
        <vt:lpwstr>_Toc382162280</vt:lpwstr>
      </vt:variant>
      <vt:variant>
        <vt:i4>1769525</vt:i4>
      </vt:variant>
      <vt:variant>
        <vt:i4>242</vt:i4>
      </vt:variant>
      <vt:variant>
        <vt:i4>0</vt:i4>
      </vt:variant>
      <vt:variant>
        <vt:i4>5</vt:i4>
      </vt:variant>
      <vt:variant>
        <vt:lpwstr/>
      </vt:variant>
      <vt:variant>
        <vt:lpwstr>_Toc382162279</vt:lpwstr>
      </vt:variant>
      <vt:variant>
        <vt:i4>1769525</vt:i4>
      </vt:variant>
      <vt:variant>
        <vt:i4>236</vt:i4>
      </vt:variant>
      <vt:variant>
        <vt:i4>0</vt:i4>
      </vt:variant>
      <vt:variant>
        <vt:i4>5</vt:i4>
      </vt:variant>
      <vt:variant>
        <vt:lpwstr/>
      </vt:variant>
      <vt:variant>
        <vt:lpwstr>_Toc382162278</vt:lpwstr>
      </vt:variant>
      <vt:variant>
        <vt:i4>1769525</vt:i4>
      </vt:variant>
      <vt:variant>
        <vt:i4>230</vt:i4>
      </vt:variant>
      <vt:variant>
        <vt:i4>0</vt:i4>
      </vt:variant>
      <vt:variant>
        <vt:i4>5</vt:i4>
      </vt:variant>
      <vt:variant>
        <vt:lpwstr/>
      </vt:variant>
      <vt:variant>
        <vt:lpwstr>_Toc382162277</vt:lpwstr>
      </vt:variant>
      <vt:variant>
        <vt:i4>1769525</vt:i4>
      </vt:variant>
      <vt:variant>
        <vt:i4>224</vt:i4>
      </vt:variant>
      <vt:variant>
        <vt:i4>0</vt:i4>
      </vt:variant>
      <vt:variant>
        <vt:i4>5</vt:i4>
      </vt:variant>
      <vt:variant>
        <vt:lpwstr/>
      </vt:variant>
      <vt:variant>
        <vt:lpwstr>_Toc382162276</vt:lpwstr>
      </vt:variant>
      <vt:variant>
        <vt:i4>1769525</vt:i4>
      </vt:variant>
      <vt:variant>
        <vt:i4>218</vt:i4>
      </vt:variant>
      <vt:variant>
        <vt:i4>0</vt:i4>
      </vt:variant>
      <vt:variant>
        <vt:i4>5</vt:i4>
      </vt:variant>
      <vt:variant>
        <vt:lpwstr/>
      </vt:variant>
      <vt:variant>
        <vt:lpwstr>_Toc382162275</vt:lpwstr>
      </vt:variant>
      <vt:variant>
        <vt:i4>1769525</vt:i4>
      </vt:variant>
      <vt:variant>
        <vt:i4>212</vt:i4>
      </vt:variant>
      <vt:variant>
        <vt:i4>0</vt:i4>
      </vt:variant>
      <vt:variant>
        <vt:i4>5</vt:i4>
      </vt:variant>
      <vt:variant>
        <vt:lpwstr/>
      </vt:variant>
      <vt:variant>
        <vt:lpwstr>_Toc382162274</vt:lpwstr>
      </vt:variant>
      <vt:variant>
        <vt:i4>1769525</vt:i4>
      </vt:variant>
      <vt:variant>
        <vt:i4>206</vt:i4>
      </vt:variant>
      <vt:variant>
        <vt:i4>0</vt:i4>
      </vt:variant>
      <vt:variant>
        <vt:i4>5</vt:i4>
      </vt:variant>
      <vt:variant>
        <vt:lpwstr/>
      </vt:variant>
      <vt:variant>
        <vt:lpwstr>_Toc382162273</vt:lpwstr>
      </vt:variant>
      <vt:variant>
        <vt:i4>1769525</vt:i4>
      </vt:variant>
      <vt:variant>
        <vt:i4>200</vt:i4>
      </vt:variant>
      <vt:variant>
        <vt:i4>0</vt:i4>
      </vt:variant>
      <vt:variant>
        <vt:i4>5</vt:i4>
      </vt:variant>
      <vt:variant>
        <vt:lpwstr/>
      </vt:variant>
      <vt:variant>
        <vt:lpwstr>_Toc382162272</vt:lpwstr>
      </vt:variant>
      <vt:variant>
        <vt:i4>1769525</vt:i4>
      </vt:variant>
      <vt:variant>
        <vt:i4>194</vt:i4>
      </vt:variant>
      <vt:variant>
        <vt:i4>0</vt:i4>
      </vt:variant>
      <vt:variant>
        <vt:i4>5</vt:i4>
      </vt:variant>
      <vt:variant>
        <vt:lpwstr/>
      </vt:variant>
      <vt:variant>
        <vt:lpwstr>_Toc382162271</vt:lpwstr>
      </vt:variant>
      <vt:variant>
        <vt:i4>1769525</vt:i4>
      </vt:variant>
      <vt:variant>
        <vt:i4>188</vt:i4>
      </vt:variant>
      <vt:variant>
        <vt:i4>0</vt:i4>
      </vt:variant>
      <vt:variant>
        <vt:i4>5</vt:i4>
      </vt:variant>
      <vt:variant>
        <vt:lpwstr/>
      </vt:variant>
      <vt:variant>
        <vt:lpwstr>_Toc382162270</vt:lpwstr>
      </vt:variant>
      <vt:variant>
        <vt:i4>1703989</vt:i4>
      </vt:variant>
      <vt:variant>
        <vt:i4>182</vt:i4>
      </vt:variant>
      <vt:variant>
        <vt:i4>0</vt:i4>
      </vt:variant>
      <vt:variant>
        <vt:i4>5</vt:i4>
      </vt:variant>
      <vt:variant>
        <vt:lpwstr/>
      </vt:variant>
      <vt:variant>
        <vt:lpwstr>_Toc382162269</vt:lpwstr>
      </vt:variant>
      <vt:variant>
        <vt:i4>1703989</vt:i4>
      </vt:variant>
      <vt:variant>
        <vt:i4>176</vt:i4>
      </vt:variant>
      <vt:variant>
        <vt:i4>0</vt:i4>
      </vt:variant>
      <vt:variant>
        <vt:i4>5</vt:i4>
      </vt:variant>
      <vt:variant>
        <vt:lpwstr/>
      </vt:variant>
      <vt:variant>
        <vt:lpwstr>_Toc382162268</vt:lpwstr>
      </vt:variant>
      <vt:variant>
        <vt:i4>1703989</vt:i4>
      </vt:variant>
      <vt:variant>
        <vt:i4>170</vt:i4>
      </vt:variant>
      <vt:variant>
        <vt:i4>0</vt:i4>
      </vt:variant>
      <vt:variant>
        <vt:i4>5</vt:i4>
      </vt:variant>
      <vt:variant>
        <vt:lpwstr/>
      </vt:variant>
      <vt:variant>
        <vt:lpwstr>_Toc382162267</vt:lpwstr>
      </vt:variant>
      <vt:variant>
        <vt:i4>1703989</vt:i4>
      </vt:variant>
      <vt:variant>
        <vt:i4>164</vt:i4>
      </vt:variant>
      <vt:variant>
        <vt:i4>0</vt:i4>
      </vt:variant>
      <vt:variant>
        <vt:i4>5</vt:i4>
      </vt:variant>
      <vt:variant>
        <vt:lpwstr/>
      </vt:variant>
      <vt:variant>
        <vt:lpwstr>_Toc382162266</vt:lpwstr>
      </vt:variant>
      <vt:variant>
        <vt:i4>1703989</vt:i4>
      </vt:variant>
      <vt:variant>
        <vt:i4>158</vt:i4>
      </vt:variant>
      <vt:variant>
        <vt:i4>0</vt:i4>
      </vt:variant>
      <vt:variant>
        <vt:i4>5</vt:i4>
      </vt:variant>
      <vt:variant>
        <vt:lpwstr/>
      </vt:variant>
      <vt:variant>
        <vt:lpwstr>_Toc382162265</vt:lpwstr>
      </vt:variant>
      <vt:variant>
        <vt:i4>1703989</vt:i4>
      </vt:variant>
      <vt:variant>
        <vt:i4>152</vt:i4>
      </vt:variant>
      <vt:variant>
        <vt:i4>0</vt:i4>
      </vt:variant>
      <vt:variant>
        <vt:i4>5</vt:i4>
      </vt:variant>
      <vt:variant>
        <vt:lpwstr/>
      </vt:variant>
      <vt:variant>
        <vt:lpwstr>_Toc382162264</vt:lpwstr>
      </vt:variant>
      <vt:variant>
        <vt:i4>1703989</vt:i4>
      </vt:variant>
      <vt:variant>
        <vt:i4>146</vt:i4>
      </vt:variant>
      <vt:variant>
        <vt:i4>0</vt:i4>
      </vt:variant>
      <vt:variant>
        <vt:i4>5</vt:i4>
      </vt:variant>
      <vt:variant>
        <vt:lpwstr/>
      </vt:variant>
      <vt:variant>
        <vt:lpwstr>_Toc382162263</vt:lpwstr>
      </vt:variant>
      <vt:variant>
        <vt:i4>1703989</vt:i4>
      </vt:variant>
      <vt:variant>
        <vt:i4>140</vt:i4>
      </vt:variant>
      <vt:variant>
        <vt:i4>0</vt:i4>
      </vt:variant>
      <vt:variant>
        <vt:i4>5</vt:i4>
      </vt:variant>
      <vt:variant>
        <vt:lpwstr/>
      </vt:variant>
      <vt:variant>
        <vt:lpwstr>_Toc382162262</vt:lpwstr>
      </vt:variant>
      <vt:variant>
        <vt:i4>1703989</vt:i4>
      </vt:variant>
      <vt:variant>
        <vt:i4>134</vt:i4>
      </vt:variant>
      <vt:variant>
        <vt:i4>0</vt:i4>
      </vt:variant>
      <vt:variant>
        <vt:i4>5</vt:i4>
      </vt:variant>
      <vt:variant>
        <vt:lpwstr/>
      </vt:variant>
      <vt:variant>
        <vt:lpwstr>_Toc382162261</vt:lpwstr>
      </vt:variant>
      <vt:variant>
        <vt:i4>1703989</vt:i4>
      </vt:variant>
      <vt:variant>
        <vt:i4>128</vt:i4>
      </vt:variant>
      <vt:variant>
        <vt:i4>0</vt:i4>
      </vt:variant>
      <vt:variant>
        <vt:i4>5</vt:i4>
      </vt:variant>
      <vt:variant>
        <vt:lpwstr/>
      </vt:variant>
      <vt:variant>
        <vt:lpwstr>_Toc382162260</vt:lpwstr>
      </vt:variant>
      <vt:variant>
        <vt:i4>1638453</vt:i4>
      </vt:variant>
      <vt:variant>
        <vt:i4>122</vt:i4>
      </vt:variant>
      <vt:variant>
        <vt:i4>0</vt:i4>
      </vt:variant>
      <vt:variant>
        <vt:i4>5</vt:i4>
      </vt:variant>
      <vt:variant>
        <vt:lpwstr/>
      </vt:variant>
      <vt:variant>
        <vt:lpwstr>_Toc382162259</vt:lpwstr>
      </vt:variant>
      <vt:variant>
        <vt:i4>1638453</vt:i4>
      </vt:variant>
      <vt:variant>
        <vt:i4>116</vt:i4>
      </vt:variant>
      <vt:variant>
        <vt:i4>0</vt:i4>
      </vt:variant>
      <vt:variant>
        <vt:i4>5</vt:i4>
      </vt:variant>
      <vt:variant>
        <vt:lpwstr/>
      </vt:variant>
      <vt:variant>
        <vt:lpwstr>_Toc382162258</vt:lpwstr>
      </vt:variant>
      <vt:variant>
        <vt:i4>1638453</vt:i4>
      </vt:variant>
      <vt:variant>
        <vt:i4>110</vt:i4>
      </vt:variant>
      <vt:variant>
        <vt:i4>0</vt:i4>
      </vt:variant>
      <vt:variant>
        <vt:i4>5</vt:i4>
      </vt:variant>
      <vt:variant>
        <vt:lpwstr/>
      </vt:variant>
      <vt:variant>
        <vt:lpwstr>_Toc382162257</vt:lpwstr>
      </vt:variant>
      <vt:variant>
        <vt:i4>1638453</vt:i4>
      </vt:variant>
      <vt:variant>
        <vt:i4>104</vt:i4>
      </vt:variant>
      <vt:variant>
        <vt:i4>0</vt:i4>
      </vt:variant>
      <vt:variant>
        <vt:i4>5</vt:i4>
      </vt:variant>
      <vt:variant>
        <vt:lpwstr/>
      </vt:variant>
      <vt:variant>
        <vt:lpwstr>_Toc382162256</vt:lpwstr>
      </vt:variant>
      <vt:variant>
        <vt:i4>1638453</vt:i4>
      </vt:variant>
      <vt:variant>
        <vt:i4>98</vt:i4>
      </vt:variant>
      <vt:variant>
        <vt:i4>0</vt:i4>
      </vt:variant>
      <vt:variant>
        <vt:i4>5</vt:i4>
      </vt:variant>
      <vt:variant>
        <vt:lpwstr/>
      </vt:variant>
      <vt:variant>
        <vt:lpwstr>_Toc382162255</vt:lpwstr>
      </vt:variant>
      <vt:variant>
        <vt:i4>1638453</vt:i4>
      </vt:variant>
      <vt:variant>
        <vt:i4>92</vt:i4>
      </vt:variant>
      <vt:variant>
        <vt:i4>0</vt:i4>
      </vt:variant>
      <vt:variant>
        <vt:i4>5</vt:i4>
      </vt:variant>
      <vt:variant>
        <vt:lpwstr/>
      </vt:variant>
      <vt:variant>
        <vt:lpwstr>_Toc382162254</vt:lpwstr>
      </vt:variant>
      <vt:variant>
        <vt:i4>1638453</vt:i4>
      </vt:variant>
      <vt:variant>
        <vt:i4>86</vt:i4>
      </vt:variant>
      <vt:variant>
        <vt:i4>0</vt:i4>
      </vt:variant>
      <vt:variant>
        <vt:i4>5</vt:i4>
      </vt:variant>
      <vt:variant>
        <vt:lpwstr/>
      </vt:variant>
      <vt:variant>
        <vt:lpwstr>_Toc382162253</vt:lpwstr>
      </vt:variant>
      <vt:variant>
        <vt:i4>1638453</vt:i4>
      </vt:variant>
      <vt:variant>
        <vt:i4>80</vt:i4>
      </vt:variant>
      <vt:variant>
        <vt:i4>0</vt:i4>
      </vt:variant>
      <vt:variant>
        <vt:i4>5</vt:i4>
      </vt:variant>
      <vt:variant>
        <vt:lpwstr/>
      </vt:variant>
      <vt:variant>
        <vt:lpwstr>_Toc382162252</vt:lpwstr>
      </vt:variant>
      <vt:variant>
        <vt:i4>1638453</vt:i4>
      </vt:variant>
      <vt:variant>
        <vt:i4>74</vt:i4>
      </vt:variant>
      <vt:variant>
        <vt:i4>0</vt:i4>
      </vt:variant>
      <vt:variant>
        <vt:i4>5</vt:i4>
      </vt:variant>
      <vt:variant>
        <vt:lpwstr/>
      </vt:variant>
      <vt:variant>
        <vt:lpwstr>_Toc382162251</vt:lpwstr>
      </vt:variant>
      <vt:variant>
        <vt:i4>1638453</vt:i4>
      </vt:variant>
      <vt:variant>
        <vt:i4>68</vt:i4>
      </vt:variant>
      <vt:variant>
        <vt:i4>0</vt:i4>
      </vt:variant>
      <vt:variant>
        <vt:i4>5</vt:i4>
      </vt:variant>
      <vt:variant>
        <vt:lpwstr/>
      </vt:variant>
      <vt:variant>
        <vt:lpwstr>_Toc382162250</vt:lpwstr>
      </vt:variant>
      <vt:variant>
        <vt:i4>1572917</vt:i4>
      </vt:variant>
      <vt:variant>
        <vt:i4>62</vt:i4>
      </vt:variant>
      <vt:variant>
        <vt:i4>0</vt:i4>
      </vt:variant>
      <vt:variant>
        <vt:i4>5</vt:i4>
      </vt:variant>
      <vt:variant>
        <vt:lpwstr/>
      </vt:variant>
      <vt:variant>
        <vt:lpwstr>_Toc382162249</vt:lpwstr>
      </vt:variant>
      <vt:variant>
        <vt:i4>1572917</vt:i4>
      </vt:variant>
      <vt:variant>
        <vt:i4>56</vt:i4>
      </vt:variant>
      <vt:variant>
        <vt:i4>0</vt:i4>
      </vt:variant>
      <vt:variant>
        <vt:i4>5</vt:i4>
      </vt:variant>
      <vt:variant>
        <vt:lpwstr/>
      </vt:variant>
      <vt:variant>
        <vt:lpwstr>_Toc382162248</vt:lpwstr>
      </vt:variant>
      <vt:variant>
        <vt:i4>1572917</vt:i4>
      </vt:variant>
      <vt:variant>
        <vt:i4>50</vt:i4>
      </vt:variant>
      <vt:variant>
        <vt:i4>0</vt:i4>
      </vt:variant>
      <vt:variant>
        <vt:i4>5</vt:i4>
      </vt:variant>
      <vt:variant>
        <vt:lpwstr/>
      </vt:variant>
      <vt:variant>
        <vt:lpwstr>_Toc382162247</vt:lpwstr>
      </vt:variant>
      <vt:variant>
        <vt:i4>1572917</vt:i4>
      </vt:variant>
      <vt:variant>
        <vt:i4>44</vt:i4>
      </vt:variant>
      <vt:variant>
        <vt:i4>0</vt:i4>
      </vt:variant>
      <vt:variant>
        <vt:i4>5</vt:i4>
      </vt:variant>
      <vt:variant>
        <vt:lpwstr/>
      </vt:variant>
      <vt:variant>
        <vt:lpwstr>_Toc382162246</vt:lpwstr>
      </vt:variant>
      <vt:variant>
        <vt:i4>1572917</vt:i4>
      </vt:variant>
      <vt:variant>
        <vt:i4>38</vt:i4>
      </vt:variant>
      <vt:variant>
        <vt:i4>0</vt:i4>
      </vt:variant>
      <vt:variant>
        <vt:i4>5</vt:i4>
      </vt:variant>
      <vt:variant>
        <vt:lpwstr/>
      </vt:variant>
      <vt:variant>
        <vt:lpwstr>_Toc382162245</vt:lpwstr>
      </vt:variant>
      <vt:variant>
        <vt:i4>1572917</vt:i4>
      </vt:variant>
      <vt:variant>
        <vt:i4>32</vt:i4>
      </vt:variant>
      <vt:variant>
        <vt:i4>0</vt:i4>
      </vt:variant>
      <vt:variant>
        <vt:i4>5</vt:i4>
      </vt:variant>
      <vt:variant>
        <vt:lpwstr/>
      </vt:variant>
      <vt:variant>
        <vt:lpwstr>_Toc382162244</vt:lpwstr>
      </vt:variant>
      <vt:variant>
        <vt:i4>1572917</vt:i4>
      </vt:variant>
      <vt:variant>
        <vt:i4>26</vt:i4>
      </vt:variant>
      <vt:variant>
        <vt:i4>0</vt:i4>
      </vt:variant>
      <vt:variant>
        <vt:i4>5</vt:i4>
      </vt:variant>
      <vt:variant>
        <vt:lpwstr/>
      </vt:variant>
      <vt:variant>
        <vt:lpwstr>_Toc382162243</vt:lpwstr>
      </vt:variant>
      <vt:variant>
        <vt:i4>1572917</vt:i4>
      </vt:variant>
      <vt:variant>
        <vt:i4>20</vt:i4>
      </vt:variant>
      <vt:variant>
        <vt:i4>0</vt:i4>
      </vt:variant>
      <vt:variant>
        <vt:i4>5</vt:i4>
      </vt:variant>
      <vt:variant>
        <vt:lpwstr/>
      </vt:variant>
      <vt:variant>
        <vt:lpwstr>_Toc382162242</vt:lpwstr>
      </vt:variant>
      <vt:variant>
        <vt:i4>1572917</vt:i4>
      </vt:variant>
      <vt:variant>
        <vt:i4>14</vt:i4>
      </vt:variant>
      <vt:variant>
        <vt:i4>0</vt:i4>
      </vt:variant>
      <vt:variant>
        <vt:i4>5</vt:i4>
      </vt:variant>
      <vt:variant>
        <vt:lpwstr/>
      </vt:variant>
      <vt:variant>
        <vt:lpwstr>_Toc382162241</vt:lpwstr>
      </vt:variant>
      <vt:variant>
        <vt:i4>1572917</vt:i4>
      </vt:variant>
      <vt:variant>
        <vt:i4>8</vt:i4>
      </vt:variant>
      <vt:variant>
        <vt:i4>0</vt:i4>
      </vt:variant>
      <vt:variant>
        <vt:i4>5</vt:i4>
      </vt:variant>
      <vt:variant>
        <vt:lpwstr/>
      </vt:variant>
      <vt:variant>
        <vt:lpwstr>_Toc382162240</vt:lpwstr>
      </vt:variant>
      <vt:variant>
        <vt:i4>2031669</vt:i4>
      </vt:variant>
      <vt:variant>
        <vt:i4>2</vt:i4>
      </vt:variant>
      <vt:variant>
        <vt:i4>0</vt:i4>
      </vt:variant>
      <vt:variant>
        <vt:i4>5</vt:i4>
      </vt:variant>
      <vt:variant>
        <vt:lpwstr/>
      </vt:variant>
      <vt:variant>
        <vt:lpwstr>_Toc382162239</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Lukáš Grasse</cp:lastModifiedBy>
  <cp:revision>778</cp:revision>
  <cp:lastPrinted>2025-04-05T05:42:00Z</cp:lastPrinted>
  <dcterms:created xsi:type="dcterms:W3CDTF">2017-03-01T09:50:00Z</dcterms:created>
  <dcterms:modified xsi:type="dcterms:W3CDTF">2026-06-19T07:46:00Z</dcterms:modified>
</cp:coreProperties>
</file>